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海大艺术馆布展服务供应商入围项目</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HFBX2026027</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HFBX2026027</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海大艺术馆布展服务供应商入围项目</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年度预计支出金额</w:t>
      </w:r>
      <w:r>
        <w:rPr>
          <w:rFonts w:hint="eastAsia"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23</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本项目旨在</w:t>
      </w:r>
      <w:r>
        <w:rPr>
          <w:rFonts w:hint="eastAsia" w:ascii="方正兰亭黑简体" w:hAnsi="方正兰亭黑简体" w:eastAsia="方正兰亭黑简体" w:cs="方正兰亭黑简体"/>
          <w:color w:val="auto"/>
          <w:sz w:val="22"/>
          <w:szCs w:val="28"/>
          <w:highlight w:val="none"/>
          <w:lang w:val="en-US" w:eastAsia="zh-CN"/>
        </w:rPr>
        <w:t>入围合格供应商，</w:t>
      </w:r>
      <w:r>
        <w:rPr>
          <w:rFonts w:hint="eastAsia" w:ascii="方正兰亭黑简体" w:hAnsi="方正兰亭黑简体" w:eastAsia="方正兰亭黑简体" w:cs="方正兰亭黑简体"/>
          <w:color w:val="auto"/>
          <w:sz w:val="22"/>
          <w:szCs w:val="28"/>
          <w:highlight w:val="none"/>
        </w:rPr>
        <w:t>为徐悲鸿艺术学院海大艺术馆提供专业的展览布展服务，以支持学院举办各类艺术展览活动，展示师生及艺术家的优秀作品，促进校园文化艺术交流</w:t>
      </w:r>
      <w:r>
        <w:rPr>
          <w:rFonts w:hint="eastAsia" w:ascii="方正兰亭黑简体" w:hAnsi="方正兰亭黑简体" w:eastAsia="方正兰亭黑简体" w:cs="方正兰亭黑简体"/>
          <w:color w:val="auto"/>
          <w:sz w:val="22"/>
          <w:szCs w:val="28"/>
          <w:highlight w:val="none"/>
        </w:rPr>
        <w:fldChar w:fldCharType="begin"/>
      </w:r>
      <w:r>
        <w:rPr>
          <w:rFonts w:hint="eastAsia" w:ascii="方正兰亭黑简体" w:hAnsi="方正兰亭黑简体" w:eastAsia="方正兰亭黑简体" w:cs="方正兰亭黑简体"/>
          <w:color w:val="auto"/>
          <w:sz w:val="22"/>
          <w:szCs w:val="28"/>
          <w:highlight w:val="none"/>
        </w:rPr>
        <w:instrText xml:space="preserve"> HYPERLINK "https://info.shmtu.edu.cn/2023/0413/c11057a211886/page.htm" \t "https://chat.deepseek.com/a/chat/s/_blank" </w:instrText>
      </w:r>
      <w:r>
        <w:rPr>
          <w:rFonts w:hint="eastAsia" w:ascii="方正兰亭黑简体" w:hAnsi="方正兰亭黑简体" w:eastAsia="方正兰亭黑简体" w:cs="方正兰亭黑简体"/>
          <w:color w:val="auto"/>
          <w:sz w:val="22"/>
          <w:szCs w:val="28"/>
          <w:highlight w:val="none"/>
        </w:rPr>
        <w:fldChar w:fldCharType="separate"/>
      </w:r>
      <w:r>
        <w:rPr>
          <w:rFonts w:hint="eastAsia" w:ascii="方正兰亭黑简体" w:hAnsi="方正兰亭黑简体" w:eastAsia="方正兰亭黑简体" w:cs="方正兰亭黑简体"/>
          <w:color w:val="auto"/>
          <w:sz w:val="22"/>
          <w:szCs w:val="28"/>
          <w:highlight w:val="none"/>
        </w:rPr>
        <w:fldChar w:fldCharType="end"/>
      </w:r>
      <w:r>
        <w:rPr>
          <w:rFonts w:hint="eastAsia"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2FA2403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入围供应商数量：3家。</w:t>
      </w:r>
    </w:p>
    <w:p w14:paraId="65BBAFD1">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服务期限：本项目采用一次采购三年有效，分年度签订合同，每次签约有效期为一年，每年度合同有效期终止前2个月，由校方对入围供应商进行年度考核和验收，考核通过方可续签。</w:t>
      </w:r>
    </w:p>
    <w:p w14:paraId="61487CF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付款方式：单次布展服务完成并经甲方对服务内容验收合格后，乙方开具符合甲方要求的合法发票</w:t>
      </w:r>
      <w:r>
        <w:rPr>
          <w:rFonts w:hint="eastAsia" w:ascii="方正兰亭黑简体" w:hAnsi="方正兰亭黑简体" w:eastAsia="方正兰亭黑简体" w:cs="方正兰亭黑简体"/>
          <w:color w:val="auto"/>
          <w:sz w:val="22"/>
          <w:szCs w:val="28"/>
          <w:highlight w:val="none"/>
          <w:lang w:eastAsia="zh-CN"/>
        </w:rPr>
        <w:t>，在</w:t>
      </w:r>
      <w:r>
        <w:rPr>
          <w:rFonts w:hint="eastAsia" w:ascii="方正兰亭黑简体" w:hAnsi="方正兰亭黑简体" w:eastAsia="方正兰亭黑简体" w:cs="方正兰亭黑简体"/>
          <w:color w:val="auto"/>
          <w:sz w:val="22"/>
          <w:szCs w:val="28"/>
          <w:highlight w:val="none"/>
        </w:rPr>
        <w:t>甲方收到发票后的15个工作日内，向乙方支付费用。合同内全部款项均以“银行转账”方式予以支付。</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bookmarkStart w:id="6" w:name="_GoBack"/>
      <w:r>
        <w:rPr>
          <w:rFonts w:hint="eastAsia" w:ascii="方正兰亭黑简体" w:hAnsi="方正兰亭黑简体" w:eastAsia="方正兰亭黑简体" w:cs="方正兰亭黑简体"/>
          <w:color w:val="auto"/>
          <w:sz w:val="22"/>
          <w:szCs w:val="28"/>
          <w:highlight w:val="none"/>
        </w:rPr>
        <w:t>1、</w:t>
      </w:r>
      <w:bookmarkEnd w:id="6"/>
      <w:r>
        <w:rPr>
          <w:rFonts w:hint="eastAsia" w:ascii="方正兰亭黑简体" w:hAnsi="方正兰亭黑简体" w:eastAsia="方正兰亭黑简体" w:cs="方正兰亭黑简体"/>
          <w:color w:val="auto"/>
          <w:sz w:val="22"/>
          <w:szCs w:val="28"/>
          <w:highlight w:val="none"/>
        </w:rPr>
        <w:t>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四</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刘</w:t>
      </w:r>
      <w:r>
        <w:rPr>
          <w:rFonts w:hint="eastAsia" w:ascii="方正兰亭黑简体" w:hAnsi="方正兰亭黑简体" w:eastAsia="方正兰亭黑简体" w:cs="方正兰亭黑简体"/>
          <w:color w:val="auto"/>
          <w:sz w:val="22"/>
          <w:szCs w:val="28"/>
          <w:highlight w:val="none"/>
        </w:rPr>
        <w:t>老师021-3828</w:t>
      </w:r>
      <w:r>
        <w:rPr>
          <w:rFonts w:hint="eastAsia" w:ascii="方正兰亭黑简体" w:hAnsi="方正兰亭黑简体" w:eastAsia="方正兰亭黑简体" w:cs="方正兰亭黑简体"/>
          <w:color w:val="auto"/>
          <w:sz w:val="22"/>
          <w:szCs w:val="28"/>
          <w:highlight w:val="none"/>
          <w:lang w:val="en-US" w:eastAsia="zh-CN"/>
        </w:rPr>
        <w:t>2050</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07D2AA44">
      <w:pPr>
        <w:spacing w:line="360" w:lineRule="auto"/>
        <w:rPr>
          <w:rFonts w:hint="default" w:ascii="Times New Roman" w:hAnsi="Times New Roman" w:eastAsia="方正兰亭黑简体" w:cs="Times New Roman"/>
          <w:b/>
          <w:bCs/>
          <w:color w:val="auto"/>
          <w:sz w:val="22"/>
          <w:szCs w:val="22"/>
          <w:highlight w:val="none"/>
          <w:lang w:val="en-US"/>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项目简介</w:t>
      </w:r>
    </w:p>
    <w:p w14:paraId="52484370">
      <w:pPr>
        <w:spacing w:line="480" w:lineRule="auto"/>
        <w:ind w:firstLine="440" w:firstLineChars="200"/>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上海海事大学徐悲鸿艺术学院海大艺术馆位于上海市浦东新区海港大道1550号上海海事大学图书馆侧二楼。本项目旨在</w:t>
      </w:r>
      <w:r>
        <w:rPr>
          <w:rFonts w:hint="eastAsia" w:ascii="方正兰亭黑简体" w:hAnsi="方正兰亭黑简体" w:eastAsia="方正兰亭黑简体" w:cs="方正兰亭黑简体"/>
          <w:color w:val="auto"/>
          <w:sz w:val="22"/>
          <w:szCs w:val="28"/>
          <w:highlight w:val="none"/>
          <w:lang w:val="en-US" w:eastAsia="zh-CN"/>
        </w:rPr>
        <w:t>入围合格供应商，</w:t>
      </w:r>
      <w:r>
        <w:rPr>
          <w:rFonts w:hint="eastAsia" w:ascii="方正兰亭黑简体" w:hAnsi="方正兰亭黑简体" w:eastAsia="方正兰亭黑简体" w:cs="方正兰亭黑简体"/>
          <w:color w:val="auto"/>
          <w:sz w:val="22"/>
          <w:szCs w:val="28"/>
          <w:highlight w:val="none"/>
        </w:rPr>
        <w:t>为徐悲鸿艺术学院海大艺术馆提供专业的展览布展服务，以支持学院举办各类艺术展览活动，展示师生及艺术家的优秀作品，促进校园文化艺术交流</w:t>
      </w:r>
      <w:r>
        <w:rPr>
          <w:rFonts w:hint="eastAsia" w:ascii="方正兰亭黑简体" w:hAnsi="方正兰亭黑简体" w:eastAsia="方正兰亭黑简体" w:cs="方正兰亭黑简体"/>
          <w:color w:val="auto"/>
          <w:sz w:val="22"/>
          <w:szCs w:val="28"/>
          <w:highlight w:val="none"/>
        </w:rPr>
        <w:fldChar w:fldCharType="begin"/>
      </w:r>
      <w:r>
        <w:rPr>
          <w:rFonts w:hint="eastAsia" w:ascii="方正兰亭黑简体" w:hAnsi="方正兰亭黑简体" w:eastAsia="方正兰亭黑简体" w:cs="方正兰亭黑简体"/>
          <w:color w:val="auto"/>
          <w:sz w:val="22"/>
          <w:szCs w:val="28"/>
          <w:highlight w:val="none"/>
        </w:rPr>
        <w:instrText xml:space="preserve"> HYPERLINK "https://info.shmtu.edu.cn/2023/0413/c11057a211886/page.htm" \t "https://chat.deepseek.com/a/chat/s/_blank" </w:instrText>
      </w:r>
      <w:r>
        <w:rPr>
          <w:rFonts w:hint="eastAsia" w:ascii="方正兰亭黑简体" w:hAnsi="方正兰亭黑简体" w:eastAsia="方正兰亭黑简体" w:cs="方正兰亭黑简体"/>
          <w:color w:val="auto"/>
          <w:sz w:val="22"/>
          <w:szCs w:val="28"/>
          <w:highlight w:val="none"/>
        </w:rPr>
        <w:fldChar w:fldCharType="separate"/>
      </w:r>
      <w:r>
        <w:rPr>
          <w:rFonts w:hint="eastAsia" w:ascii="方正兰亭黑简体" w:hAnsi="方正兰亭黑简体" w:eastAsia="方正兰亭黑简体" w:cs="方正兰亭黑简体"/>
          <w:color w:val="auto"/>
          <w:sz w:val="22"/>
          <w:szCs w:val="28"/>
          <w:highlight w:val="none"/>
        </w:rPr>
        <w:fldChar w:fldCharType="end"/>
      </w:r>
      <w:r>
        <w:rPr>
          <w:rFonts w:hint="eastAsia" w:ascii="方正兰亭黑简体" w:hAnsi="方正兰亭黑简体" w:eastAsia="方正兰亭黑简体" w:cs="方正兰亭黑简体"/>
          <w:color w:val="auto"/>
          <w:sz w:val="22"/>
          <w:szCs w:val="28"/>
          <w:highlight w:val="none"/>
        </w:rPr>
        <w:t>。布展服务内容涵盖展览的整体策划、空间设计、展品陈列、布展搭建及撤展工作等全流程服务。</w:t>
      </w:r>
      <w:r>
        <w:rPr>
          <w:rFonts w:hint="eastAsia" w:ascii="方正兰亭黑简体" w:hAnsi="方正兰亭黑简体" w:eastAsia="方正兰亭黑简体" w:cs="方正兰亭黑简体"/>
          <w:color w:val="auto"/>
          <w:sz w:val="22"/>
          <w:szCs w:val="28"/>
          <w:highlight w:val="none"/>
          <w:lang w:val="en-US" w:eastAsia="zh-CN"/>
        </w:rPr>
        <w:t>入围供应商</w:t>
      </w:r>
      <w:r>
        <w:rPr>
          <w:rFonts w:hint="eastAsia" w:ascii="方正兰亭黑简体" w:hAnsi="方正兰亭黑简体" w:eastAsia="方正兰亭黑简体" w:cs="方正兰亭黑简体"/>
          <w:color w:val="auto"/>
          <w:sz w:val="22"/>
          <w:szCs w:val="28"/>
          <w:highlight w:val="none"/>
        </w:rPr>
        <w:t>需根据</w:t>
      </w:r>
      <w:r>
        <w:rPr>
          <w:rFonts w:hint="eastAsia" w:ascii="方正兰亭黑简体" w:hAnsi="方正兰亭黑简体" w:eastAsia="方正兰亭黑简体" w:cs="方正兰亭黑简体"/>
          <w:color w:val="auto"/>
          <w:sz w:val="22"/>
          <w:szCs w:val="28"/>
          <w:highlight w:val="none"/>
          <w:lang w:val="en-US" w:eastAsia="zh-CN"/>
        </w:rPr>
        <w:t>每次</w:t>
      </w:r>
      <w:r>
        <w:rPr>
          <w:rFonts w:hint="eastAsia" w:ascii="方正兰亭黑简体" w:hAnsi="方正兰亭黑简体" w:eastAsia="方正兰亭黑简体" w:cs="方正兰亭黑简体"/>
          <w:color w:val="auto"/>
          <w:sz w:val="22"/>
          <w:szCs w:val="28"/>
          <w:highlight w:val="none"/>
        </w:rPr>
        <w:t>展览</w:t>
      </w:r>
      <w:r>
        <w:rPr>
          <w:rFonts w:hint="eastAsia" w:ascii="方正兰亭黑简体" w:hAnsi="方正兰亭黑简体" w:eastAsia="方正兰亭黑简体" w:cs="方正兰亭黑简体"/>
          <w:color w:val="auto"/>
          <w:sz w:val="22"/>
          <w:szCs w:val="28"/>
          <w:highlight w:val="none"/>
          <w:lang w:val="en-US" w:eastAsia="zh-CN"/>
        </w:rPr>
        <w:t>的</w:t>
      </w:r>
      <w:r>
        <w:rPr>
          <w:rFonts w:hint="eastAsia" w:ascii="方正兰亭黑简体" w:hAnsi="方正兰亭黑简体" w:eastAsia="方正兰亭黑简体" w:cs="方正兰亭黑简体"/>
          <w:color w:val="auto"/>
          <w:sz w:val="22"/>
          <w:szCs w:val="28"/>
          <w:highlight w:val="none"/>
        </w:rPr>
        <w:t>主题和作品特点，制定合理的布展方案，确保展览效果的专业性和艺术性，同时保障展品安全和展示质量</w:t>
      </w:r>
      <w:r>
        <w:rPr>
          <w:rFonts w:hint="eastAsia" w:ascii="方正兰亭黑简体" w:hAnsi="方正兰亭黑简体" w:eastAsia="方正兰亭黑简体" w:cs="方正兰亭黑简体"/>
          <w:color w:val="auto"/>
          <w:sz w:val="22"/>
          <w:szCs w:val="28"/>
          <w:highlight w:val="none"/>
        </w:rPr>
        <w:fldChar w:fldCharType="begin"/>
      </w:r>
      <w:r>
        <w:rPr>
          <w:rFonts w:hint="eastAsia" w:ascii="方正兰亭黑简体" w:hAnsi="方正兰亭黑简体" w:eastAsia="方正兰亭黑简体" w:cs="方正兰亭黑简体"/>
          <w:color w:val="auto"/>
          <w:sz w:val="22"/>
          <w:szCs w:val="28"/>
          <w:highlight w:val="none"/>
        </w:rPr>
        <w:instrText xml:space="preserve"> HYPERLINK "https://info.shmtu.edu.cn/2023/0413/c11057a211886/page.htm" \t "https://chat.deepseek.com/a/chat/s/_blank" </w:instrText>
      </w:r>
      <w:r>
        <w:rPr>
          <w:rFonts w:hint="eastAsia" w:ascii="方正兰亭黑简体" w:hAnsi="方正兰亭黑简体" w:eastAsia="方正兰亭黑简体" w:cs="方正兰亭黑简体"/>
          <w:color w:val="auto"/>
          <w:sz w:val="22"/>
          <w:szCs w:val="28"/>
          <w:highlight w:val="none"/>
        </w:rPr>
        <w:fldChar w:fldCharType="separate"/>
      </w:r>
      <w:r>
        <w:rPr>
          <w:rFonts w:hint="eastAsia" w:ascii="方正兰亭黑简体" w:hAnsi="方正兰亭黑简体" w:eastAsia="方正兰亭黑简体" w:cs="方正兰亭黑简体"/>
          <w:color w:val="auto"/>
          <w:sz w:val="22"/>
          <w:szCs w:val="28"/>
          <w:highlight w:val="none"/>
        </w:rPr>
        <w:fldChar w:fldCharType="end"/>
      </w:r>
      <w:r>
        <w:rPr>
          <w:rFonts w:hint="eastAsia" w:ascii="方正兰亭黑简体" w:hAnsi="方正兰亭黑简体" w:eastAsia="方正兰亭黑简体" w:cs="方正兰亭黑简体"/>
          <w:color w:val="auto"/>
          <w:sz w:val="22"/>
          <w:szCs w:val="28"/>
          <w:highlight w:val="none"/>
        </w:rPr>
        <w:fldChar w:fldCharType="begin"/>
      </w:r>
      <w:r>
        <w:rPr>
          <w:rFonts w:hint="eastAsia" w:ascii="方正兰亭黑简体" w:hAnsi="方正兰亭黑简体" w:eastAsia="方正兰亭黑简体" w:cs="方正兰亭黑简体"/>
          <w:color w:val="auto"/>
          <w:sz w:val="22"/>
          <w:szCs w:val="28"/>
          <w:highlight w:val="none"/>
        </w:rPr>
        <w:instrText xml:space="preserve"> HYPERLINK "http://www.bidchance.com/calgg/2023/04/13/969c66339a431eb4c6feda37267467db.html" \t "https://chat.deepseek.com/a/chat/s/_blank" </w:instrText>
      </w:r>
      <w:r>
        <w:rPr>
          <w:rFonts w:hint="eastAsia" w:ascii="方正兰亭黑简体" w:hAnsi="方正兰亭黑简体" w:eastAsia="方正兰亭黑简体" w:cs="方正兰亭黑简体"/>
          <w:color w:val="auto"/>
          <w:sz w:val="22"/>
          <w:szCs w:val="28"/>
          <w:highlight w:val="none"/>
        </w:rPr>
        <w:fldChar w:fldCharType="separate"/>
      </w:r>
      <w:r>
        <w:rPr>
          <w:rFonts w:hint="eastAsia" w:ascii="方正兰亭黑简体" w:hAnsi="方正兰亭黑简体" w:eastAsia="方正兰亭黑简体" w:cs="方正兰亭黑简体"/>
          <w:color w:val="auto"/>
          <w:sz w:val="22"/>
          <w:szCs w:val="28"/>
          <w:highlight w:val="none"/>
        </w:rPr>
        <w:fldChar w:fldCharType="end"/>
      </w:r>
      <w:r>
        <w:rPr>
          <w:rFonts w:hint="eastAsia" w:ascii="方正兰亭黑简体" w:hAnsi="方正兰亭黑简体" w:eastAsia="方正兰亭黑简体" w:cs="方正兰亭黑简体"/>
          <w:color w:val="auto"/>
          <w:sz w:val="22"/>
          <w:szCs w:val="28"/>
          <w:highlight w:val="none"/>
        </w:rPr>
        <w:t>。项目服务期限根据具体展览安排确定，要求投标人具备独立承担民事责任的能力，并具有良好的商业信誉和健全的财务会计制度，能够高质量完成艺术展览的布展任务。</w:t>
      </w:r>
    </w:p>
    <w:p w14:paraId="5CBED398">
      <w:pPr>
        <w:rPr>
          <w:rFonts w:hint="eastAsia" w:ascii="Times New Roman" w:hAnsi="Times New Roman" w:eastAsia="方正兰亭黑简体" w:cs="Times New Roman"/>
          <w:b/>
          <w:bCs/>
          <w:color w:val="auto"/>
          <w:sz w:val="22"/>
          <w:szCs w:val="22"/>
          <w:highlight w:val="none"/>
          <w:lang w:val="en-US" w:eastAsia="zh-CN"/>
        </w:rPr>
      </w:pPr>
    </w:p>
    <w:p w14:paraId="39E2A589">
      <w:pPr>
        <w:rPr>
          <w:rFonts w:hint="eastAsia" w:ascii="Times New Roman" w:hAnsi="Times New Roman" w:eastAsia="方正兰亭黑简体" w:cs="Times New Roman"/>
          <w:b/>
          <w:bCs/>
          <w:color w:val="auto"/>
          <w:sz w:val="22"/>
          <w:szCs w:val="22"/>
          <w:highlight w:val="none"/>
          <w:lang w:eastAsia="zh-CN"/>
        </w:rPr>
      </w:pPr>
      <w:r>
        <w:rPr>
          <w:rFonts w:hint="eastAsia" w:ascii="Times New Roman" w:hAnsi="Times New Roman" w:eastAsia="方正兰亭黑简体" w:cs="Times New Roman"/>
          <w:b/>
          <w:bCs/>
          <w:color w:val="auto"/>
          <w:sz w:val="22"/>
          <w:szCs w:val="22"/>
          <w:highlight w:val="none"/>
          <w:lang w:val="en-US" w:eastAsia="zh-CN"/>
        </w:rPr>
        <w:t>二</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服务要求</w:t>
      </w:r>
    </w:p>
    <w:p w14:paraId="0DD01E0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1</w:t>
      </w:r>
      <w:r>
        <w:rPr>
          <w:rFonts w:hint="eastAsia" w:ascii="Times New Roman" w:hAnsi="Times New Roman" w:eastAsia="方正兰亭黑简体" w:cs="Times New Roman"/>
          <w:color w:val="auto"/>
          <w:kern w:val="0"/>
          <w:sz w:val="22"/>
          <w:szCs w:val="22"/>
          <w:highlight w:val="none"/>
          <w:lang w:eastAsia="zh-CN"/>
        </w:rPr>
        <w:t>、</w:t>
      </w:r>
      <w:r>
        <w:rPr>
          <w:rFonts w:hint="eastAsia" w:ascii="Times New Roman" w:hAnsi="Times New Roman" w:eastAsia="方正兰亭黑简体" w:cs="Times New Roman"/>
          <w:color w:val="auto"/>
          <w:kern w:val="0"/>
          <w:sz w:val="22"/>
          <w:szCs w:val="22"/>
          <w:highlight w:val="none"/>
          <w:lang w:val="en-US" w:eastAsia="zh-CN"/>
        </w:rPr>
        <w:t>基本</w:t>
      </w:r>
      <w:r>
        <w:rPr>
          <w:rFonts w:hint="default" w:ascii="Times New Roman" w:hAnsi="Times New Roman" w:eastAsia="方正兰亭黑简体" w:cs="Times New Roman"/>
          <w:color w:val="auto"/>
          <w:kern w:val="0"/>
          <w:sz w:val="22"/>
          <w:szCs w:val="22"/>
          <w:highlight w:val="none"/>
        </w:rPr>
        <w:t>要求</w:t>
      </w:r>
    </w:p>
    <w:p w14:paraId="47D79F3C">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 xml:space="preserve">本项目布展服务需满足海大艺术馆各类展览的设计、制作、装裱、运输、安装、拆除等全流程需求。                                                            </w:t>
      </w:r>
    </w:p>
    <w:p w14:paraId="79FDE64D">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应遵循的相关国家标准、行业标准、地方标准等标准、规范</w:t>
      </w:r>
    </w:p>
    <w:p w14:paraId="6E06AEE6">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sz w:val="22"/>
          <w:szCs w:val="22"/>
          <w:highlight w:val="none"/>
        </w:rPr>
        <w:t>展品装裱遵循书画、油画等不同品类展品的专业装裱规范，装裱后展品平整无褶皱、无损伤、无变形，装裱工艺可有效实现展品的防潮、防尘</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 xml:space="preserve">基础保护需求。喷绘、写真、展板制作等广告制作类服务，遵循广告制作行业的色彩还原、材质精度、工艺拼接等标准，画面清晰无模糊、拼接无错位、材质贴合无起泡。                                                           </w:t>
      </w:r>
    </w:p>
    <w:p w14:paraId="1E996F52">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3</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后续运营维护、升级更新、备品备件等要求</w:t>
      </w:r>
    </w:p>
    <w:p w14:paraId="356C3AF2">
      <w:pPr>
        <w:widowControl/>
        <w:shd w:val="clear" w:color="auto" w:fill="FFFFFF"/>
        <w:spacing w:line="360" w:lineRule="auto"/>
        <w:ind w:left="0" w:leftChars="0" w:firstLine="440" w:firstLineChars="20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 xml:space="preserve">展览服务期间，接到校方维护需求后需立即响应并现场解决；展览结束后，对可回收复用的物料、展架等进行专业清理、维护和储存，保障后续可正常使用。                                               </w:t>
      </w:r>
    </w:p>
    <w:p w14:paraId="72E33785">
      <w:pPr>
        <w:widowControl/>
        <w:numPr>
          <w:ilvl w:val="0"/>
          <w:numId w:val="0"/>
        </w:numPr>
        <w:shd w:val="clear" w:color="auto" w:fill="FFFFFF"/>
        <w:spacing w:line="360" w:lineRule="auto"/>
        <w:ind w:left="0" w:leftChars="0" w:firstLine="0" w:firstLineChars="0"/>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kern w:val="2"/>
          <w:sz w:val="22"/>
          <w:szCs w:val="22"/>
          <w:highlight w:val="none"/>
          <w:lang w:val="en-US" w:eastAsia="zh-CN" w:bidi="ar-SA"/>
        </w:rPr>
        <w:t>4、</w:t>
      </w:r>
      <w:r>
        <w:rPr>
          <w:rFonts w:hint="default" w:ascii="Times New Roman" w:hAnsi="Times New Roman" w:eastAsia="方正兰亭黑简体" w:cs="Times New Roman"/>
          <w:color w:val="auto"/>
          <w:sz w:val="22"/>
          <w:szCs w:val="22"/>
          <w:highlight w:val="none"/>
        </w:rPr>
        <w:t>各项指标要求</w:t>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130"/>
        <w:gridCol w:w="7944"/>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88" w:type="dxa"/>
            <w:noWrap w:val="0"/>
            <w:tcMar>
              <w:top w:w="-1" w:type="dxa"/>
              <w:left w:w="-1" w:type="dxa"/>
              <w:bottom w:w="-1" w:type="dxa"/>
              <w:right w:w="-1" w:type="dxa"/>
            </w:tcMar>
            <w:vAlign w:val="center"/>
          </w:tcPr>
          <w:p w14:paraId="4D172C6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序号</w:t>
            </w:r>
          </w:p>
        </w:tc>
        <w:tc>
          <w:tcPr>
            <w:tcW w:w="0" w:type="auto"/>
            <w:noWrap w:val="0"/>
            <w:tcMar>
              <w:top w:w="-1" w:type="dxa"/>
              <w:left w:w="-1" w:type="dxa"/>
              <w:bottom w:w="-1" w:type="dxa"/>
              <w:right w:w="-1" w:type="dxa"/>
            </w:tcMar>
            <w:vAlign w:val="center"/>
          </w:tcPr>
          <w:p w14:paraId="4D4125B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指标名称</w:t>
            </w:r>
          </w:p>
        </w:tc>
        <w:tc>
          <w:tcPr>
            <w:tcW w:w="7944" w:type="dxa"/>
            <w:noWrap w:val="0"/>
            <w:tcMar>
              <w:top w:w="-1" w:type="dxa"/>
              <w:left w:w="-1" w:type="dxa"/>
              <w:bottom w:w="-1" w:type="dxa"/>
              <w:right w:w="-1" w:type="dxa"/>
            </w:tcMar>
            <w:vAlign w:val="center"/>
          </w:tcPr>
          <w:p w14:paraId="09E1FA1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指标要求</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8" w:type="dxa"/>
            <w:noWrap w:val="0"/>
            <w:tcMar>
              <w:top w:w="-1" w:type="dxa"/>
              <w:left w:w="-1" w:type="dxa"/>
              <w:bottom w:w="-1" w:type="dxa"/>
              <w:right w:w="-1" w:type="dxa"/>
            </w:tcMar>
            <w:vAlign w:val="center"/>
          </w:tcPr>
          <w:p w14:paraId="2447FCA3">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0" w:type="auto"/>
            <w:noWrap w:val="0"/>
            <w:tcMar>
              <w:top w:w="-1" w:type="dxa"/>
              <w:left w:w="-1" w:type="dxa"/>
              <w:bottom w:w="-1" w:type="dxa"/>
              <w:right w:w="-1" w:type="dxa"/>
            </w:tcMar>
            <w:vAlign w:val="center"/>
          </w:tcPr>
          <w:p w14:paraId="20D166AB">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布展设计响应能力</w:t>
            </w:r>
          </w:p>
        </w:tc>
        <w:tc>
          <w:tcPr>
            <w:tcW w:w="7944" w:type="dxa"/>
            <w:noWrap w:val="0"/>
            <w:tcMar>
              <w:top w:w="-1" w:type="dxa"/>
              <w:left w:w="-1" w:type="dxa"/>
              <w:bottom w:w="-1" w:type="dxa"/>
              <w:right w:w="-1" w:type="dxa"/>
            </w:tcMar>
            <w:vAlign w:val="center"/>
          </w:tcPr>
          <w:p w14:paraId="34A4A9AF">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校方发出设计制作需求后，在规定时间内完成预算及设计稿编制，需要响应及时无拖延并可配合校方完成设计修改优化</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8" w:type="dxa"/>
            <w:noWrap w:val="0"/>
            <w:tcMar>
              <w:top w:w="-1" w:type="dxa"/>
              <w:left w:w="-1" w:type="dxa"/>
              <w:bottom w:w="-1" w:type="dxa"/>
              <w:right w:w="-1" w:type="dxa"/>
            </w:tcMar>
            <w:vAlign w:val="center"/>
          </w:tcPr>
          <w:p w14:paraId="20428B8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0" w:type="auto"/>
            <w:noWrap w:val="0"/>
            <w:tcMar>
              <w:top w:w="-1" w:type="dxa"/>
              <w:left w:w="-1" w:type="dxa"/>
              <w:bottom w:w="-1" w:type="dxa"/>
              <w:right w:w="-1" w:type="dxa"/>
            </w:tcMar>
            <w:vAlign w:val="center"/>
          </w:tcPr>
          <w:p w14:paraId="4D212B59">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布展设计质量</w:t>
            </w:r>
          </w:p>
        </w:tc>
        <w:tc>
          <w:tcPr>
            <w:tcW w:w="7944" w:type="dxa"/>
            <w:noWrap w:val="0"/>
            <w:tcMar>
              <w:top w:w="-1" w:type="dxa"/>
              <w:left w:w="-1" w:type="dxa"/>
              <w:bottom w:w="-1" w:type="dxa"/>
              <w:right w:w="-1" w:type="dxa"/>
            </w:tcMar>
            <w:vAlign w:val="center"/>
          </w:tcPr>
          <w:p w14:paraId="060F7019">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展陈、前言、展签、主视觉等设计符合海大艺术馆展览定位及校方要求，排版美观、内容准确，校图设计贴合展馆实际尺寸与布局，无设计偏差</w:t>
            </w:r>
          </w:p>
        </w:tc>
      </w:tr>
      <w:tr w14:paraId="634B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8" w:type="dxa"/>
            <w:noWrap w:val="0"/>
            <w:tcMar>
              <w:top w:w="-1" w:type="dxa"/>
              <w:left w:w="-1" w:type="dxa"/>
              <w:bottom w:w="-1" w:type="dxa"/>
              <w:right w:w="-1" w:type="dxa"/>
            </w:tcMar>
            <w:vAlign w:val="center"/>
          </w:tcPr>
          <w:p w14:paraId="1F70F2B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w:t>
            </w:r>
          </w:p>
        </w:tc>
        <w:tc>
          <w:tcPr>
            <w:tcW w:w="0" w:type="auto"/>
            <w:noWrap w:val="0"/>
            <w:tcMar>
              <w:top w:w="-1" w:type="dxa"/>
              <w:left w:w="-1" w:type="dxa"/>
              <w:bottom w:w="-1" w:type="dxa"/>
              <w:right w:w="-1" w:type="dxa"/>
            </w:tcMar>
            <w:vAlign w:val="center"/>
          </w:tcPr>
          <w:p w14:paraId="697DC5AE">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广告制作工艺</w:t>
            </w:r>
          </w:p>
        </w:tc>
        <w:tc>
          <w:tcPr>
            <w:tcW w:w="7944" w:type="dxa"/>
            <w:noWrap w:val="0"/>
            <w:tcMar>
              <w:top w:w="-1" w:type="dxa"/>
              <w:left w:w="-1" w:type="dxa"/>
              <w:bottom w:w="-1" w:type="dxa"/>
              <w:right w:w="-1" w:type="dxa"/>
            </w:tcMar>
            <w:vAlign w:val="center"/>
          </w:tcPr>
          <w:p w14:paraId="111C3798">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写真、喷绘、展板等制作画面清晰，色彩还原准确，材质贴合设计要求，拼接无缝隙、无起泡、无翘边，桁架海报及展厅前言布尺寸精准、安装贴合</w:t>
            </w:r>
          </w:p>
        </w:tc>
      </w:tr>
      <w:tr w14:paraId="041AB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8" w:type="dxa"/>
            <w:noWrap w:val="0"/>
            <w:tcMar>
              <w:top w:w="-1" w:type="dxa"/>
              <w:left w:w="-1" w:type="dxa"/>
              <w:bottom w:w="-1" w:type="dxa"/>
              <w:right w:w="-1" w:type="dxa"/>
            </w:tcMar>
            <w:vAlign w:val="center"/>
          </w:tcPr>
          <w:p w14:paraId="10FB0784">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w:t>
            </w:r>
          </w:p>
        </w:tc>
        <w:tc>
          <w:tcPr>
            <w:tcW w:w="0" w:type="auto"/>
            <w:noWrap w:val="0"/>
            <w:tcMar>
              <w:top w:w="-1" w:type="dxa"/>
              <w:left w:w="-1" w:type="dxa"/>
              <w:bottom w:w="-1" w:type="dxa"/>
              <w:right w:w="-1" w:type="dxa"/>
            </w:tcMar>
            <w:vAlign w:val="center"/>
          </w:tcPr>
          <w:p w14:paraId="5427230A">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作品装裱装框质量</w:t>
            </w:r>
          </w:p>
        </w:tc>
        <w:tc>
          <w:tcPr>
            <w:tcW w:w="7944" w:type="dxa"/>
            <w:noWrap w:val="0"/>
            <w:tcMar>
              <w:top w:w="-1" w:type="dxa"/>
              <w:left w:w="-1" w:type="dxa"/>
              <w:bottom w:w="-1" w:type="dxa"/>
              <w:right w:w="-1" w:type="dxa"/>
            </w:tcMar>
            <w:vAlign w:val="center"/>
          </w:tcPr>
          <w:p w14:paraId="69717485">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画框制作牢固、拼接无缝隙，龙骨结构稳定；各类装裱工艺适配展品类型，装裱后展品平整无褶皱、无损伤、无变形，并实现展品基础保护；镜片、卷轴等装裱工艺规范、做工精细</w:t>
            </w:r>
          </w:p>
        </w:tc>
      </w:tr>
      <w:tr w14:paraId="008CA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8" w:type="dxa"/>
            <w:noWrap w:val="0"/>
            <w:tcMar>
              <w:top w:w="-1" w:type="dxa"/>
              <w:left w:w="-1" w:type="dxa"/>
              <w:bottom w:w="-1" w:type="dxa"/>
              <w:right w:w="-1" w:type="dxa"/>
            </w:tcMar>
            <w:vAlign w:val="center"/>
          </w:tcPr>
          <w:p w14:paraId="612793DA">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w:t>
            </w:r>
          </w:p>
        </w:tc>
        <w:tc>
          <w:tcPr>
            <w:tcW w:w="0" w:type="auto"/>
            <w:noWrap w:val="0"/>
            <w:tcMar>
              <w:top w:w="-1" w:type="dxa"/>
              <w:left w:w="-1" w:type="dxa"/>
              <w:bottom w:w="-1" w:type="dxa"/>
              <w:right w:w="-1" w:type="dxa"/>
            </w:tcMar>
            <w:vAlign w:val="center"/>
          </w:tcPr>
          <w:p w14:paraId="7A92FCC3">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运输服务质量</w:t>
            </w:r>
          </w:p>
        </w:tc>
        <w:tc>
          <w:tcPr>
            <w:tcW w:w="7944" w:type="dxa"/>
            <w:noWrap w:val="0"/>
            <w:tcMar>
              <w:top w:w="-1" w:type="dxa"/>
              <w:left w:w="-1" w:type="dxa"/>
              <w:bottom w:w="-1" w:type="dxa"/>
              <w:right w:w="-1" w:type="dxa"/>
            </w:tcMar>
            <w:vAlign w:val="center"/>
          </w:tcPr>
          <w:p w14:paraId="4D5E575A">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运输过</w:t>
            </w:r>
            <w:r>
              <w:rPr>
                <w:rFonts w:hint="eastAsia" w:ascii="Times New Roman" w:hAnsi="Times New Roman" w:eastAsia="方正兰亭黑简体" w:cs="Times New Roman"/>
                <w:color w:val="auto"/>
                <w:sz w:val="22"/>
                <w:szCs w:val="22"/>
                <w:highlight w:val="none"/>
                <w:lang w:eastAsia="zh-CN"/>
              </w:rPr>
              <w:t>程中</w:t>
            </w:r>
            <w:r>
              <w:rPr>
                <w:rFonts w:hint="default" w:ascii="Times New Roman" w:hAnsi="Times New Roman" w:eastAsia="方正兰亭黑简体" w:cs="Times New Roman"/>
                <w:color w:val="auto"/>
                <w:sz w:val="22"/>
                <w:szCs w:val="22"/>
                <w:highlight w:val="none"/>
              </w:rPr>
              <w:t>无物料损坏、展品损伤，按时将物资运送至指定布展地点</w:t>
            </w:r>
          </w:p>
        </w:tc>
      </w:tr>
      <w:tr w14:paraId="0E6EC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88" w:type="dxa"/>
            <w:noWrap w:val="0"/>
            <w:tcMar>
              <w:top w:w="-1" w:type="dxa"/>
              <w:left w:w="-1" w:type="dxa"/>
              <w:bottom w:w="-1" w:type="dxa"/>
              <w:right w:w="-1" w:type="dxa"/>
            </w:tcMar>
            <w:vAlign w:val="center"/>
          </w:tcPr>
          <w:p w14:paraId="65347D6E">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w:t>
            </w:r>
          </w:p>
        </w:tc>
        <w:tc>
          <w:tcPr>
            <w:tcW w:w="1130" w:type="dxa"/>
            <w:noWrap w:val="0"/>
            <w:tcMar>
              <w:top w:w="-1" w:type="dxa"/>
              <w:left w:w="-1" w:type="dxa"/>
              <w:bottom w:w="-1" w:type="dxa"/>
              <w:right w:w="-1" w:type="dxa"/>
            </w:tcMar>
            <w:vAlign w:val="center"/>
          </w:tcPr>
          <w:p w14:paraId="1F1CDFBE">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安装拆除服务</w:t>
            </w:r>
          </w:p>
        </w:tc>
        <w:tc>
          <w:tcPr>
            <w:tcW w:w="7944" w:type="dxa"/>
            <w:noWrap w:val="0"/>
            <w:tcMar>
              <w:top w:w="-1" w:type="dxa"/>
              <w:left w:w="-1" w:type="dxa"/>
              <w:bottom w:w="-1" w:type="dxa"/>
              <w:right w:w="-1" w:type="dxa"/>
            </w:tcMar>
            <w:vAlign w:val="center"/>
          </w:tcPr>
          <w:p w14:paraId="72D83C68">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布展安装牢固、布局符合设计要求；安排专业人员现场灯光调试，布展结</w:t>
            </w:r>
            <w:r>
              <w:rPr>
                <w:rFonts w:hint="eastAsia" w:ascii="Times New Roman" w:hAnsi="Times New Roman" w:eastAsia="方正兰亭黑简体" w:cs="Times New Roman"/>
                <w:color w:val="auto"/>
                <w:sz w:val="22"/>
                <w:szCs w:val="22"/>
                <w:highlight w:val="none"/>
                <w:lang w:eastAsia="zh-CN"/>
              </w:rPr>
              <w:t>束后</w:t>
            </w:r>
            <w:r>
              <w:rPr>
                <w:rFonts w:hint="default" w:ascii="Times New Roman" w:hAnsi="Times New Roman" w:eastAsia="方正兰亭黑简体" w:cs="Times New Roman"/>
                <w:color w:val="auto"/>
                <w:sz w:val="22"/>
                <w:szCs w:val="22"/>
                <w:highlight w:val="none"/>
              </w:rPr>
              <w:t>清洁整理现场；展览结束当天配合完成撤展工作，清洁整理现场。</w:t>
            </w:r>
          </w:p>
        </w:tc>
      </w:tr>
    </w:tbl>
    <w:p w14:paraId="66C19FAE">
      <w:pPr>
        <w:rPr>
          <w:rFonts w:hint="eastAsia" w:ascii="方正兰亭黑简体" w:hAnsi="方正兰亭黑简体" w:eastAsia="方正兰亭黑简体" w:cs="方正兰亭黑简体"/>
          <w:b/>
          <w:bCs/>
          <w:color w:val="auto"/>
          <w:sz w:val="24"/>
          <w:szCs w:val="32"/>
          <w:highlight w:val="none"/>
          <w:lang w:val="en-US" w:eastAsia="zh-CN"/>
        </w:rPr>
      </w:pPr>
    </w:p>
    <w:p w14:paraId="1AB4C662">
      <w:pP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三、其他要求</w:t>
      </w:r>
    </w:p>
    <w:p w14:paraId="2D6773FC">
      <w:pPr>
        <w:spacing w:line="360" w:lineRule="auto"/>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1、本项目采用一次采购三年有效，分年度签订合同，每次签约有效期一年，每年度合同有效期终止前2个月，由校方对入围供应商进行年度考核和验收，考核通过方可续签。</w:t>
      </w:r>
    </w:p>
    <w:p w14:paraId="1E43A622">
      <w:pPr>
        <w:spacing w:line="360" w:lineRule="auto"/>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2、校方每次有布展服务需求前，将向入围供应商发出设计制作需求，各入围供应商根据需求在校方规定时间内及时提供预算和清单，特殊布展提供设计稿，并配合校方进行修改。最终将选定响应及时、设计符合布展要求且报价低的入围供应商承接制作服务。</w:t>
      </w:r>
    </w:p>
    <w:p w14:paraId="6A53AA8F">
      <w:pPr>
        <w:spacing w:line="360" w:lineRule="auto"/>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3、本项目实施过程中，每次布展支出费用不超过10万元，年预计支出费用不超过23万元。</w:t>
      </w:r>
    </w:p>
    <w:p w14:paraId="5A6FBE99">
      <w:pPr>
        <w:spacing w:line="360" w:lineRule="auto"/>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4、针对每次活动，入围供应商应提前1天将所有物资、设备及环境布置到位并配合学校彩排和调试，使用期间请指派工作人员现场保证设备正常运行。上述项目活动结束当天，中标单位须配合学校完成拆除工作，部分物资根据实际需要择期再行拆除。</w:t>
      </w:r>
    </w:p>
    <w:p w14:paraId="2A4C96D9">
      <w:pPr>
        <w:spacing w:line="360" w:lineRule="auto"/>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5、展览验收前需将海报、前言、展板图稿、绘画作品高清图整理提交甲方。</w:t>
      </w:r>
    </w:p>
    <w:p w14:paraId="1B256155">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4C942918">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针对第二章中的采购需求：不满足技术条款的，每项扣3分；扣完为止。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635" w:type="pct"/>
            <w:vAlign w:val="center"/>
          </w:tcPr>
          <w:p w14:paraId="6393C2D9">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优秀（21～30分）：方案整体质量高，方案合理可行性强，响应措施及时高效，项目进度安排紧凑合理。</w:t>
            </w:r>
          </w:p>
          <w:p w14:paraId="36A6F9CB">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良好（11～20分）：方案整体质量较好，响应措施尚可，方案个别细节有待进一步完善。</w:t>
            </w:r>
          </w:p>
          <w:p w14:paraId="3EC9A561">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HFBX2026027</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9"/>
          <w:rFonts w:ascii="黑体" w:hAnsi="华文楷体" w:eastAsia="黑体"/>
          <w:b/>
          <w:color w:val="auto"/>
          <w:sz w:val="24"/>
          <w:highlight w:val="none"/>
        </w:rPr>
        <w:t>quotation@shmtu.edu.cn</w:t>
      </w:r>
      <w:r>
        <w:rPr>
          <w:rStyle w:val="19"/>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5"/>
        <w:tblW w:w="5000" w:type="pct"/>
        <w:tblInd w:w="0" w:type="dxa"/>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autofit"/>
        <w:tblCellMar>
          <w:top w:w="0" w:type="dxa"/>
          <w:left w:w="108" w:type="dxa"/>
          <w:bottom w:w="0" w:type="dxa"/>
          <w:right w:w="108" w:type="dxa"/>
        </w:tblCellMar>
      </w:tblPr>
      <w:tblGrid>
        <w:gridCol w:w="2854"/>
        <w:gridCol w:w="3888"/>
        <w:gridCol w:w="1102"/>
        <w:gridCol w:w="1415"/>
        <w:gridCol w:w="697"/>
      </w:tblGrid>
      <w:tr w14:paraId="1C4F88C6">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5000" w:type="pct"/>
            <w:gridSpan w:val="5"/>
            <w:tcBorders>
              <w:bottom w:val="single" w:color="000000" w:sz="4" w:space="0"/>
            </w:tcBorders>
            <w:noWrap/>
            <w:vAlign w:val="bottom"/>
          </w:tcPr>
          <w:p w14:paraId="12A65B1D">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设计费用</w:t>
            </w:r>
          </w:p>
        </w:tc>
      </w:tr>
      <w:tr w14:paraId="71D6992B">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bottom"/>
          </w:tcPr>
          <w:p w14:paraId="3767A4F1">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内容</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0831C546">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规格</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139D1A81">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尺寸cm</w:t>
            </w: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1D1021B6">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lang w:eastAsia="zh-CN"/>
              </w:rPr>
            </w:pPr>
            <w:r>
              <w:rPr>
                <w:rFonts w:hint="eastAsia" w:ascii="方正兰亭黑简体" w:hAnsi="方正兰亭黑简体" w:eastAsia="方正兰亭黑简体" w:cs="方正兰亭黑简体"/>
                <w:b/>
                <w:bCs/>
                <w:color w:val="auto"/>
                <w:kern w:val="0"/>
                <w:sz w:val="22"/>
                <w:szCs w:val="22"/>
                <w:highlight w:val="none"/>
                <w:lang w:bidi="ar"/>
              </w:rPr>
              <w:t>单价</w:t>
            </w:r>
            <w:r>
              <w:rPr>
                <w:rFonts w:hint="eastAsia" w:ascii="方正兰亭黑简体" w:hAnsi="方正兰亭黑简体" w:eastAsia="方正兰亭黑简体" w:cs="方正兰亭黑简体"/>
                <w:b/>
                <w:bCs/>
                <w:color w:val="auto"/>
                <w:kern w:val="0"/>
                <w:sz w:val="22"/>
                <w:szCs w:val="22"/>
                <w:highlight w:val="none"/>
                <w:lang w:eastAsia="zh-CN" w:bidi="ar"/>
              </w:rPr>
              <w:t>（</w:t>
            </w:r>
            <w:r>
              <w:rPr>
                <w:rFonts w:hint="eastAsia" w:ascii="方正兰亭黑简体" w:hAnsi="方正兰亭黑简体" w:eastAsia="方正兰亭黑简体" w:cs="方正兰亭黑简体"/>
                <w:b/>
                <w:bCs/>
                <w:color w:val="auto"/>
                <w:kern w:val="0"/>
                <w:sz w:val="22"/>
                <w:szCs w:val="22"/>
                <w:highlight w:val="none"/>
                <w:lang w:val="en-US" w:eastAsia="zh-CN" w:bidi="ar"/>
              </w:rPr>
              <w:t>元</w:t>
            </w:r>
            <w:r>
              <w:rPr>
                <w:rFonts w:hint="eastAsia" w:ascii="方正兰亭黑简体" w:hAnsi="方正兰亭黑简体" w:eastAsia="方正兰亭黑简体" w:cs="方正兰亭黑简体"/>
                <w:b/>
                <w:bCs/>
                <w:color w:val="auto"/>
                <w:kern w:val="0"/>
                <w:sz w:val="22"/>
                <w:szCs w:val="22"/>
                <w:highlight w:val="none"/>
                <w:lang w:eastAsia="zh-CN" w:bidi="ar"/>
              </w:rPr>
              <w:t>）</w:t>
            </w:r>
          </w:p>
        </w:tc>
        <w:tc>
          <w:tcPr>
            <w:tcW w:w="352" w:type="pct"/>
            <w:tcBorders>
              <w:top w:val="single" w:color="000000" w:sz="4" w:space="0"/>
              <w:left w:val="single" w:color="000000" w:sz="4" w:space="0"/>
              <w:bottom w:val="single" w:color="000000" w:sz="4" w:space="0"/>
            </w:tcBorders>
            <w:noWrap/>
            <w:vAlign w:val="bottom"/>
          </w:tcPr>
          <w:p w14:paraId="32C7C41D">
            <w:pPr>
              <w:spacing w:line="36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备注</w:t>
            </w:r>
          </w:p>
        </w:tc>
      </w:tr>
      <w:tr w14:paraId="0501F391">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799B0B6A">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展陈设计</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4352D88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E84C27A">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C3150FA">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38C4F477">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287F76E">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2B58A2CA">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前言设计</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085E0B66">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DAA16DA">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4696C087">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251487FD">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2417879C">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71D5EA89">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展签设计</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731009BC">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587E55D">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4B570D72">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185B158C">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71DE739E">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2B013E77">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作品卡排版</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08311C8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75554E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4C1C1CF7">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356E9D8E">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1D8792AF">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535FA0F2">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作品排版设计</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322BA73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5A2297C0">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6F369FEE">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05FA04FA">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1DB1334">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68B8D45F">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主视觉设计</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3DAC06C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B98166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316CA0B2">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24A897FD">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E41D15D">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5E33F20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主画面设计</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7BDCCED7">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5CB69F0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22668BC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52BA75A3">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2E6D495E">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23456856">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校图设计费</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6519E0B9">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208BE02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DD31326">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4EDEA73F">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177E9AE2">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5000" w:type="pct"/>
            <w:gridSpan w:val="5"/>
            <w:tcBorders>
              <w:top w:val="single" w:color="000000" w:sz="4" w:space="0"/>
              <w:bottom w:val="single" w:color="000000" w:sz="4" w:space="0"/>
            </w:tcBorders>
            <w:noWrap/>
            <w:vAlign w:val="bottom"/>
          </w:tcPr>
          <w:p w14:paraId="1DB7255F">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广告制作</w:t>
            </w:r>
          </w:p>
        </w:tc>
      </w:tr>
      <w:tr w14:paraId="2BF31DD1">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bottom"/>
          </w:tcPr>
          <w:p w14:paraId="388610FF">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内容</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5CE38947">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规格</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657E661C">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尺寸cm</w:t>
            </w: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6FF3FE03">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lang w:eastAsia="zh-CN"/>
              </w:rPr>
            </w:pPr>
            <w:r>
              <w:rPr>
                <w:rFonts w:hint="eastAsia" w:ascii="方正兰亭黑简体" w:hAnsi="方正兰亭黑简体" w:eastAsia="方正兰亭黑简体" w:cs="方正兰亭黑简体"/>
                <w:b/>
                <w:bCs/>
                <w:color w:val="auto"/>
                <w:kern w:val="0"/>
                <w:sz w:val="22"/>
                <w:szCs w:val="22"/>
                <w:highlight w:val="none"/>
                <w:lang w:bidi="ar"/>
              </w:rPr>
              <w:t>单价</w:t>
            </w:r>
            <w:r>
              <w:rPr>
                <w:rFonts w:hint="eastAsia" w:ascii="方正兰亭黑简体" w:hAnsi="方正兰亭黑简体" w:eastAsia="方正兰亭黑简体" w:cs="方正兰亭黑简体"/>
                <w:b/>
                <w:bCs/>
                <w:color w:val="auto"/>
                <w:kern w:val="0"/>
                <w:sz w:val="22"/>
                <w:szCs w:val="22"/>
                <w:highlight w:val="none"/>
                <w:lang w:eastAsia="zh-CN" w:bidi="ar"/>
              </w:rPr>
              <w:t>（</w:t>
            </w:r>
            <w:r>
              <w:rPr>
                <w:rFonts w:hint="eastAsia" w:ascii="方正兰亭黑简体" w:hAnsi="方正兰亭黑简体" w:eastAsia="方正兰亭黑简体" w:cs="方正兰亭黑简体"/>
                <w:b/>
                <w:bCs/>
                <w:color w:val="auto"/>
                <w:kern w:val="0"/>
                <w:sz w:val="22"/>
                <w:szCs w:val="22"/>
                <w:highlight w:val="none"/>
                <w:lang w:val="en-US" w:eastAsia="zh-CN" w:bidi="ar"/>
              </w:rPr>
              <w:t>元</w:t>
            </w:r>
            <w:r>
              <w:rPr>
                <w:rFonts w:hint="eastAsia" w:ascii="方正兰亭黑简体" w:hAnsi="方正兰亭黑简体" w:eastAsia="方正兰亭黑简体" w:cs="方正兰亭黑简体"/>
                <w:b/>
                <w:bCs/>
                <w:color w:val="auto"/>
                <w:kern w:val="0"/>
                <w:sz w:val="22"/>
                <w:szCs w:val="22"/>
                <w:highlight w:val="none"/>
                <w:lang w:eastAsia="zh-CN" w:bidi="ar"/>
              </w:rPr>
              <w:t>）</w:t>
            </w:r>
          </w:p>
        </w:tc>
        <w:tc>
          <w:tcPr>
            <w:tcW w:w="352" w:type="pct"/>
            <w:tcBorders>
              <w:top w:val="single" w:color="000000" w:sz="4" w:space="0"/>
              <w:left w:val="single" w:color="000000" w:sz="4" w:space="0"/>
              <w:bottom w:val="single" w:color="000000" w:sz="4" w:space="0"/>
            </w:tcBorders>
            <w:noWrap/>
            <w:vAlign w:val="bottom"/>
          </w:tcPr>
          <w:p w14:paraId="40ED215B">
            <w:pPr>
              <w:spacing w:line="360" w:lineRule="auto"/>
              <w:jc w:val="center"/>
              <w:rPr>
                <w:rFonts w:hint="eastAsia" w:ascii="方正兰亭黑简体" w:hAnsi="方正兰亭黑简体" w:eastAsia="方正兰亭黑简体" w:cs="方正兰亭黑简体"/>
                <w:b/>
                <w:bCs/>
                <w:color w:val="auto"/>
                <w:sz w:val="22"/>
                <w:szCs w:val="22"/>
                <w:highlight w:val="none"/>
              </w:rPr>
            </w:pPr>
          </w:p>
        </w:tc>
      </w:tr>
      <w:tr w14:paraId="404CF499">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3104DD55">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写真</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094A2689">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参考</w:t>
            </w:r>
            <w:r>
              <w:rPr>
                <w:rFonts w:hint="eastAsia" w:ascii="方正兰亭黑简体" w:hAnsi="方正兰亭黑简体" w:eastAsia="方正兰亭黑简体" w:cs="方正兰亭黑简体"/>
                <w:color w:val="auto"/>
                <w:sz w:val="22"/>
                <w:szCs w:val="22"/>
                <w:highlight w:val="none"/>
                <w:lang w:eastAsia="zh-CN"/>
              </w:rPr>
              <w:t>比例</w:t>
            </w:r>
            <w:r>
              <w:rPr>
                <w:rFonts w:hint="eastAsia" w:ascii="方正兰亭黑简体" w:hAnsi="方正兰亭黑简体" w:eastAsia="方正兰亭黑简体" w:cs="方正兰亭黑简体"/>
                <w:color w:val="auto"/>
                <w:sz w:val="22"/>
                <w:szCs w:val="22"/>
                <w:highlight w:val="none"/>
              </w:rPr>
              <w:t>190*365  皮纹纸</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66A9073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370A0A77">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19E5CD70">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3F53E046">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6D27756D">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可移背胶</w:t>
            </w:r>
          </w:p>
        </w:tc>
        <w:tc>
          <w:tcPr>
            <w:tcW w:w="1957" w:type="pct"/>
            <w:tcBorders>
              <w:top w:val="single" w:color="000000" w:sz="4" w:space="0"/>
              <w:left w:val="single" w:color="000000" w:sz="4" w:space="0"/>
              <w:bottom w:val="single" w:color="000000" w:sz="4" w:space="0"/>
              <w:right w:val="single" w:color="000000" w:sz="4" w:space="0"/>
            </w:tcBorders>
            <w:shd w:val="clear" w:color="000000" w:fill="auto"/>
            <w:noWrap/>
            <w:vAlign w:val="center"/>
          </w:tcPr>
          <w:p w14:paraId="25702FCE">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258BEF0C">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14CD03BC">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54EE5882">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2A52F473">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5F2AD13D">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透明膜（哑膜）</w:t>
            </w:r>
          </w:p>
        </w:tc>
        <w:tc>
          <w:tcPr>
            <w:tcW w:w="1957" w:type="pct"/>
            <w:tcBorders>
              <w:top w:val="single" w:color="000000" w:sz="4" w:space="0"/>
              <w:left w:val="single" w:color="000000" w:sz="4" w:space="0"/>
              <w:bottom w:val="single" w:color="000000" w:sz="4" w:space="0"/>
              <w:right w:val="single" w:color="000000" w:sz="4" w:space="0"/>
            </w:tcBorders>
            <w:shd w:val="clear" w:color="000000" w:fill="auto"/>
            <w:noWrap/>
            <w:vAlign w:val="center"/>
          </w:tcPr>
          <w:p w14:paraId="38265736">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2C3C237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54F3201D">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682DADE1">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99FDA82">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21A15020">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KT板展板写真</w:t>
            </w:r>
          </w:p>
        </w:tc>
        <w:tc>
          <w:tcPr>
            <w:tcW w:w="1957" w:type="pct"/>
            <w:tcBorders>
              <w:top w:val="single" w:color="000000" w:sz="4" w:space="0"/>
              <w:left w:val="single" w:color="000000" w:sz="4" w:space="0"/>
              <w:bottom w:val="single" w:color="000000" w:sz="4" w:space="0"/>
              <w:right w:val="single" w:color="000000" w:sz="4" w:space="0"/>
            </w:tcBorders>
            <w:shd w:val="clear" w:color="000000" w:fill="auto"/>
            <w:noWrap/>
            <w:vAlign w:val="center"/>
          </w:tcPr>
          <w:p w14:paraId="0969B704">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高精度写真</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5BECC22B">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1E952802">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2DE169E1">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72199DDE">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279D042C">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雪弗板写真</w:t>
            </w:r>
          </w:p>
        </w:tc>
        <w:tc>
          <w:tcPr>
            <w:tcW w:w="1957" w:type="pct"/>
            <w:tcBorders>
              <w:top w:val="single" w:color="000000" w:sz="4" w:space="0"/>
              <w:left w:val="single" w:color="000000" w:sz="4" w:space="0"/>
              <w:bottom w:val="single" w:color="000000" w:sz="4" w:space="0"/>
              <w:right w:val="single" w:color="000000" w:sz="4" w:space="0"/>
            </w:tcBorders>
            <w:shd w:val="clear" w:color="000000" w:fill="auto"/>
            <w:noWrap/>
            <w:vAlign w:val="center"/>
          </w:tcPr>
          <w:p w14:paraId="6B89AF55">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铜版纸加亚克力外壳</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00AEF1EB">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3A0F3C7F">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310BCFAC">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662EC07C">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6271D417">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雪弗板写真</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475EFD07">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红色配条</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C6101C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2EA0A645">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5B4C0314">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73FFFBD9">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18B25A7E">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喷绘布</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6149EF55">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4B68205">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836181D">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49A2C493">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BBAAF77">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2E2ABF5D">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前言打印</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45386970">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C56521C">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0E41C70C">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4FD38490">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1C59EBB1">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14C18749">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大绗架海报打印</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065AB2E0">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桁架+喷绘写真画面（510*270cm）</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131F763">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165*165</w:t>
            </w: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68E7354D">
            <w:pPr>
              <w:widowControl/>
              <w:spacing w:line="360" w:lineRule="auto"/>
              <w:jc w:val="center"/>
              <w:textAlignment w:val="bottom"/>
              <w:rPr>
                <w:rFonts w:hint="eastAsia" w:ascii="方正兰亭黑简体" w:hAnsi="方正兰亭黑简体" w:eastAsia="方正兰亭黑简体" w:cs="方正兰亭黑简体"/>
                <w:color w:val="auto"/>
                <w:kern w:val="0"/>
                <w:sz w:val="22"/>
                <w:szCs w:val="22"/>
                <w:highlight w:val="none"/>
                <w:lang w:bidi="ar"/>
              </w:rPr>
            </w:pPr>
          </w:p>
        </w:tc>
        <w:tc>
          <w:tcPr>
            <w:tcW w:w="352" w:type="pct"/>
            <w:tcBorders>
              <w:top w:val="single" w:color="000000" w:sz="4" w:space="0"/>
              <w:left w:val="single" w:color="000000" w:sz="4" w:space="0"/>
              <w:bottom w:val="single" w:color="000000" w:sz="4" w:space="0"/>
            </w:tcBorders>
            <w:noWrap/>
            <w:vAlign w:val="bottom"/>
          </w:tcPr>
          <w:p w14:paraId="06698054">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AA1DA41">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66736B0C">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小展厅前言布</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6D4F6470">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喷绘写真画面（114*184 cm）</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6748D14D">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4FA8A666">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72DE2D07">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2FF628F0">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5BB726A1">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作品装裱</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08B02043">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1C5A0FE0">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475A49E2">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52D44696">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36694E8E">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38C98E3B">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龙骨</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7CEB8D3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09DFF52">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6BB85E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2D746EAA">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2E9F9708">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6F697EC7">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实木画框</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6C10C5CB">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1A9781BE">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352DC00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01D9E464">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1F227009">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242978CE">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实木油画框</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14E9DB60">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D863D68">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6CDCF342">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39C735D6">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77A329DF">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6FECBFD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优质油画框</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507F90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4C6EAC9">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6E98B75C">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79E63CB5">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59C6863">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54FEDFA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普通油画框</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0A35F0E6">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404CE2E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49C2195">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3816A535">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50C7B39B">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0C30E6BB">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铝合金框（国画）</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0967552A">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78E8F5A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2281D818">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755FD323">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30FB3C3B">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7515E66F">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铝合金框（油画）</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1270772">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BDADDA8">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15C45FA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57AB9412">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508EBBEC">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3416FD5D">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油画</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79DBC50C">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1575F693">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26189AEA">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05D96325">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4303CFB">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20C27FAB">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六尺条镜片</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537B34A3">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19C3D07">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37C803D">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0ED688F8">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71CA1CE3">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31B6CE8A">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八尺条镜片</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751E7C21">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24BF1C2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98EE2E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11268187">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5AC2C01A">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6F78304D">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开四镜片</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40C3D840">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23DA25EB">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0ADB35E1">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3DD74399">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DA097F7">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5F75A0D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四尺镜片</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70AE15CD">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56CD8689">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5B0BB4FE">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1160D79D">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369DA6B4">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4085D2C7">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六尺轴</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3F9CBDE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设计定制</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5E3FE230">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0D4F0C0D">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2350690D">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7E654F53">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7C37483A">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六尺对开轴</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03A8BD51">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六尺对开轴</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8ACE28E">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6E4184ED">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0A5FDA37">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0DDE3100">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7C826490">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四尺轴</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78EE6C1">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四尺轴</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757012F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030EAE2C">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57BD9EC1">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640C46C6">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7F5C5105">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四尺对开轴</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41F3225C">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四尺对开轴</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64CB102">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7907BCD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4EBF4072">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2C2ABECC">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shd w:val="clear" w:color="000000" w:fill="FFFFFF"/>
            <w:noWrap/>
            <w:vAlign w:val="center"/>
          </w:tcPr>
          <w:p w14:paraId="2DDE20DE">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六尺对开轴</w:t>
            </w:r>
          </w:p>
        </w:tc>
        <w:tc>
          <w:tcPr>
            <w:tcW w:w="1957" w:type="pct"/>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F26EC3E">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六尺对开轴</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26B38F0">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37FF4D0F">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6C767BCD">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60C41D8F">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5000" w:type="pct"/>
            <w:gridSpan w:val="5"/>
            <w:tcBorders>
              <w:top w:val="single" w:color="000000" w:sz="4" w:space="0"/>
              <w:bottom w:val="single" w:color="000000" w:sz="4" w:space="0"/>
            </w:tcBorders>
            <w:noWrap/>
            <w:vAlign w:val="bottom"/>
          </w:tcPr>
          <w:p w14:paraId="2D36E853">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作品装裱、装框</w:t>
            </w:r>
          </w:p>
        </w:tc>
      </w:tr>
      <w:tr w14:paraId="4438D85A">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bottom"/>
          </w:tcPr>
          <w:p w14:paraId="5EFEB5AC">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内容</w:t>
            </w:r>
          </w:p>
        </w:tc>
        <w:tc>
          <w:tcPr>
            <w:tcW w:w="1957" w:type="pct"/>
            <w:tcBorders>
              <w:top w:val="single" w:color="000000" w:sz="4" w:space="0"/>
              <w:left w:val="single" w:color="000000" w:sz="4" w:space="0"/>
              <w:bottom w:val="single" w:color="000000" w:sz="4" w:space="0"/>
              <w:right w:val="single" w:color="000000" w:sz="4" w:space="0"/>
            </w:tcBorders>
            <w:noWrap/>
            <w:vAlign w:val="bottom"/>
          </w:tcPr>
          <w:p w14:paraId="492E8D2F">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规格</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150C2BF0">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尺寸cm</w:t>
            </w: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033F8D34">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lang w:eastAsia="zh-CN"/>
              </w:rPr>
            </w:pPr>
            <w:r>
              <w:rPr>
                <w:rFonts w:hint="eastAsia" w:ascii="方正兰亭黑简体" w:hAnsi="方正兰亭黑简体" w:eastAsia="方正兰亭黑简体" w:cs="方正兰亭黑简体"/>
                <w:b/>
                <w:bCs/>
                <w:color w:val="auto"/>
                <w:kern w:val="0"/>
                <w:sz w:val="22"/>
                <w:szCs w:val="22"/>
                <w:highlight w:val="none"/>
                <w:lang w:bidi="ar"/>
              </w:rPr>
              <w:t>单价</w:t>
            </w:r>
            <w:r>
              <w:rPr>
                <w:rFonts w:hint="eastAsia" w:ascii="方正兰亭黑简体" w:hAnsi="方正兰亭黑简体" w:eastAsia="方正兰亭黑简体" w:cs="方正兰亭黑简体"/>
                <w:b/>
                <w:bCs/>
                <w:color w:val="auto"/>
                <w:kern w:val="0"/>
                <w:sz w:val="22"/>
                <w:szCs w:val="22"/>
                <w:highlight w:val="none"/>
                <w:lang w:eastAsia="zh-CN" w:bidi="ar"/>
              </w:rPr>
              <w:t>（</w:t>
            </w:r>
            <w:r>
              <w:rPr>
                <w:rFonts w:hint="eastAsia" w:ascii="方正兰亭黑简体" w:hAnsi="方正兰亭黑简体" w:eastAsia="方正兰亭黑简体" w:cs="方正兰亭黑简体"/>
                <w:b/>
                <w:bCs/>
                <w:color w:val="auto"/>
                <w:kern w:val="0"/>
                <w:sz w:val="22"/>
                <w:szCs w:val="22"/>
                <w:highlight w:val="none"/>
                <w:lang w:val="en-US" w:eastAsia="zh-CN" w:bidi="ar"/>
              </w:rPr>
              <w:t>元</w:t>
            </w:r>
            <w:r>
              <w:rPr>
                <w:rFonts w:hint="eastAsia" w:ascii="方正兰亭黑简体" w:hAnsi="方正兰亭黑简体" w:eastAsia="方正兰亭黑简体" w:cs="方正兰亭黑简体"/>
                <w:b/>
                <w:bCs/>
                <w:color w:val="auto"/>
                <w:kern w:val="0"/>
                <w:sz w:val="22"/>
                <w:szCs w:val="22"/>
                <w:highlight w:val="none"/>
                <w:lang w:eastAsia="zh-CN" w:bidi="ar"/>
              </w:rPr>
              <w:t>）</w:t>
            </w:r>
          </w:p>
        </w:tc>
        <w:tc>
          <w:tcPr>
            <w:tcW w:w="352" w:type="pct"/>
            <w:tcBorders>
              <w:top w:val="single" w:color="000000" w:sz="4" w:space="0"/>
              <w:left w:val="single" w:color="000000" w:sz="4" w:space="0"/>
              <w:bottom w:val="single" w:color="000000" w:sz="4" w:space="0"/>
            </w:tcBorders>
            <w:noWrap/>
            <w:vAlign w:val="bottom"/>
          </w:tcPr>
          <w:p w14:paraId="38FCF5BF">
            <w:pPr>
              <w:spacing w:line="360" w:lineRule="auto"/>
              <w:jc w:val="center"/>
              <w:rPr>
                <w:rFonts w:hint="eastAsia" w:ascii="方正兰亭黑简体" w:hAnsi="方正兰亭黑简体" w:eastAsia="方正兰亭黑简体" w:cs="方正兰亭黑简体"/>
                <w:b/>
                <w:bCs/>
                <w:color w:val="auto"/>
                <w:sz w:val="22"/>
                <w:szCs w:val="22"/>
                <w:highlight w:val="none"/>
              </w:rPr>
            </w:pPr>
          </w:p>
        </w:tc>
      </w:tr>
      <w:tr w14:paraId="40B23242">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6F39CF88">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设计图片、装裱后的作品</w:t>
            </w:r>
          </w:p>
        </w:tc>
        <w:tc>
          <w:tcPr>
            <w:tcW w:w="1957" w:type="pct"/>
            <w:tcBorders>
              <w:top w:val="single" w:color="000000" w:sz="4" w:space="0"/>
              <w:left w:val="single" w:color="000000" w:sz="4" w:space="0"/>
              <w:bottom w:val="single" w:color="000000" w:sz="4" w:space="0"/>
              <w:right w:val="single" w:color="000000" w:sz="4" w:space="0"/>
            </w:tcBorders>
            <w:noWrap/>
            <w:vAlign w:val="center"/>
          </w:tcPr>
          <w:p w14:paraId="03B6D0F4">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所有展览作品需要高清电子版备案</w:t>
            </w:r>
          </w:p>
        </w:tc>
        <w:tc>
          <w:tcPr>
            <w:tcW w:w="536" w:type="pct"/>
            <w:tcBorders>
              <w:top w:val="single" w:color="000000" w:sz="4" w:space="0"/>
              <w:left w:val="single" w:color="000000" w:sz="4" w:space="0"/>
              <w:bottom w:val="single" w:color="000000" w:sz="4" w:space="0"/>
              <w:right w:val="single" w:color="000000" w:sz="4" w:space="0"/>
            </w:tcBorders>
            <w:noWrap/>
            <w:vAlign w:val="bottom"/>
          </w:tcPr>
          <w:p w14:paraId="33B0509C">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715" w:type="pct"/>
            <w:tcBorders>
              <w:top w:val="single" w:color="000000" w:sz="4" w:space="0"/>
              <w:left w:val="single" w:color="000000" w:sz="4" w:space="0"/>
              <w:bottom w:val="single" w:color="000000" w:sz="4" w:space="0"/>
              <w:right w:val="single" w:color="000000" w:sz="4" w:space="0"/>
            </w:tcBorders>
            <w:noWrap/>
            <w:vAlign w:val="bottom"/>
          </w:tcPr>
          <w:p w14:paraId="1719A244">
            <w:pPr>
              <w:spacing w:line="360" w:lineRule="auto"/>
              <w:jc w:val="center"/>
              <w:rPr>
                <w:rFonts w:hint="eastAsia" w:ascii="方正兰亭黑简体" w:hAnsi="方正兰亭黑简体" w:eastAsia="方正兰亭黑简体" w:cs="方正兰亭黑简体"/>
                <w:color w:val="auto"/>
                <w:sz w:val="22"/>
                <w:szCs w:val="22"/>
                <w:highlight w:val="none"/>
              </w:rPr>
            </w:pPr>
          </w:p>
        </w:tc>
        <w:tc>
          <w:tcPr>
            <w:tcW w:w="352" w:type="pct"/>
            <w:tcBorders>
              <w:top w:val="single" w:color="000000" w:sz="4" w:space="0"/>
              <w:left w:val="single" w:color="000000" w:sz="4" w:space="0"/>
              <w:bottom w:val="single" w:color="000000" w:sz="4" w:space="0"/>
            </w:tcBorders>
            <w:noWrap/>
            <w:vAlign w:val="bottom"/>
          </w:tcPr>
          <w:p w14:paraId="419DCBCA">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4ACBA439">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5000" w:type="pct"/>
            <w:gridSpan w:val="5"/>
            <w:tcBorders>
              <w:top w:val="single" w:color="000000" w:sz="4" w:space="0"/>
              <w:bottom w:val="single" w:color="000000" w:sz="4" w:space="0"/>
            </w:tcBorders>
            <w:noWrap/>
            <w:vAlign w:val="bottom"/>
          </w:tcPr>
          <w:p w14:paraId="278FDC95">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安装运输</w:t>
            </w:r>
          </w:p>
        </w:tc>
      </w:tr>
      <w:tr w14:paraId="177BADCB">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bottom"/>
          </w:tcPr>
          <w:p w14:paraId="4A3FAF3C">
            <w:pPr>
              <w:widowControl/>
              <w:spacing w:line="360" w:lineRule="auto"/>
              <w:jc w:val="center"/>
              <w:textAlignment w:val="bottom"/>
              <w:rPr>
                <w:rFonts w:hint="eastAsia" w:ascii="方正兰亭黑简体" w:hAnsi="方正兰亭黑简体" w:eastAsia="方正兰亭黑简体" w:cs="方正兰亭黑简体"/>
                <w:b/>
                <w:bCs/>
                <w:color w:val="auto"/>
                <w:kern w:val="0"/>
                <w:sz w:val="22"/>
                <w:szCs w:val="22"/>
                <w:highlight w:val="none"/>
                <w:lang w:bidi="ar"/>
              </w:rPr>
            </w:pPr>
            <w:r>
              <w:rPr>
                <w:rFonts w:hint="eastAsia" w:ascii="方正兰亭黑简体" w:hAnsi="方正兰亭黑简体" w:eastAsia="方正兰亭黑简体" w:cs="方正兰亭黑简体"/>
                <w:b/>
                <w:bCs/>
                <w:color w:val="auto"/>
                <w:kern w:val="0"/>
                <w:sz w:val="22"/>
                <w:szCs w:val="22"/>
                <w:highlight w:val="none"/>
                <w:lang w:bidi="ar"/>
              </w:rPr>
              <w:t>内容</w:t>
            </w:r>
          </w:p>
        </w:tc>
        <w:tc>
          <w:tcPr>
            <w:tcW w:w="2493" w:type="pct"/>
            <w:gridSpan w:val="2"/>
            <w:tcBorders>
              <w:top w:val="single" w:color="000000" w:sz="4" w:space="0"/>
              <w:left w:val="single" w:color="000000" w:sz="4" w:space="0"/>
              <w:bottom w:val="single" w:color="000000" w:sz="4" w:space="0"/>
              <w:right w:val="single" w:color="000000" w:sz="4" w:space="0"/>
            </w:tcBorders>
            <w:noWrap/>
            <w:vAlign w:val="bottom"/>
          </w:tcPr>
          <w:p w14:paraId="6020BCE4">
            <w:pPr>
              <w:widowControl/>
              <w:spacing w:line="360" w:lineRule="auto"/>
              <w:jc w:val="center"/>
              <w:textAlignment w:val="bottom"/>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kern w:val="0"/>
                <w:sz w:val="22"/>
                <w:szCs w:val="22"/>
                <w:highlight w:val="none"/>
                <w:lang w:bidi="ar"/>
              </w:rPr>
              <w:t>规格</w:t>
            </w:r>
          </w:p>
        </w:tc>
        <w:tc>
          <w:tcPr>
            <w:tcW w:w="1068" w:type="pct"/>
            <w:gridSpan w:val="2"/>
            <w:tcBorders>
              <w:top w:val="single" w:color="000000" w:sz="4" w:space="0"/>
              <w:left w:val="single" w:color="000000" w:sz="4" w:space="0"/>
              <w:bottom w:val="single" w:color="000000" w:sz="4" w:space="0"/>
            </w:tcBorders>
            <w:noWrap/>
            <w:vAlign w:val="bottom"/>
          </w:tcPr>
          <w:p w14:paraId="108CF6AD">
            <w:pPr>
              <w:spacing w:line="360" w:lineRule="auto"/>
              <w:jc w:val="center"/>
              <w:rPr>
                <w:rFonts w:hint="eastAsia" w:ascii="方正兰亭黑简体" w:hAnsi="方正兰亭黑简体" w:eastAsia="方正兰亭黑简体" w:cs="方正兰亭黑简体"/>
                <w:b/>
                <w:bCs/>
                <w:color w:val="auto"/>
                <w:sz w:val="22"/>
                <w:szCs w:val="22"/>
                <w:highlight w:val="none"/>
                <w:lang w:eastAsia="zh-CN"/>
              </w:rPr>
            </w:pPr>
            <w:r>
              <w:rPr>
                <w:rFonts w:hint="eastAsia" w:ascii="方正兰亭黑简体" w:hAnsi="方正兰亭黑简体" w:eastAsia="方正兰亭黑简体" w:cs="方正兰亭黑简体"/>
                <w:b/>
                <w:bCs/>
                <w:color w:val="auto"/>
                <w:kern w:val="0"/>
                <w:sz w:val="22"/>
                <w:szCs w:val="22"/>
                <w:highlight w:val="none"/>
                <w:lang w:bidi="ar"/>
              </w:rPr>
              <w:t>单价</w:t>
            </w:r>
            <w:r>
              <w:rPr>
                <w:rFonts w:hint="eastAsia" w:ascii="方正兰亭黑简体" w:hAnsi="方正兰亭黑简体" w:eastAsia="方正兰亭黑简体" w:cs="方正兰亭黑简体"/>
                <w:b/>
                <w:bCs/>
                <w:color w:val="auto"/>
                <w:kern w:val="0"/>
                <w:sz w:val="22"/>
                <w:szCs w:val="22"/>
                <w:highlight w:val="none"/>
                <w:lang w:eastAsia="zh-CN" w:bidi="ar"/>
              </w:rPr>
              <w:t>（</w:t>
            </w:r>
            <w:r>
              <w:rPr>
                <w:rFonts w:hint="eastAsia" w:ascii="方正兰亭黑简体" w:hAnsi="方正兰亭黑简体" w:eastAsia="方正兰亭黑简体" w:cs="方正兰亭黑简体"/>
                <w:b/>
                <w:bCs/>
                <w:color w:val="auto"/>
                <w:kern w:val="0"/>
                <w:sz w:val="22"/>
                <w:szCs w:val="22"/>
                <w:highlight w:val="none"/>
                <w:lang w:val="en-US" w:eastAsia="zh-CN" w:bidi="ar"/>
              </w:rPr>
              <w:t>元</w:t>
            </w:r>
            <w:r>
              <w:rPr>
                <w:rFonts w:hint="eastAsia" w:ascii="方正兰亭黑简体" w:hAnsi="方正兰亭黑简体" w:eastAsia="方正兰亭黑简体" w:cs="方正兰亭黑简体"/>
                <w:b/>
                <w:bCs/>
                <w:color w:val="auto"/>
                <w:kern w:val="0"/>
                <w:sz w:val="22"/>
                <w:szCs w:val="22"/>
                <w:highlight w:val="none"/>
                <w:lang w:eastAsia="zh-CN" w:bidi="ar"/>
              </w:rPr>
              <w:t>）</w:t>
            </w:r>
          </w:p>
        </w:tc>
      </w:tr>
      <w:tr w14:paraId="69B51BD2">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7D0D59C5">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布展人工费+拆展</w:t>
            </w:r>
          </w:p>
        </w:tc>
        <w:tc>
          <w:tcPr>
            <w:tcW w:w="2493" w:type="pct"/>
            <w:gridSpan w:val="2"/>
            <w:tcBorders>
              <w:top w:val="single" w:color="000000" w:sz="4" w:space="0"/>
              <w:left w:val="single" w:color="000000" w:sz="4" w:space="0"/>
              <w:bottom w:val="single" w:color="000000" w:sz="4" w:space="0"/>
              <w:right w:val="single" w:color="000000" w:sz="4" w:space="0"/>
            </w:tcBorders>
            <w:noWrap/>
            <w:vAlign w:val="center"/>
          </w:tcPr>
          <w:p w14:paraId="1F9C91FC">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每人次每天</w:t>
            </w:r>
          </w:p>
        </w:tc>
        <w:tc>
          <w:tcPr>
            <w:tcW w:w="1068" w:type="pct"/>
            <w:gridSpan w:val="2"/>
            <w:tcBorders>
              <w:top w:val="single" w:color="000000" w:sz="4" w:space="0"/>
              <w:left w:val="single" w:color="000000" w:sz="4" w:space="0"/>
              <w:bottom w:val="single" w:color="000000" w:sz="4" w:space="0"/>
            </w:tcBorders>
            <w:noWrap/>
            <w:vAlign w:val="bottom"/>
          </w:tcPr>
          <w:p w14:paraId="3CF0D52B">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631A4243">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1438" w:type="pct"/>
            <w:tcBorders>
              <w:top w:val="single" w:color="000000" w:sz="4" w:space="0"/>
              <w:bottom w:val="single" w:color="000000" w:sz="4" w:space="0"/>
              <w:right w:val="single" w:color="000000" w:sz="4" w:space="0"/>
            </w:tcBorders>
            <w:noWrap/>
            <w:vAlign w:val="center"/>
          </w:tcPr>
          <w:p w14:paraId="1DF2D55F">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布展运输费</w:t>
            </w:r>
          </w:p>
        </w:tc>
        <w:tc>
          <w:tcPr>
            <w:tcW w:w="2493" w:type="pct"/>
            <w:gridSpan w:val="2"/>
            <w:tcBorders>
              <w:top w:val="single" w:color="000000" w:sz="4" w:space="0"/>
              <w:left w:val="single" w:color="000000" w:sz="4" w:space="0"/>
              <w:bottom w:val="single" w:color="000000" w:sz="4" w:space="0"/>
              <w:right w:val="single" w:color="000000" w:sz="4" w:space="0"/>
            </w:tcBorders>
            <w:noWrap/>
            <w:vAlign w:val="center"/>
          </w:tcPr>
          <w:p w14:paraId="50470E29">
            <w:pPr>
              <w:widowControl/>
              <w:spacing w:line="360" w:lineRule="auto"/>
              <w:jc w:val="center"/>
              <w:textAlignment w:val="bottom"/>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次</w:t>
            </w:r>
          </w:p>
        </w:tc>
        <w:tc>
          <w:tcPr>
            <w:tcW w:w="1068" w:type="pct"/>
            <w:gridSpan w:val="2"/>
            <w:tcBorders>
              <w:top w:val="single" w:color="000000" w:sz="4" w:space="0"/>
              <w:left w:val="single" w:color="000000" w:sz="4" w:space="0"/>
              <w:bottom w:val="single" w:color="000000" w:sz="4" w:space="0"/>
            </w:tcBorders>
            <w:noWrap/>
            <w:vAlign w:val="bottom"/>
          </w:tcPr>
          <w:p w14:paraId="560A92FC">
            <w:pPr>
              <w:spacing w:line="360" w:lineRule="auto"/>
              <w:jc w:val="center"/>
              <w:rPr>
                <w:rFonts w:hint="eastAsia" w:ascii="方正兰亭黑简体" w:hAnsi="方正兰亭黑简体" w:eastAsia="方正兰亭黑简体" w:cs="方正兰亭黑简体"/>
                <w:color w:val="auto"/>
                <w:sz w:val="22"/>
                <w:szCs w:val="22"/>
                <w:highlight w:val="none"/>
              </w:rPr>
            </w:pPr>
          </w:p>
        </w:tc>
      </w:tr>
      <w:tr w14:paraId="245FF90E">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108" w:type="dxa"/>
            <w:bottom w:w="0" w:type="dxa"/>
            <w:right w:w="108" w:type="dxa"/>
          </w:tblCellMar>
        </w:tblPrEx>
        <w:trPr>
          <w:trHeight w:val="23" w:hRule="atLeast"/>
        </w:trPr>
        <w:tc>
          <w:tcPr>
            <w:tcW w:w="3931" w:type="pct"/>
            <w:gridSpan w:val="3"/>
            <w:tcBorders>
              <w:top w:val="single" w:color="000000" w:sz="4" w:space="0"/>
              <w:right w:val="single" w:color="000000" w:sz="4" w:space="0"/>
            </w:tcBorders>
            <w:noWrap/>
            <w:vAlign w:val="center"/>
          </w:tcPr>
          <w:p w14:paraId="54D29600">
            <w:pPr>
              <w:spacing w:line="360" w:lineRule="auto"/>
              <w:jc w:val="center"/>
              <w:rPr>
                <w:rFonts w:hint="eastAsia" w:ascii="方正兰亭黑简体" w:hAnsi="方正兰亭黑简体" w:eastAsia="方正兰亭黑简体" w:cs="方正兰亭黑简体"/>
                <w:color w:val="auto"/>
                <w:kern w:val="0"/>
                <w:sz w:val="22"/>
                <w:szCs w:val="22"/>
                <w:highlight w:val="none"/>
                <w:lang w:val="en-US" w:eastAsia="zh-CN" w:bidi="ar"/>
              </w:rPr>
            </w:pPr>
            <w:r>
              <w:rPr>
                <w:rFonts w:hint="eastAsia" w:ascii="方正兰亭黑简体" w:hAnsi="方正兰亭黑简体" w:eastAsia="方正兰亭黑简体" w:cs="方正兰亭黑简体"/>
                <w:b/>
                <w:bCs/>
                <w:color w:val="auto"/>
                <w:kern w:val="0"/>
                <w:sz w:val="22"/>
                <w:szCs w:val="22"/>
                <w:highlight w:val="none"/>
                <w:lang w:val="en-US" w:eastAsia="zh-CN" w:bidi="ar"/>
              </w:rPr>
              <w:t>投标报价（所有分项单价之和）</w:t>
            </w:r>
          </w:p>
        </w:tc>
        <w:tc>
          <w:tcPr>
            <w:tcW w:w="1068" w:type="pct"/>
            <w:gridSpan w:val="2"/>
            <w:tcBorders>
              <w:top w:val="single" w:color="000000" w:sz="4" w:space="0"/>
              <w:left w:val="single" w:color="000000" w:sz="4" w:space="0"/>
            </w:tcBorders>
            <w:noWrap/>
            <w:vAlign w:val="center"/>
          </w:tcPr>
          <w:p w14:paraId="6C68B3A3">
            <w:pPr>
              <w:spacing w:line="360" w:lineRule="auto"/>
              <w:jc w:val="center"/>
              <w:rPr>
                <w:rFonts w:hint="eastAsia" w:ascii="方正兰亭黑简体" w:hAnsi="方正兰亭黑简体" w:eastAsia="方正兰亭黑简体" w:cs="方正兰亭黑简体"/>
                <w:color w:val="auto"/>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bidi="ar"/>
              </w:rPr>
              <w:t>元</w:t>
            </w:r>
          </w:p>
        </w:tc>
      </w:tr>
    </w:tbl>
    <w:p w14:paraId="4BC5AEDB">
      <w:pPr>
        <w:spacing w:line="440" w:lineRule="exact"/>
        <w:rPr>
          <w:rFonts w:hint="eastAsia" w:ascii="黑体" w:hAnsi="华文楷体" w:eastAsia="黑体"/>
          <w:color w:val="auto"/>
          <w:sz w:val="24"/>
          <w:highlight w:val="none"/>
        </w:rPr>
      </w:pPr>
    </w:p>
    <w:p w14:paraId="55B6533B">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default" w:ascii="方正兰亭黑简体" w:hAnsi="方正兰亭黑简体" w:eastAsia="方正兰亭黑简体" w:cs="方正兰亭黑简体"/>
          <w:color w:val="auto"/>
          <w:sz w:val="22"/>
          <w:szCs w:val="28"/>
          <w:highlight w:val="none"/>
          <w:lang w:val="en-US" w:eastAsia="zh-CN"/>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提供公司内专业人员相关从业资格证书，须提供名单、证书和交社保的情况证明</w:t>
      </w:r>
      <w:r>
        <w:rPr>
          <w:rFonts w:hint="eastAsia" w:ascii="方正兰亭黑简体" w:hAnsi="方正兰亭黑简体" w:eastAsia="方正兰亭黑简体" w:cs="方正兰亭黑简体"/>
          <w:color w:val="auto"/>
          <w:sz w:val="22"/>
          <w:szCs w:val="28"/>
          <w:highlight w:val="none"/>
          <w:lang w:eastAsia="zh-CN"/>
        </w:rPr>
        <w:t>）</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包含</w:t>
      </w:r>
      <w:r>
        <w:rPr>
          <w:rFonts w:hint="eastAsia" w:ascii="方正兰亭黑简体" w:hAnsi="方正兰亭黑简体" w:eastAsia="方正兰亭黑简体" w:cs="方正兰亭黑简体"/>
          <w:color w:val="auto"/>
          <w:sz w:val="22"/>
          <w:szCs w:val="28"/>
          <w:highlight w:val="none"/>
        </w:rPr>
        <w:t>相关设计及对应的布展场景照片</w:t>
      </w:r>
      <w:r>
        <w:rPr>
          <w:rFonts w:hint="eastAsia" w:ascii="方正兰亭黑简体" w:hAnsi="方正兰亭黑简体" w:eastAsia="方正兰亭黑简体" w:cs="方正兰亭黑简体"/>
          <w:color w:val="auto"/>
          <w:sz w:val="22"/>
          <w:szCs w:val="28"/>
          <w:highlight w:val="none"/>
          <w:lang w:eastAsia="zh-CN"/>
        </w:rPr>
        <w:t>）</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245E17-7690-4B3F-869C-3AFA690DEFD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A6E86F6B-8B36-4EC2-8CD2-AEA6A27BE10B}"/>
  </w:font>
  <w:font w:name="方正兰亭黑简体">
    <w:panose1 w:val="02000000000000000000"/>
    <w:charset w:val="86"/>
    <w:family w:val="auto"/>
    <w:pitch w:val="default"/>
    <w:sig w:usb0="A00002BF" w:usb1="184F6CFA" w:usb2="00000012" w:usb3="00000000" w:csb0="00040001" w:csb1="00000000"/>
    <w:embedRegular r:id="rId3" w:fontKey="{9A0EDC7F-E751-4E57-B8B2-B1552198EC5E}"/>
  </w:font>
  <w:font w:name="华文楷体">
    <w:panose1 w:val="02010600040101010101"/>
    <w:charset w:val="86"/>
    <w:family w:val="auto"/>
    <w:pitch w:val="default"/>
    <w:sig w:usb0="A00002BF" w:usb1="78CF7CFB" w:usb2="00000016" w:usb3="00000000" w:csb0="6006009F" w:csb1="DFD70000"/>
    <w:embedRegular r:id="rId4" w:fontKey="{84334E1B-5907-40FB-AF24-9835AA0E3C0D}"/>
  </w:font>
  <w:font w:name="方正仿宋_GB2312">
    <w:panose1 w:val="02000000000000000000"/>
    <w:charset w:val="86"/>
    <w:family w:val="auto"/>
    <w:pitch w:val="default"/>
    <w:sig w:usb0="A00002BF" w:usb1="184F6CFA" w:usb2="00000012" w:usb3="00000000" w:csb0="00040001" w:csb1="00000000"/>
    <w:embedRegular r:id="rId5" w:fontKey="{77308D9B-5B2D-4D0E-9FC8-B4D8ACE9D2E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7E200CA"/>
    <w:rsid w:val="08B545A5"/>
    <w:rsid w:val="092F2754"/>
    <w:rsid w:val="13353790"/>
    <w:rsid w:val="157E6317"/>
    <w:rsid w:val="19F06820"/>
    <w:rsid w:val="1E596D71"/>
    <w:rsid w:val="24050543"/>
    <w:rsid w:val="269F2B16"/>
    <w:rsid w:val="2FB07FD7"/>
    <w:rsid w:val="331671BF"/>
    <w:rsid w:val="33B3033B"/>
    <w:rsid w:val="34C222F7"/>
    <w:rsid w:val="35906085"/>
    <w:rsid w:val="3A9852E0"/>
    <w:rsid w:val="3D6469F5"/>
    <w:rsid w:val="3FCC680A"/>
    <w:rsid w:val="3FDF48A5"/>
    <w:rsid w:val="40115E5B"/>
    <w:rsid w:val="40134FEB"/>
    <w:rsid w:val="41007DAA"/>
    <w:rsid w:val="438704B0"/>
    <w:rsid w:val="480A63EB"/>
    <w:rsid w:val="487158D1"/>
    <w:rsid w:val="488E3B06"/>
    <w:rsid w:val="48F25244"/>
    <w:rsid w:val="4CCA439B"/>
    <w:rsid w:val="4EFD134C"/>
    <w:rsid w:val="543D6D6A"/>
    <w:rsid w:val="58C4549A"/>
    <w:rsid w:val="5AEA704B"/>
    <w:rsid w:val="5C376D46"/>
    <w:rsid w:val="5DF2219B"/>
    <w:rsid w:val="5E8720EC"/>
    <w:rsid w:val="5EE9209B"/>
    <w:rsid w:val="5F44384A"/>
    <w:rsid w:val="60BF2A71"/>
    <w:rsid w:val="66E533C4"/>
    <w:rsid w:val="681A51E0"/>
    <w:rsid w:val="695E3370"/>
    <w:rsid w:val="699D5EE7"/>
    <w:rsid w:val="6B99520C"/>
    <w:rsid w:val="73574C00"/>
    <w:rsid w:val="7CFA5264"/>
    <w:rsid w:val="7FF41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7">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next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paragraph" w:styleId="14">
    <w:name w:val="Body Text First Indent 2"/>
    <w:basedOn w:val="4"/>
    <w:qFormat/>
    <w:uiPriority w:val="0"/>
    <w:pPr>
      <w:spacing w:after="120"/>
      <w:ind w:left="420" w:leftChars="200" w:firstLine="420" w:firstLineChars="200"/>
    </w:pPr>
    <w:rPr>
      <w:rFonts w:ascii="Times New Roman"/>
      <w:sz w:val="21"/>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Hyperlink"/>
    <w:basedOn w:val="17"/>
    <w:unhideWhenUsed/>
    <w:qFormat/>
    <w:uiPriority w:val="99"/>
    <w:rPr>
      <w:color w:val="0000FF"/>
      <w:u w:val="single"/>
    </w:rPr>
  </w:style>
  <w:style w:type="paragraph" w:customStyle="1" w:styleId="20">
    <w:name w:val="列表段落1"/>
    <w:basedOn w:val="1"/>
    <w:qFormat/>
    <w:uiPriority w:val="0"/>
    <w:pPr>
      <w:ind w:firstLine="420" w:firstLineChars="200"/>
    </w:pPr>
  </w:style>
  <w:style w:type="paragraph" w:customStyle="1" w:styleId="21">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2">
    <w:name w:val="15"/>
    <w:basedOn w:val="17"/>
    <w:qFormat/>
    <w:uiPriority w:val="0"/>
    <w:rPr>
      <w:rFonts w:hint="default" w:ascii="Calibri" w:hAnsi="Calibri" w:cs="Calibri"/>
      <w:b/>
      <w:bCs/>
    </w:rPr>
  </w:style>
  <w:style w:type="paragraph" w:styleId="23">
    <w:name w:val="List Paragraph"/>
    <w:basedOn w:val="1"/>
    <w:qFormat/>
    <w:uiPriority w:val="34"/>
    <w:pPr>
      <w:ind w:left="720"/>
      <w:contextualSpacing/>
    </w:pPr>
  </w:style>
  <w:style w:type="table" w:customStyle="1" w:styleId="24">
    <w:name w:val="Table Normal"/>
    <w:semiHidden/>
    <w:unhideWhenUsed/>
    <w:qFormat/>
    <w:uiPriority w:val="0"/>
    <w:tblPr>
      <w:tblCellMar>
        <w:top w:w="0" w:type="dxa"/>
        <w:left w:w="0" w:type="dxa"/>
        <w:bottom w:w="0" w:type="dxa"/>
        <w:right w:w="0" w:type="dxa"/>
      </w:tblCellMar>
    </w:tblPr>
  </w:style>
  <w:style w:type="paragraph" w:customStyle="1" w:styleId="25">
    <w:name w:val="表格正文内容"/>
    <w:basedOn w:val="1"/>
    <w:next w:val="1"/>
    <w:autoRedefine/>
    <w:qFormat/>
    <w:uiPriority w:val="0"/>
    <w:pPr>
      <w:widowControl/>
      <w:spacing w:line="360" w:lineRule="exact"/>
      <w:jc w:val="left"/>
    </w:pPr>
    <w:rPr>
      <w:rFonts w:ascii="楷体_GB2312" w:hAnsi="方正小标宋简体" w:eastAsia="仿宋_GB2312" w:cs="仿宋"/>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b145f479-a6a0-4e86-b1af-09af028477e1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b9746bfb-3931-42c8-b00a-e1d81392c24f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30d73eca-96d5-4670-9237-3a798e3cc25a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c26f7d99-ecc7-4132-9048-fb8bd2c39fcc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DD01E0A</paraID>
      <start>0</start>
      <end>2</end>
      <status>unmodified</status>
      <modifiedWord/>
      <trackRevisions>false</trackRevisions>
    </reviewItem>
    <reviewItem>
      <errorID>4bac3658-2d67-48b3-a735-9a0a31371037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79FDE64D</paraID>
      <start>0</start>
      <end>2</end>
      <status>unmodified</status>
      <modifiedWord/>
      <trackRevisions>false</trackRevisions>
    </reviewItem>
    <reviewItem>
      <errorID>70b180e9-e48a-45b0-a231-d9bdaadd1a4b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1E996F52</paraID>
      <start>0</start>
      <end>2</end>
      <status>unmodified</status>
      <modifiedWord/>
      <trackRevisions>false</trackRevisions>
    </reviewItem>
    <reviewItem>
      <errorID>9a99aa8a-d3cf-4694-ba9f-7c2e43b49581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72E33785</paraID>
      <start>0</start>
      <end>2</end>
      <status>unmodified</status>
      <modifiedWord/>
      <trackRevisions>false</trackRevisions>
    </reviewItem>
    <reviewItem>
      <errorID>cefb913c-1bec-4e83-ba76-d884b46ba8bc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2D6773FC</paraID>
      <start>0</start>
      <end>2</end>
      <status>unmodified</status>
      <modifiedWord/>
      <trackRevisions>false</trackRevisions>
    </reviewItem>
    <reviewItem>
      <errorID>0801c636-dafa-4da4-90a9-231edb792283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1E43A622</paraID>
      <start>0</start>
      <end>2</end>
      <status>unmodified</status>
      <modifiedWord/>
      <trackRevisions>false</trackRevisions>
    </reviewItem>
    <reviewItem>
      <errorID>fc7a3203-9f23-4114-8daa-4162ece0edb2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6A53AA8F</paraID>
      <start>0</start>
      <end>2</end>
      <status>unmodified</status>
      <modifiedWord/>
      <trackRevisions>false</trackRevisions>
    </reviewItem>
    <reviewItem>
      <errorID>65d48753-8c79-469a-a251-a8ecfb330230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5A6FBE99</paraID>
      <start>0</start>
      <end>2</end>
      <status>unmodified</status>
      <modifiedWord/>
      <trackRevisions>false</trackRevisions>
    </reviewItem>
    <reviewItem>
      <errorID>29ac7fa6-74cc-4c63-8e8b-50f8457a599e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2A4C96D9</paraID>
      <start>0</start>
      <end>2</end>
      <status>unmodified</status>
      <modifiedWord/>
      <trackRevisions>false</trackRevisions>
    </reviewItem>
    <reviewItem>
      <errorID>72b00b73-f22a-4b71-bae5-5c7bd04ee8fc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23a0a176-c754-43ea-8016-6af9b3c8c562</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b0ebfadf-ab1d-4e4d-9321-9ec6a2b1b404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9b902de7-6fdf-491f-9e1b-1a7206731a58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de863010-9bb0-47b8-9d59-51078ec1b639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b31f0e29-4a93-490d-a52d-9e3d2f4fcfec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95968780-633f-470b-9ede-d78d6ac89851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7b40ba20-14de-4e4b-b3e2-bf194a8b421d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f9f17e-029a-448a-a70d-f750f5185cd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2642</Words>
  <Characters>2757</Characters>
  <Lines>133</Lines>
  <Paragraphs>161</Paragraphs>
  <TotalTime>15</TotalTime>
  <ScaleCrop>false</ScaleCrop>
  <LinksUpToDate>false</LinksUpToDate>
  <CharactersWithSpaces>2926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2026-04-28T07:18:44Z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