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附件一：技术要求</w:t>
      </w:r>
    </w:p>
    <w:p>
      <w:pPr>
        <w:spacing w:line="4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一卡通系统卡片技术</w:t>
      </w:r>
      <w:r>
        <w:rPr>
          <w:b/>
          <w:sz w:val="28"/>
          <w:szCs w:val="28"/>
        </w:rPr>
        <w:t>参数及服务</w:t>
      </w:r>
      <w:r>
        <w:rPr>
          <w:rFonts w:hint="eastAsia"/>
          <w:b/>
          <w:sz w:val="28"/>
          <w:szCs w:val="28"/>
        </w:rPr>
        <w:t>要求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用途</w:t>
      </w:r>
      <w:r>
        <w:rPr>
          <w:b/>
          <w:szCs w:val="21"/>
        </w:rPr>
        <w:t>及数量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845"/>
        <w:gridCol w:w="4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pct"/>
          </w:tcPr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研究生卡、</w:t>
            </w:r>
            <w:r>
              <w:rPr>
                <w:rFonts w:hint="eastAsia"/>
                <w:szCs w:val="21"/>
              </w:rPr>
              <w:t>留</w:t>
            </w:r>
            <w:r>
              <w:rPr>
                <w:szCs w:val="21"/>
              </w:rPr>
              <w:t>学生卡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教师卡</w:t>
            </w:r>
            <w:r>
              <w:rPr>
                <w:rFonts w:hint="eastAsia"/>
                <w:szCs w:val="21"/>
              </w:rPr>
              <w:t>、记名卡、出入卡、校友卡</w:t>
            </w:r>
          </w:p>
        </w:tc>
        <w:tc>
          <w:tcPr>
            <w:tcW w:w="926" w:type="pct"/>
          </w:tcPr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000张</w:t>
            </w:r>
          </w:p>
        </w:tc>
        <w:tc>
          <w:tcPr>
            <w:tcW w:w="2222" w:type="pct"/>
          </w:tcPr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提供</w:t>
            </w:r>
            <w:r>
              <w:rPr>
                <w:rFonts w:hint="eastAsia"/>
                <w:szCs w:val="21"/>
              </w:rPr>
              <w:t>样式</w:t>
            </w:r>
            <w:r>
              <w:rPr>
                <w:szCs w:val="21"/>
              </w:rPr>
              <w:t>设计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用</w:t>
            </w:r>
            <w:r>
              <w:rPr>
                <w:rFonts w:hint="eastAsia"/>
                <w:szCs w:val="21"/>
              </w:rPr>
              <w:t>于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一卡通系统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pct"/>
          </w:tcPr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>生卡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研究生卡（</w:t>
            </w: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>性化印刷）</w:t>
            </w:r>
          </w:p>
        </w:tc>
        <w:tc>
          <w:tcPr>
            <w:tcW w:w="926" w:type="pct"/>
          </w:tcPr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>
              <w:rPr>
                <w:szCs w:val="21"/>
              </w:rPr>
              <w:t>15000</w:t>
            </w:r>
            <w:r>
              <w:rPr>
                <w:rFonts w:hint="eastAsia"/>
                <w:szCs w:val="21"/>
              </w:rPr>
              <w:t>张</w:t>
            </w:r>
          </w:p>
        </w:tc>
        <w:tc>
          <w:tcPr>
            <w:tcW w:w="2222" w:type="pct"/>
          </w:tcPr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学校提供</w:t>
            </w:r>
            <w:r>
              <w:rPr>
                <w:rFonts w:hint="eastAsia"/>
                <w:szCs w:val="21"/>
              </w:rPr>
              <w:t>样式</w:t>
            </w:r>
            <w:r>
              <w:rPr>
                <w:szCs w:val="21"/>
              </w:rPr>
              <w:t>设计，印刷照片以及</w:t>
            </w: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等信息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用</w:t>
            </w:r>
            <w:r>
              <w:rPr>
                <w:rFonts w:hint="eastAsia"/>
                <w:szCs w:val="21"/>
              </w:rPr>
              <w:t>于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一卡通系统</w:t>
            </w:r>
          </w:p>
        </w:tc>
      </w:tr>
    </w:tbl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注：本采购合同签订有效期限为三年，需方于三年内按需分批采购货物，用完为止。供方凭需方提交的《购卡申请表》按时供货，货物实际采购数量以《购卡申请表》数量为准。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技术要求：</w:t>
      </w:r>
      <w:bookmarkStart w:id="0" w:name="_GoBack"/>
      <w:bookmarkEnd w:id="0"/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产品名称</w:t>
      </w:r>
      <w:r>
        <w:rPr>
          <w:rFonts w:ascii="Times New Roman" w:hAnsi="Times New Roman"/>
          <w:vanish/>
          <w:color w:val="000000"/>
          <w:kern w:val="0"/>
          <w:szCs w:val="21"/>
        </w:rPr>
        <w:t>:Mifare 4K(S70)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卡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芯片类型</w:t>
      </w:r>
      <w:r>
        <w:rPr>
          <w:rFonts w:ascii="Times New Roman" w:hAnsi="Times New Roman"/>
          <w:vanish/>
          <w:color w:val="000000"/>
          <w:kern w:val="0"/>
          <w:szCs w:val="21"/>
        </w:rPr>
        <w:t>:Philips Mifare 1 S70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（</w:t>
      </w:r>
      <w:r>
        <w:rPr>
          <w:rFonts w:ascii="Times New Roman" w:hAnsi="Times New Roman"/>
          <w:vanish/>
          <w:color w:val="000000"/>
          <w:kern w:val="0"/>
          <w:szCs w:val="21"/>
        </w:rPr>
        <w:t>MOA2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）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存储容量</w:t>
      </w:r>
      <w:r>
        <w:rPr>
          <w:rFonts w:ascii="Times New Roman" w:hAnsi="Times New Roman"/>
          <w:vanish/>
          <w:color w:val="000000"/>
          <w:kern w:val="0"/>
          <w:szCs w:val="21"/>
        </w:rPr>
        <w:t>:32Kbit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，</w:t>
      </w:r>
      <w:r>
        <w:rPr>
          <w:rFonts w:ascii="Times New Roman" w:hAnsi="Times New Roman"/>
          <w:vanish/>
          <w:color w:val="000000"/>
          <w:kern w:val="0"/>
          <w:szCs w:val="21"/>
        </w:rPr>
        <w:t>32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个分区，每分区两组密码</w:t>
      </w:r>
      <w:r>
        <w:rPr>
          <w:rFonts w:ascii="Times New Roman" w:hAnsi="Times New Roman"/>
          <w:vanish/>
          <w:color w:val="000000"/>
          <w:kern w:val="0"/>
          <w:szCs w:val="21"/>
        </w:rPr>
        <w:t>4096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字节，</w:t>
      </w:r>
      <w:r>
        <w:rPr>
          <w:rFonts w:ascii="Times New Roman" w:hAnsi="Times New Roman"/>
          <w:vanish/>
          <w:color w:val="000000"/>
          <w:kern w:val="0"/>
          <w:szCs w:val="21"/>
        </w:rPr>
        <w:t>40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个扇区，前</w:t>
      </w:r>
      <w:r>
        <w:rPr>
          <w:rFonts w:ascii="Times New Roman" w:hAnsi="Times New Roman"/>
          <w:vanish/>
          <w:color w:val="000000"/>
          <w:kern w:val="0"/>
          <w:szCs w:val="21"/>
        </w:rPr>
        <w:t>32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个扇区每扇区</w:t>
      </w:r>
      <w:r>
        <w:rPr>
          <w:rFonts w:ascii="Times New Roman" w:hAnsi="Times New Roman"/>
          <w:vanish/>
          <w:color w:val="000000"/>
          <w:kern w:val="0"/>
          <w:szCs w:val="21"/>
        </w:rPr>
        <w:t>4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个块，后</w:t>
      </w:r>
      <w:r>
        <w:rPr>
          <w:rFonts w:ascii="Times New Roman" w:hAnsi="Times New Roman"/>
          <w:vanish/>
          <w:color w:val="000000"/>
          <w:kern w:val="0"/>
          <w:szCs w:val="21"/>
        </w:rPr>
        <w:t>8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个扇区每扇区</w:t>
      </w:r>
      <w:r>
        <w:rPr>
          <w:rFonts w:ascii="Times New Roman" w:hAnsi="Times New Roman"/>
          <w:vanish/>
          <w:color w:val="000000"/>
          <w:kern w:val="0"/>
          <w:szCs w:val="21"/>
        </w:rPr>
        <w:t>16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个块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工作频率</w:t>
      </w:r>
      <w:r>
        <w:rPr>
          <w:rFonts w:ascii="Times New Roman" w:hAnsi="Times New Roman"/>
          <w:vanish/>
          <w:color w:val="000000"/>
          <w:kern w:val="0"/>
          <w:szCs w:val="21"/>
        </w:rPr>
        <w:t>:13.56 MHz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通讯速率</w:t>
      </w:r>
      <w:r>
        <w:rPr>
          <w:rFonts w:ascii="Times New Roman" w:hAnsi="Times New Roman"/>
          <w:vanish/>
          <w:color w:val="000000"/>
          <w:kern w:val="0"/>
          <w:szCs w:val="21"/>
        </w:rPr>
        <w:t>:106KBoud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读写距离</w:t>
      </w:r>
      <w:r>
        <w:rPr>
          <w:rFonts w:ascii="Times New Roman" w:hAnsi="Times New Roman"/>
          <w:vanish/>
          <w:color w:val="000000"/>
          <w:kern w:val="0"/>
          <w:szCs w:val="21"/>
        </w:rPr>
        <w:t>:2.5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～</w:t>
      </w:r>
      <w:r>
        <w:rPr>
          <w:rFonts w:ascii="Times New Roman" w:hAnsi="Times New Roman"/>
          <w:vanish/>
          <w:color w:val="000000"/>
          <w:kern w:val="0"/>
          <w:szCs w:val="21"/>
        </w:rPr>
        <w:t>10cm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读写时间</w:t>
      </w:r>
      <w:r>
        <w:rPr>
          <w:rFonts w:ascii="Times New Roman" w:hAnsi="Times New Roman"/>
          <w:vanish/>
          <w:color w:val="000000"/>
          <w:kern w:val="0"/>
          <w:szCs w:val="21"/>
        </w:rPr>
        <w:t>:1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～</w:t>
      </w:r>
      <w:r>
        <w:rPr>
          <w:rFonts w:ascii="Times New Roman" w:hAnsi="Times New Roman"/>
          <w:vanish/>
          <w:color w:val="000000"/>
          <w:kern w:val="0"/>
          <w:szCs w:val="21"/>
        </w:rPr>
        <w:t>2ms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工作温度</w:t>
      </w:r>
      <w:r>
        <w:rPr>
          <w:rFonts w:ascii="Times New Roman" w:hAnsi="Times New Roman"/>
          <w:vanish/>
          <w:color w:val="000000"/>
          <w:kern w:val="0"/>
          <w:szCs w:val="21"/>
        </w:rPr>
        <w:t>:-20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℃～</w:t>
      </w:r>
      <w:r>
        <w:rPr>
          <w:rFonts w:ascii="Times New Roman" w:hAnsi="Times New Roman"/>
          <w:vanish/>
          <w:color w:val="000000"/>
          <w:kern w:val="0"/>
          <w:szCs w:val="21"/>
        </w:rPr>
        <w:t>55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℃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擦写寿命</w:t>
      </w:r>
      <w:r>
        <w:rPr>
          <w:rFonts w:ascii="Times New Roman" w:hAnsi="Times New Roman"/>
          <w:vanish/>
          <w:color w:val="000000"/>
          <w:kern w:val="0"/>
          <w:szCs w:val="21"/>
        </w:rPr>
        <w:t>:&gt;100,000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次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数据保存</w:t>
      </w:r>
      <w:r>
        <w:rPr>
          <w:rFonts w:ascii="Times New Roman" w:hAnsi="Times New Roman"/>
          <w:vanish/>
          <w:color w:val="000000"/>
          <w:kern w:val="0"/>
          <w:szCs w:val="21"/>
        </w:rPr>
        <w:t>:&gt;10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年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外形尺寸</w:t>
      </w:r>
      <w:r>
        <w:rPr>
          <w:rFonts w:ascii="Times New Roman" w:hAnsi="Times New Roman"/>
          <w:vanish/>
          <w:color w:val="000000"/>
          <w:kern w:val="0"/>
          <w:szCs w:val="21"/>
        </w:rPr>
        <w:t>:ISO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标准卡</w:t>
      </w:r>
      <w:r>
        <w:rPr>
          <w:rFonts w:ascii="Times New Roman" w:hAnsi="Times New Roman"/>
          <w:vanish/>
          <w:color w:val="000000"/>
          <w:kern w:val="0"/>
          <w:szCs w:val="21"/>
        </w:rPr>
        <w:t>85.6x54x0.80 /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异形卡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封装材料</w:t>
      </w:r>
      <w:r>
        <w:rPr>
          <w:rFonts w:ascii="Times New Roman" w:hAnsi="Times New Roman"/>
          <w:vanish/>
          <w:color w:val="000000"/>
          <w:kern w:val="0"/>
          <w:szCs w:val="21"/>
        </w:rPr>
        <w:t>:PVC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PET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PETG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0.13mm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铜线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封装工艺</w:t>
      </w:r>
      <w:r>
        <w:rPr>
          <w:rFonts w:ascii="Times New Roman" w:hAnsi="Times New Roman"/>
          <w:vanish/>
          <w:color w:val="000000"/>
          <w:kern w:val="0"/>
          <w:szCs w:val="21"/>
        </w:rPr>
        <w:t>:PVC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层压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执行标准</w:t>
      </w:r>
      <w:r>
        <w:rPr>
          <w:rFonts w:ascii="Times New Roman" w:hAnsi="Times New Roman"/>
          <w:vanish/>
          <w:color w:val="000000"/>
          <w:kern w:val="0"/>
          <w:szCs w:val="21"/>
        </w:rPr>
        <w:t>:ISO 14443A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典型应用</w:t>
      </w:r>
      <w:r>
        <w:rPr>
          <w:rFonts w:ascii="Times New Roman" w:hAnsi="Times New Roman"/>
          <w:vanish/>
          <w:color w:val="000000"/>
          <w:kern w:val="0"/>
          <w:szCs w:val="21"/>
        </w:rPr>
        <w:t>: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企业</w:t>
      </w:r>
      <w:r>
        <w:rPr>
          <w:rFonts w:ascii="Times New Roman" w:hAnsi="Times New Roman"/>
          <w:vanish/>
          <w:color w:val="000000"/>
          <w:kern w:val="0"/>
          <w:szCs w:val="21"/>
        </w:rPr>
        <w:t>/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校园一卡通、公交储值卡、高速公路收费、停车场、小区管理等。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b/>
          <w:bCs/>
          <w:vanish/>
          <w:color w:val="000000"/>
          <w:kern w:val="0"/>
          <w:szCs w:val="21"/>
        </w:rPr>
        <w:t>印刷卡工艺选择：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底色：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金底、银底、文字或图案丝印金</w:t>
      </w:r>
      <w:r>
        <w:rPr>
          <w:rFonts w:ascii="Times New Roman" w:hAnsi="Times New Roman"/>
          <w:vanish/>
          <w:color w:val="FF0000"/>
          <w:kern w:val="0"/>
          <w:szCs w:val="21"/>
        </w:rPr>
        <w:t>/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银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；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打码工艺：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喷码、激光码、金平码、银平码、黑平码、白平码、凸码（小金凸、小银凸、大金凸、大银凸）、条码、二维码；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卡面工艺：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烫金、烫银、烫红金、烫镭射金、烫镭射银、文字或图案过</w:t>
      </w:r>
      <w:r>
        <w:rPr>
          <w:rFonts w:ascii="Times New Roman" w:hAnsi="Times New Roman"/>
          <w:vanish/>
          <w:color w:val="FF0000"/>
          <w:kern w:val="0"/>
          <w:szCs w:val="21"/>
        </w:rPr>
        <w:t>UV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凸起；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其他工艺：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光面、哑面、磨砂面。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卡片类型：非接触CPU卡</w:t>
      </w:r>
      <w:r>
        <w:rPr>
          <w:szCs w:val="21"/>
        </w:rPr>
        <w:tab/>
      </w:r>
      <w:r>
        <w:rPr>
          <w:rFonts w:hint="eastAsia"/>
          <w:szCs w:val="21"/>
        </w:rPr>
        <w:t>；复旦微电子FM1208</w:t>
      </w:r>
    </w:p>
    <w:p>
      <w:pPr>
        <w:pStyle w:val="11"/>
        <w:spacing w:line="48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芯片支持ISO14443-A协议，CPU指令兼容通用8051指令，内置硬件DES协处理器，数据存储器为8KByte的EEPROM。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工作频率：</w:t>
      </w:r>
      <w:r>
        <w:rPr>
          <w:szCs w:val="21"/>
        </w:rPr>
        <w:t>13.56 MHz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通讯速率：</w:t>
      </w:r>
      <w:r>
        <w:rPr>
          <w:szCs w:val="21"/>
        </w:rPr>
        <w:t>106KBoud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数据传输速率：支持106Kbps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协处理器：Triple-DES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程序存储器：32K*8bit ROM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数据存储器：8K*8bit EEPROM</w:t>
      </w:r>
    </w:p>
    <w:p>
      <w:pPr>
        <w:pStyle w:val="11"/>
        <w:spacing w:line="48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iRAM:256*8bit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x</w:t>
      </w:r>
      <w:r>
        <w:rPr>
          <w:szCs w:val="21"/>
        </w:rPr>
        <w:t>RAM:384*8bit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读写距离：</w:t>
      </w:r>
      <w:r>
        <w:rPr>
          <w:szCs w:val="21"/>
        </w:rPr>
        <w:t>2.5</w:t>
      </w:r>
      <w:r>
        <w:rPr>
          <w:rFonts w:hint="eastAsia"/>
          <w:szCs w:val="21"/>
        </w:rPr>
        <w:t>～</w:t>
      </w:r>
      <w:r>
        <w:rPr>
          <w:szCs w:val="21"/>
        </w:rPr>
        <w:t>10cm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读写距离：1cm以上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工作温度：-25℃～70℃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贮藏温度：-</w:t>
      </w:r>
      <w:r>
        <w:rPr>
          <w:szCs w:val="21"/>
        </w:rPr>
        <w:t>2</w:t>
      </w:r>
      <w:r>
        <w:rPr>
          <w:rFonts w:hint="eastAsia"/>
          <w:szCs w:val="21"/>
        </w:rPr>
        <w:t>0℃～70℃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卡识别时间：3ms（包括复位应答和防冲突）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正式封装：XOA2模块</w:t>
      </w:r>
    </w:p>
    <w:p>
      <w:pPr>
        <w:pStyle w:val="11"/>
        <w:spacing w:line="48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EEPROM擦写时间：2.4ms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典型交易过程：&lt;350ms</w:t>
      </w:r>
    </w:p>
    <w:p>
      <w:pPr>
        <w:pStyle w:val="11"/>
        <w:spacing w:line="48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EEPROM擦写寿命：</w:t>
      </w:r>
      <w:r>
        <w:rPr>
          <w:szCs w:val="21"/>
        </w:rPr>
        <w:t>:&gt;100,000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EEPROM数据保存：</w:t>
      </w:r>
      <w:r>
        <w:rPr>
          <w:szCs w:val="21"/>
        </w:rPr>
        <w:t>&gt;10</w:t>
      </w:r>
      <w:r>
        <w:rPr>
          <w:rFonts w:hint="eastAsia"/>
          <w:szCs w:val="21"/>
        </w:rPr>
        <w:t>年</w:t>
      </w:r>
    </w:p>
    <w:p>
      <w:pPr>
        <w:pStyle w:val="11"/>
        <w:spacing w:line="480" w:lineRule="auto"/>
        <w:ind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外形尺寸：</w:t>
      </w:r>
      <w:r>
        <w:rPr>
          <w:szCs w:val="21"/>
        </w:rPr>
        <w:t>ISO</w:t>
      </w:r>
      <w:r>
        <w:rPr>
          <w:rFonts w:hint="eastAsia"/>
          <w:szCs w:val="21"/>
        </w:rPr>
        <w:t>标准卡宽85.47 ~ 85.72mm,高53.92 ~ 54.03mm</w:t>
      </w:r>
    </w:p>
    <w:p>
      <w:pPr>
        <w:pStyle w:val="11"/>
        <w:spacing w:line="48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封装材料：</w:t>
      </w:r>
      <w:r>
        <w:rPr>
          <w:szCs w:val="21"/>
        </w:rPr>
        <w:t>PVC</w:t>
      </w:r>
      <w:r>
        <w:rPr>
          <w:rFonts w:hint="eastAsia"/>
          <w:szCs w:val="21"/>
        </w:rPr>
        <w:t>、</w:t>
      </w:r>
      <w:r>
        <w:rPr>
          <w:szCs w:val="21"/>
        </w:rPr>
        <w:t>PET</w:t>
      </w:r>
      <w:r>
        <w:rPr>
          <w:rFonts w:hint="eastAsia"/>
          <w:szCs w:val="21"/>
        </w:rPr>
        <w:t>、</w:t>
      </w:r>
      <w:r>
        <w:rPr>
          <w:szCs w:val="21"/>
        </w:rPr>
        <w:t>PETG</w:t>
      </w:r>
      <w:r>
        <w:rPr>
          <w:rFonts w:hint="eastAsia"/>
          <w:szCs w:val="21"/>
        </w:rPr>
        <w:t>、</w:t>
      </w:r>
      <w:r>
        <w:rPr>
          <w:szCs w:val="21"/>
        </w:rPr>
        <w:t>0.13mm</w:t>
      </w:r>
      <w:r>
        <w:rPr>
          <w:rFonts w:hint="eastAsia"/>
          <w:szCs w:val="21"/>
        </w:rPr>
        <w:t>铜线</w:t>
      </w:r>
    </w:p>
    <w:p>
      <w:pPr>
        <w:pStyle w:val="11"/>
        <w:spacing w:line="48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封装工艺</w:t>
      </w:r>
      <w:r>
        <w:rPr>
          <w:szCs w:val="21"/>
        </w:rPr>
        <w:t>:PVC</w:t>
      </w:r>
      <w:r>
        <w:rPr>
          <w:rFonts w:hint="eastAsia"/>
          <w:szCs w:val="21"/>
        </w:rPr>
        <w:t>层压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执行标准</w:t>
      </w:r>
      <w:r>
        <w:rPr>
          <w:szCs w:val="21"/>
        </w:rPr>
        <w:t>:ISO 14443</w:t>
      </w:r>
      <w:r>
        <w:rPr>
          <w:rFonts w:hint="eastAsia"/>
          <w:szCs w:val="21"/>
        </w:rPr>
        <w:t>-</w:t>
      </w:r>
      <w:r>
        <w:rPr>
          <w:szCs w:val="21"/>
        </w:rPr>
        <w:t>A</w:t>
      </w:r>
    </w:p>
    <w:p>
      <w:pPr>
        <w:spacing w:line="480" w:lineRule="auto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二、</w:t>
      </w: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>印刷卡工艺：</w:t>
      </w:r>
    </w:p>
    <w:p>
      <w:pPr>
        <w:pStyle w:val="11"/>
        <w:spacing w:line="480" w:lineRule="auto"/>
        <w:ind w:firstLineChars="0"/>
        <w:rPr>
          <w:szCs w:val="21"/>
        </w:rPr>
      </w:pPr>
      <w:r>
        <w:rPr>
          <w:rFonts w:hint="eastAsia"/>
          <w:szCs w:val="21"/>
        </w:rPr>
        <w:t>正反两面印刷，支持个性化印刷；打激光码</w:t>
      </w:r>
      <w:r>
        <w:rPr>
          <w:rFonts w:hint="eastAsia" w:cs="Helvetica"/>
          <w:vanish/>
          <w:color w:val="FF0000"/>
          <w:szCs w:val="21"/>
        </w:rPr>
        <w:t>激光码</w:t>
      </w:r>
      <w:r>
        <w:rPr>
          <w:rFonts w:hint="eastAsia"/>
          <w:szCs w:val="21"/>
        </w:rPr>
        <w:t>，卡码遵循校方规则；支持光面、哑面、磨砂面；具备</w:t>
      </w:r>
      <w:r>
        <w:rPr>
          <w:szCs w:val="21"/>
        </w:rPr>
        <w:t>卡面设计与</w:t>
      </w:r>
      <w:r>
        <w:rPr>
          <w:rFonts w:hint="eastAsia"/>
          <w:szCs w:val="21"/>
        </w:rPr>
        <w:t>图</w:t>
      </w:r>
      <w:r>
        <w:rPr>
          <w:szCs w:val="21"/>
        </w:rPr>
        <w:t>片修改</w:t>
      </w:r>
      <w:r>
        <w:rPr>
          <w:rFonts w:hint="eastAsia"/>
          <w:szCs w:val="21"/>
        </w:rPr>
        <w:t>能力</w:t>
      </w:r>
      <w:r>
        <w:rPr>
          <w:szCs w:val="21"/>
        </w:rPr>
        <w:t>。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</w:p>
    <w:p>
      <w:pPr>
        <w:spacing w:line="480" w:lineRule="auto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服务要求：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个性化印刷时能按比例进行照片裁剪；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个性化印刷时照片文件名支持学号、身份证号、姓名等匹配方式；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卡片初始化时坏卡率低于0.</w:t>
      </w:r>
      <w:r>
        <w:rPr>
          <w:szCs w:val="21"/>
        </w:rPr>
        <w:t>1%</w:t>
      </w:r>
      <w:r>
        <w:rPr>
          <w:rFonts w:hint="eastAsia"/>
          <w:szCs w:val="21"/>
        </w:rPr>
        <w:t>；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卡片免费四年内质保，即无折断等明显人为损坏情况下免费更换新卡；如遇卡片在学校一卡通机具上无法正常读写时（1cm以上），供应商需无条件重新制卡，并保证不影响学校正常的卡务工作。</w:t>
      </w:r>
    </w:p>
    <w:p>
      <w:pPr>
        <w:spacing w:line="480" w:lineRule="auto"/>
        <w:ind w:firstLine="420"/>
        <w:rPr>
          <w:szCs w:val="21"/>
        </w:rPr>
      </w:pPr>
      <w:r>
        <w:rPr>
          <w:rFonts w:hint="eastAsia"/>
          <w:szCs w:val="21"/>
        </w:rPr>
        <w:t>合</w:t>
      </w:r>
      <w:r>
        <w:rPr>
          <w:szCs w:val="21"/>
        </w:rPr>
        <w:t>同</w:t>
      </w:r>
      <w:r>
        <w:rPr>
          <w:rFonts w:hint="eastAsia"/>
          <w:szCs w:val="21"/>
        </w:rPr>
        <w:t>有效期三</w:t>
      </w:r>
      <w:r>
        <w:rPr>
          <w:szCs w:val="21"/>
        </w:rPr>
        <w:t>年，</w:t>
      </w:r>
      <w:r>
        <w:rPr>
          <w:rFonts w:hint="eastAsia"/>
          <w:szCs w:val="21"/>
        </w:rPr>
        <w:t>年内分批采购，购完为止。每次</w:t>
      </w:r>
      <w:r>
        <w:rPr>
          <w:szCs w:val="21"/>
        </w:rPr>
        <w:t>交货在《</w:t>
      </w:r>
      <w:r>
        <w:rPr>
          <w:rFonts w:hint="eastAsia"/>
          <w:szCs w:val="21"/>
        </w:rPr>
        <w:t>购</w:t>
      </w:r>
      <w:r>
        <w:rPr>
          <w:szCs w:val="21"/>
        </w:rPr>
        <w:t>卡申请表》</w:t>
      </w:r>
      <w:r>
        <w:rPr>
          <w:rFonts w:hint="eastAsia"/>
          <w:szCs w:val="21"/>
        </w:rPr>
        <w:t>、</w:t>
      </w:r>
      <w:r>
        <w:rPr>
          <w:szCs w:val="21"/>
        </w:rPr>
        <w:t>购卡名单照片电子文件</w:t>
      </w:r>
      <w:r>
        <w:rPr>
          <w:rFonts w:hint="eastAsia"/>
          <w:szCs w:val="21"/>
        </w:rPr>
        <w:t>交</w:t>
      </w:r>
      <w:r>
        <w:rPr>
          <w:szCs w:val="21"/>
        </w:rPr>
        <w:t>纳后</w:t>
      </w:r>
      <w:r>
        <w:rPr>
          <w:rFonts w:hint="eastAsia"/>
          <w:szCs w:val="21"/>
        </w:rPr>
        <w:t>一个</w:t>
      </w:r>
      <w:r>
        <w:rPr>
          <w:szCs w:val="21"/>
        </w:rPr>
        <w:t>工作日内</w:t>
      </w:r>
      <w:r>
        <w:rPr>
          <w:rFonts w:hint="eastAsia"/>
          <w:szCs w:val="21"/>
        </w:rPr>
        <w:t>由供</w:t>
      </w:r>
      <w:r>
        <w:rPr>
          <w:szCs w:val="21"/>
        </w:rPr>
        <w:t>应商发</w:t>
      </w:r>
      <w:r>
        <w:rPr>
          <w:rFonts w:hint="eastAsia"/>
          <w:szCs w:val="21"/>
        </w:rPr>
        <w:t>送</w:t>
      </w:r>
      <w:r>
        <w:rPr>
          <w:szCs w:val="21"/>
        </w:rPr>
        <w:t>确认单，</w:t>
      </w:r>
      <w:r>
        <w:rPr>
          <w:rFonts w:hint="eastAsia"/>
          <w:szCs w:val="21"/>
        </w:rPr>
        <w:t>甲</w:t>
      </w:r>
      <w:r>
        <w:rPr>
          <w:szCs w:val="21"/>
        </w:rPr>
        <w:t>方确认后</w:t>
      </w:r>
      <w:r>
        <w:rPr>
          <w:rFonts w:hint="eastAsia"/>
          <w:szCs w:val="21"/>
        </w:rPr>
        <w:t>七个</w:t>
      </w:r>
      <w:r>
        <w:rPr>
          <w:szCs w:val="21"/>
        </w:rPr>
        <w:t>工作日</w:t>
      </w:r>
      <w:r>
        <w:rPr>
          <w:rFonts w:hint="eastAsia"/>
          <w:szCs w:val="21"/>
        </w:rPr>
        <w:t>内送</w:t>
      </w:r>
      <w:r>
        <w:rPr>
          <w:szCs w:val="21"/>
        </w:rPr>
        <w:t>货</w:t>
      </w:r>
      <w:r>
        <w:rPr>
          <w:rFonts w:hint="eastAsia"/>
          <w:szCs w:val="21"/>
        </w:rPr>
        <w:t>至</w:t>
      </w:r>
      <w:r>
        <w:rPr>
          <w:szCs w:val="21"/>
        </w:rPr>
        <w:t>临港，不接受快递</w:t>
      </w:r>
      <w:r>
        <w:rPr>
          <w:rFonts w:hint="eastAsia"/>
          <w:szCs w:val="21"/>
        </w:rPr>
        <w:t>。</w:t>
      </w:r>
    </w:p>
    <w:p>
      <w:pPr>
        <w:spacing w:line="480" w:lineRule="auto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对</w:t>
      </w:r>
      <w:r>
        <w:rPr>
          <w:szCs w:val="21"/>
        </w:rPr>
        <w:t>于</w:t>
      </w:r>
      <w:r>
        <w:rPr>
          <w:rFonts w:hint="eastAsia"/>
          <w:szCs w:val="21"/>
        </w:rPr>
        <w:t>免费更换的</w:t>
      </w:r>
      <w:r>
        <w:rPr>
          <w:szCs w:val="21"/>
        </w:rPr>
        <w:t>卡，由甲方</w:t>
      </w:r>
      <w:r>
        <w:rPr>
          <w:rFonts w:hint="eastAsia"/>
          <w:szCs w:val="21"/>
        </w:rPr>
        <w:t>不</w:t>
      </w:r>
      <w:r>
        <w:rPr>
          <w:szCs w:val="21"/>
        </w:rPr>
        <w:t>定期报送数量，</w:t>
      </w:r>
      <w:r>
        <w:rPr>
          <w:rFonts w:hint="eastAsia"/>
          <w:szCs w:val="21"/>
        </w:rPr>
        <w:t>确认</w:t>
      </w:r>
      <w:r>
        <w:rPr>
          <w:szCs w:val="21"/>
        </w:rPr>
        <w:t>后由供应商免费补上。</w:t>
      </w:r>
    </w:p>
    <w:p>
      <w:pPr>
        <w:spacing w:line="480" w:lineRule="auto"/>
        <w:ind w:firstLine="420"/>
        <w:rPr>
          <w:rFonts w:hint="eastAsia"/>
          <w:szCs w:val="21"/>
        </w:rPr>
      </w:pPr>
    </w:p>
    <w:p>
      <w:pPr>
        <w:spacing w:line="480" w:lineRule="auto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四</w:t>
      </w:r>
      <w:r>
        <w:rPr>
          <w:b/>
          <w:szCs w:val="21"/>
        </w:rPr>
        <w:t>、企业资</w:t>
      </w:r>
      <w:r>
        <w:rPr>
          <w:rFonts w:hint="eastAsia"/>
          <w:b/>
          <w:szCs w:val="21"/>
        </w:rPr>
        <w:t>质：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 xml:space="preserve">    要</w:t>
      </w:r>
      <w:r>
        <w:rPr>
          <w:szCs w:val="21"/>
        </w:rPr>
        <w:t>求</w:t>
      </w:r>
      <w:r>
        <w:rPr>
          <w:rFonts w:hint="eastAsia"/>
          <w:szCs w:val="21"/>
        </w:rPr>
        <w:t>上海</w:t>
      </w:r>
      <w:r>
        <w:rPr>
          <w:szCs w:val="21"/>
        </w:rPr>
        <w:t>本地企业</w:t>
      </w:r>
      <w:r>
        <w:rPr>
          <w:rFonts w:hint="eastAsia"/>
          <w:szCs w:val="21"/>
        </w:rPr>
        <w:t>；相</w:t>
      </w:r>
      <w:r>
        <w:rPr>
          <w:szCs w:val="21"/>
        </w:rPr>
        <w:t>关</w:t>
      </w:r>
      <w:r>
        <w:rPr>
          <w:rFonts w:hint="eastAsia"/>
          <w:szCs w:val="21"/>
        </w:rPr>
        <w:t>教育</w:t>
      </w:r>
      <w:r>
        <w:rPr>
          <w:szCs w:val="21"/>
        </w:rPr>
        <w:t>行业</w:t>
      </w:r>
      <w:r>
        <w:rPr>
          <w:rFonts w:hint="eastAsia"/>
          <w:szCs w:val="21"/>
        </w:rPr>
        <w:t>一</w:t>
      </w:r>
      <w:r>
        <w:rPr>
          <w:szCs w:val="21"/>
        </w:rPr>
        <w:t>卡通服务商优先</w:t>
      </w:r>
      <w:r>
        <w:rPr>
          <w:rFonts w:hint="eastAsia"/>
          <w:szCs w:val="21"/>
        </w:rPr>
        <w:t>。</w:t>
      </w:r>
    </w:p>
    <w:p>
      <w:pPr>
        <w:spacing w:line="480" w:lineRule="auto"/>
        <w:rPr>
          <w:rFonts w:hint="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610E"/>
    <w:multiLevelType w:val="multilevel"/>
    <w:tmpl w:val="4FBA610E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ascii="Calibri" w:hAnsi="Calibri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36"/>
    <w:rsid w:val="00011FE9"/>
    <w:rsid w:val="0006224A"/>
    <w:rsid w:val="00092FA0"/>
    <w:rsid w:val="00095A1B"/>
    <w:rsid w:val="000A4C94"/>
    <w:rsid w:val="000B53E8"/>
    <w:rsid w:val="000D57EC"/>
    <w:rsid w:val="000F278B"/>
    <w:rsid w:val="000F6865"/>
    <w:rsid w:val="000F6DBB"/>
    <w:rsid w:val="00114BA7"/>
    <w:rsid w:val="001A500D"/>
    <w:rsid w:val="001C3B7A"/>
    <w:rsid w:val="001F60B6"/>
    <w:rsid w:val="00265893"/>
    <w:rsid w:val="00265ABD"/>
    <w:rsid w:val="002678EC"/>
    <w:rsid w:val="0029087B"/>
    <w:rsid w:val="00293BFA"/>
    <w:rsid w:val="002A33E6"/>
    <w:rsid w:val="002B5C28"/>
    <w:rsid w:val="002C1634"/>
    <w:rsid w:val="002E4DC6"/>
    <w:rsid w:val="00305F0B"/>
    <w:rsid w:val="003E622C"/>
    <w:rsid w:val="004103E9"/>
    <w:rsid w:val="00432DB5"/>
    <w:rsid w:val="00447947"/>
    <w:rsid w:val="00453B4E"/>
    <w:rsid w:val="004A16D2"/>
    <w:rsid w:val="004B0A36"/>
    <w:rsid w:val="004F7533"/>
    <w:rsid w:val="005B280F"/>
    <w:rsid w:val="005F6005"/>
    <w:rsid w:val="006072D7"/>
    <w:rsid w:val="00644D6B"/>
    <w:rsid w:val="00651F0C"/>
    <w:rsid w:val="006B28F7"/>
    <w:rsid w:val="006F5F2F"/>
    <w:rsid w:val="00705953"/>
    <w:rsid w:val="00795EEB"/>
    <w:rsid w:val="008059D7"/>
    <w:rsid w:val="00805A6F"/>
    <w:rsid w:val="00821F7C"/>
    <w:rsid w:val="00826976"/>
    <w:rsid w:val="00833310"/>
    <w:rsid w:val="00833816"/>
    <w:rsid w:val="00836E37"/>
    <w:rsid w:val="00840304"/>
    <w:rsid w:val="00845512"/>
    <w:rsid w:val="0086005E"/>
    <w:rsid w:val="0089086A"/>
    <w:rsid w:val="008A4F88"/>
    <w:rsid w:val="008B3E5B"/>
    <w:rsid w:val="00907CA6"/>
    <w:rsid w:val="00923E11"/>
    <w:rsid w:val="00952307"/>
    <w:rsid w:val="009A2DB1"/>
    <w:rsid w:val="009B0E67"/>
    <w:rsid w:val="009E6AF0"/>
    <w:rsid w:val="00A01355"/>
    <w:rsid w:val="00A26292"/>
    <w:rsid w:val="00A31912"/>
    <w:rsid w:val="00A37F97"/>
    <w:rsid w:val="00A91F38"/>
    <w:rsid w:val="00AD4AF2"/>
    <w:rsid w:val="00AE279B"/>
    <w:rsid w:val="00AE4EDA"/>
    <w:rsid w:val="00AF3548"/>
    <w:rsid w:val="00B10CC2"/>
    <w:rsid w:val="00B371DD"/>
    <w:rsid w:val="00B87D5F"/>
    <w:rsid w:val="00BB5462"/>
    <w:rsid w:val="00C2558E"/>
    <w:rsid w:val="00C44F60"/>
    <w:rsid w:val="00CD5F9B"/>
    <w:rsid w:val="00CF5156"/>
    <w:rsid w:val="00D343E6"/>
    <w:rsid w:val="00D95906"/>
    <w:rsid w:val="00DA27B5"/>
    <w:rsid w:val="00DC7FB0"/>
    <w:rsid w:val="00DF0792"/>
    <w:rsid w:val="00E27C9A"/>
    <w:rsid w:val="00E43CD0"/>
    <w:rsid w:val="00F20446"/>
    <w:rsid w:val="00F612AB"/>
    <w:rsid w:val="00FB107D"/>
    <w:rsid w:val="16721475"/>
    <w:rsid w:val="4C6E5BDD"/>
    <w:rsid w:val="4FA2761C"/>
    <w:rsid w:val="58DC28A9"/>
    <w:rsid w:val="71F20467"/>
    <w:rsid w:val="79B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uiPriority w:val="0"/>
    <w:pPr>
      <w:ind w:firstLine="420" w:firstLineChars="200"/>
    </w:pPr>
  </w:style>
  <w:style w:type="character" w:customStyle="1" w:styleId="12">
    <w:name w:val="文档结构图 Char"/>
    <w:basedOn w:val="8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上海荣汇</Company>
  <Pages>2</Pages>
  <Words>242</Words>
  <Characters>1381</Characters>
  <Lines>11</Lines>
  <Paragraphs>3</Paragraphs>
  <TotalTime>7</TotalTime>
  <ScaleCrop>false</ScaleCrop>
  <LinksUpToDate>false</LinksUpToDate>
  <CharactersWithSpaces>1620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2020-10-24T14:59:00Z</dcterms:created>
  <dc:creator>lkj</dc:creator>
  <cp:lastModifiedBy>孙尊涛</cp:lastModifiedBy>
  <cp:lastPrinted>2015-11-04T02:23:00Z</cp:lastPrinted>
  <dcterms:modified xsi:type="dcterms:W3CDTF">2020-10-24T15:41:39Z</dcterms:modified>
  <dc:title>关于海事大学一卡通系统卡片采购的需求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