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B940EA4">
      <w:pPr>
        <w:snapToGrid w:val="0"/>
        <w:spacing w:line="360" w:lineRule="auto"/>
        <w:jc w:val="center"/>
        <w:rPr>
          <w:rFonts w:ascii="黑体" w:hAnsi="黑体" w:eastAsia="黑体"/>
          <w:color w:val="000000"/>
          <w:kern w:val="0"/>
          <w:sz w:val="32"/>
        </w:rPr>
      </w:pPr>
      <w:r>
        <w:rPr>
          <w:rFonts w:hint="eastAsia" w:ascii="黑体" w:hAnsi="黑体" w:eastAsia="黑体"/>
          <w:color w:val="000000"/>
          <w:kern w:val="0"/>
          <w:sz w:val="32"/>
        </w:rPr>
        <w:t>智慧银行互动实验平台和保险实验教学平台技术要求</w:t>
      </w:r>
    </w:p>
    <w:p w14:paraId="5BB58ACB">
      <w:pPr>
        <w:spacing w:line="360" w:lineRule="auto"/>
        <w:ind w:firstLine="480" w:firstLineChars="200"/>
        <w:rPr>
          <w:color w:val="000000"/>
          <w:kern w:val="0"/>
          <w:sz w:val="24"/>
          <w:szCs w:val="24"/>
        </w:rPr>
      </w:pPr>
    </w:p>
    <w:p w14:paraId="7154B779">
      <w:pPr>
        <w:spacing w:line="360" w:lineRule="auto"/>
        <w:ind w:firstLine="480" w:firstLineChars="200"/>
        <w:rPr>
          <w:rFonts w:hint="default" w:eastAsia="宋体"/>
          <w:color w:val="000000"/>
          <w:kern w:val="0"/>
          <w:sz w:val="24"/>
          <w:szCs w:val="24"/>
          <w:lang w:val="en-US" w:eastAsia="zh-CN"/>
        </w:rPr>
      </w:pPr>
      <w:r>
        <w:rPr>
          <w:rFonts w:hint="eastAsia"/>
          <w:color w:val="000000"/>
          <w:kern w:val="0"/>
          <w:sz w:val="24"/>
          <w:szCs w:val="24"/>
        </w:rPr>
        <w:t>本次采购包括两项在线服务：智慧银行互动实验平台和保险实验教学平台</w:t>
      </w:r>
      <w:r>
        <w:rPr>
          <w:rFonts w:hint="eastAsia"/>
          <w:color w:val="000000"/>
          <w:kern w:val="0"/>
          <w:sz w:val="24"/>
          <w:szCs w:val="24"/>
          <w:lang w:eastAsia="zh-CN"/>
        </w:rPr>
        <w:t>，</w:t>
      </w:r>
      <w:r>
        <w:rPr>
          <w:rFonts w:hint="eastAsia"/>
          <w:color w:val="000000"/>
          <w:kern w:val="0"/>
          <w:sz w:val="24"/>
          <w:szCs w:val="24"/>
          <w:lang w:val="en-US" w:eastAsia="zh-CN"/>
        </w:rPr>
        <w:t>服务期限为</w:t>
      </w:r>
      <w:bookmarkStart w:id="0" w:name="_GoBack"/>
      <w:bookmarkEnd w:id="0"/>
      <w:r>
        <w:rPr>
          <w:rFonts w:hint="eastAsia"/>
          <w:color w:val="000000"/>
          <w:kern w:val="0"/>
          <w:sz w:val="24"/>
          <w:szCs w:val="24"/>
          <w:lang w:val="en-US" w:eastAsia="zh-CN"/>
        </w:rPr>
        <w:t>一年。</w:t>
      </w:r>
    </w:p>
    <w:p w14:paraId="41008EDF">
      <w:pPr>
        <w:spacing w:line="360" w:lineRule="auto"/>
        <w:ind w:left="360" w:hanging="360"/>
        <w:rPr>
          <w:b/>
          <w:color w:val="000000"/>
          <w:kern w:val="0"/>
          <w:sz w:val="24"/>
          <w:szCs w:val="24"/>
        </w:rPr>
      </w:pPr>
    </w:p>
    <w:p w14:paraId="7DED94E2">
      <w:pPr>
        <w:spacing w:line="360" w:lineRule="auto"/>
        <w:ind w:left="360" w:hanging="360"/>
        <w:rPr>
          <w:rFonts w:hint="eastAsia"/>
          <w:b/>
          <w:color w:val="000000"/>
          <w:kern w:val="0"/>
          <w:sz w:val="24"/>
          <w:szCs w:val="24"/>
        </w:rPr>
      </w:pPr>
      <w:r>
        <w:rPr>
          <w:rFonts w:hint="eastAsia"/>
          <w:b/>
          <w:color w:val="000000"/>
          <w:kern w:val="0"/>
          <w:sz w:val="24"/>
          <w:szCs w:val="24"/>
        </w:rPr>
        <w:t>项目一、智慧银行互动实验平台</w:t>
      </w:r>
    </w:p>
    <w:p w14:paraId="68947E55">
      <w:pPr>
        <w:spacing w:line="360" w:lineRule="auto"/>
        <w:ind w:firstLine="480" w:firstLineChars="200"/>
        <w:jc w:val="left"/>
        <w:rPr>
          <w:rFonts w:hint="eastAsia"/>
          <w:color w:val="000000"/>
          <w:kern w:val="0"/>
          <w:sz w:val="24"/>
          <w:szCs w:val="24"/>
        </w:rPr>
      </w:pPr>
      <w:r>
        <w:rPr>
          <w:rFonts w:hint="eastAsia"/>
          <w:color w:val="000000"/>
          <w:kern w:val="0"/>
          <w:sz w:val="24"/>
          <w:szCs w:val="24"/>
        </w:rPr>
        <w:t>智慧银行互动实验平台帮助学生理解和应用现代商业银行的关键业务知识和技能，要求以在线服务方式提供，满足《商业银行业务与经营》等相关课程的实验教学需求。具体技术要求如下：</w:t>
      </w:r>
    </w:p>
    <w:p w14:paraId="4E7DE001">
      <w:pPr>
        <w:spacing w:line="360" w:lineRule="auto"/>
        <w:ind w:left="360" w:hanging="360"/>
        <w:rPr>
          <w:rFonts w:hint="eastAsia"/>
          <w:color w:val="000000"/>
          <w:kern w:val="0"/>
          <w:sz w:val="24"/>
          <w:szCs w:val="24"/>
        </w:rPr>
      </w:pPr>
      <w:r>
        <w:rPr>
          <w:rFonts w:hint="eastAsia"/>
          <w:color w:val="000000"/>
          <w:kern w:val="0"/>
          <w:sz w:val="24"/>
          <w:szCs w:val="24"/>
        </w:rPr>
        <w:t>1、平台需包含三种操作模式训练模式、考试模式、自由模式，教师可分别设置难易度。</w:t>
      </w:r>
    </w:p>
    <w:p w14:paraId="24796010">
      <w:pPr>
        <w:spacing w:line="360" w:lineRule="auto"/>
        <w:ind w:left="360" w:hanging="360"/>
        <w:rPr>
          <w:rFonts w:hint="eastAsia"/>
          <w:color w:val="000000"/>
          <w:kern w:val="0"/>
          <w:sz w:val="24"/>
          <w:szCs w:val="24"/>
        </w:rPr>
      </w:pPr>
      <w:r>
        <w:rPr>
          <w:rFonts w:hint="eastAsia"/>
          <w:color w:val="000000"/>
          <w:kern w:val="0"/>
          <w:sz w:val="24"/>
          <w:szCs w:val="24"/>
        </w:rPr>
        <w:t>2、训练模式需包含详细的流程引导，以任务训练为导向，根据平台随机案例完成业务。该模式可使学生在平台引导和帮助下，快速了解业务流程及操作细节。</w:t>
      </w:r>
    </w:p>
    <w:p w14:paraId="310B2083">
      <w:pPr>
        <w:spacing w:line="360" w:lineRule="auto"/>
        <w:ind w:left="360" w:hanging="360"/>
        <w:rPr>
          <w:rFonts w:hint="eastAsia"/>
          <w:color w:val="000000"/>
          <w:kern w:val="0"/>
          <w:sz w:val="24"/>
          <w:szCs w:val="24"/>
        </w:rPr>
      </w:pPr>
      <w:r>
        <w:rPr>
          <w:rFonts w:hint="eastAsia"/>
          <w:color w:val="000000"/>
          <w:kern w:val="0"/>
          <w:sz w:val="24"/>
          <w:szCs w:val="24"/>
        </w:rPr>
        <w:t>3、考试模式不带有流程引导，教师可设置好考试时间和考试模板（每个学生考试案例需随机生成），开启考试模式后，学生自行进行规范的业务操作考试。</w:t>
      </w:r>
    </w:p>
    <w:p w14:paraId="2E240DB1">
      <w:pPr>
        <w:spacing w:line="360" w:lineRule="auto"/>
        <w:ind w:left="360" w:hanging="360"/>
        <w:rPr>
          <w:rFonts w:hint="eastAsia"/>
          <w:color w:val="000000"/>
          <w:kern w:val="0"/>
          <w:sz w:val="24"/>
          <w:szCs w:val="24"/>
        </w:rPr>
      </w:pPr>
      <w:r>
        <w:rPr>
          <w:rFonts w:hint="eastAsia"/>
          <w:color w:val="000000"/>
          <w:kern w:val="0"/>
          <w:sz w:val="24"/>
          <w:szCs w:val="24"/>
        </w:rPr>
        <w:t>4、自由模式同样无流程引导和案例操作，但需兼容银行外围设备（存折、磁卡、票据、打印机、刷卡机等）。</w:t>
      </w:r>
    </w:p>
    <w:p w14:paraId="6C6B0E0E">
      <w:pPr>
        <w:spacing w:line="360" w:lineRule="auto"/>
        <w:ind w:left="360" w:hanging="360"/>
        <w:rPr>
          <w:rFonts w:hint="eastAsia"/>
          <w:color w:val="000000"/>
          <w:kern w:val="0"/>
          <w:sz w:val="24"/>
          <w:szCs w:val="24"/>
        </w:rPr>
      </w:pPr>
      <w:r>
        <w:rPr>
          <w:rFonts w:hint="eastAsia"/>
          <w:color w:val="000000"/>
          <w:kern w:val="0"/>
          <w:sz w:val="24"/>
          <w:szCs w:val="24"/>
        </w:rPr>
        <w:t>5、平台需能提供一比一全套银行高仿真单据和凭证，单据数量不少于50种，并需展示业务流程和细节。</w:t>
      </w:r>
    </w:p>
    <w:p w14:paraId="068A72F4">
      <w:pPr>
        <w:spacing w:line="360" w:lineRule="auto"/>
        <w:ind w:left="360" w:hanging="360"/>
        <w:rPr>
          <w:rFonts w:hint="eastAsia"/>
          <w:color w:val="000000"/>
          <w:kern w:val="0"/>
          <w:sz w:val="24"/>
          <w:szCs w:val="24"/>
        </w:rPr>
      </w:pPr>
      <w:r>
        <w:rPr>
          <w:rFonts w:hint="eastAsia"/>
          <w:color w:val="000000"/>
          <w:kern w:val="0"/>
          <w:sz w:val="24"/>
          <w:szCs w:val="24"/>
        </w:rPr>
        <w:t>6、平台需包含现有银行所有柜面业务，其中个人业务不少于26种，对公业务不少于32种。</w:t>
      </w:r>
    </w:p>
    <w:p w14:paraId="028F0CD1">
      <w:pPr>
        <w:spacing w:line="360" w:lineRule="auto"/>
        <w:ind w:left="360" w:hanging="360"/>
        <w:rPr>
          <w:rFonts w:hint="eastAsia"/>
          <w:color w:val="000000"/>
          <w:kern w:val="0"/>
          <w:sz w:val="24"/>
          <w:szCs w:val="24"/>
        </w:rPr>
      </w:pPr>
      <w:r>
        <w:rPr>
          <w:rFonts w:hint="eastAsia"/>
          <w:color w:val="000000"/>
          <w:kern w:val="0"/>
          <w:sz w:val="24"/>
          <w:szCs w:val="24"/>
        </w:rPr>
        <w:t>7、个人业务和对公业务案例需能随机生成，总数无限量，教师可设定生成模板。</w:t>
      </w:r>
    </w:p>
    <w:p w14:paraId="361F79E9">
      <w:pPr>
        <w:spacing w:line="360" w:lineRule="auto"/>
        <w:ind w:left="360" w:hanging="360"/>
        <w:rPr>
          <w:rFonts w:hint="eastAsia"/>
          <w:color w:val="000000"/>
          <w:kern w:val="0"/>
          <w:sz w:val="24"/>
          <w:szCs w:val="24"/>
        </w:rPr>
      </w:pPr>
      <w:r>
        <w:rPr>
          <w:rFonts w:hint="eastAsia"/>
          <w:color w:val="000000"/>
          <w:kern w:val="0"/>
          <w:sz w:val="24"/>
          <w:szCs w:val="24"/>
        </w:rPr>
        <w:t>8、为了增强平台的趣味性，平台需能提供积分等级制，根据学生完成的案例数量，可提升学生的柜员等级。</w:t>
      </w:r>
    </w:p>
    <w:p w14:paraId="726218F4">
      <w:pPr>
        <w:spacing w:line="360" w:lineRule="auto"/>
        <w:ind w:left="360" w:hanging="360"/>
        <w:rPr>
          <w:rFonts w:hint="eastAsia"/>
          <w:color w:val="000000"/>
          <w:kern w:val="0"/>
          <w:sz w:val="24"/>
          <w:szCs w:val="24"/>
        </w:rPr>
      </w:pPr>
      <w:r>
        <w:rPr>
          <w:rFonts w:hint="eastAsia"/>
          <w:color w:val="000000"/>
          <w:kern w:val="0"/>
          <w:sz w:val="24"/>
          <w:szCs w:val="24"/>
        </w:rPr>
        <w:t>9、理论和实操互相验证。平台需能在完成一个业务操作之后，随机从题库中选择一题供学生作答，题目内容需来源于前面步骤中知识点，认真完成的同学可获得加分。</w:t>
      </w:r>
    </w:p>
    <w:p w14:paraId="6D74007A">
      <w:pPr>
        <w:spacing w:line="360" w:lineRule="auto"/>
        <w:ind w:left="360" w:hanging="360"/>
        <w:rPr>
          <w:rFonts w:hint="eastAsia"/>
          <w:color w:val="000000"/>
          <w:kern w:val="0"/>
          <w:sz w:val="24"/>
          <w:szCs w:val="24"/>
        </w:rPr>
      </w:pPr>
      <w:r>
        <w:rPr>
          <w:rFonts w:hint="eastAsia"/>
          <w:color w:val="000000"/>
          <w:kern w:val="0"/>
          <w:sz w:val="24"/>
          <w:szCs w:val="24"/>
        </w:rPr>
        <w:t>10、平台需能提供丰富的资源中心，至少包含业务介绍、交易代码、流程汇总、单据汇总、法律法规、教学资源等模块。</w:t>
      </w:r>
    </w:p>
    <w:p w14:paraId="33C5D403">
      <w:pPr>
        <w:spacing w:line="360" w:lineRule="auto"/>
        <w:ind w:left="360" w:hanging="360"/>
        <w:rPr>
          <w:rFonts w:hint="eastAsia"/>
          <w:color w:val="000000"/>
          <w:kern w:val="0"/>
          <w:sz w:val="24"/>
          <w:szCs w:val="24"/>
        </w:rPr>
      </w:pPr>
      <w:r>
        <w:rPr>
          <w:rFonts w:hint="eastAsia"/>
          <w:color w:val="000000"/>
          <w:kern w:val="0"/>
          <w:sz w:val="24"/>
          <w:szCs w:val="24"/>
        </w:rPr>
        <w:t>11、考试自定义功能。平台需能灵活构建实训考试，教师从实训考试题库中抽取相应题目组成考试任务，学生按教师布置的考试作答。</w:t>
      </w:r>
    </w:p>
    <w:p w14:paraId="7085A43A">
      <w:pPr>
        <w:spacing w:line="360" w:lineRule="auto"/>
        <w:ind w:left="360" w:hanging="360"/>
        <w:rPr>
          <w:rFonts w:hint="eastAsia"/>
          <w:color w:val="000000"/>
          <w:kern w:val="0"/>
          <w:sz w:val="24"/>
          <w:szCs w:val="24"/>
        </w:rPr>
      </w:pPr>
      <w:r>
        <w:rPr>
          <w:rFonts w:hint="eastAsia"/>
          <w:color w:val="000000"/>
          <w:kern w:val="0"/>
          <w:sz w:val="24"/>
          <w:szCs w:val="24"/>
        </w:rPr>
        <w:t>12、多种评分方式自动评分。平台需分别针对训练部分、考试部分进行成绩统计跟导出。平台还需支持综合成绩统计方式，涵盖任务、训练、答题、考试，教师只需对这四部分设置相应分值占比，平台自动进行统计分析，得出学生综合成绩；</w:t>
      </w:r>
    </w:p>
    <w:p w14:paraId="00BAD0E4">
      <w:pPr>
        <w:spacing w:line="360" w:lineRule="auto"/>
        <w:ind w:left="360" w:hanging="360"/>
        <w:rPr>
          <w:rFonts w:hint="eastAsia"/>
          <w:color w:val="000000"/>
          <w:kern w:val="0"/>
          <w:sz w:val="24"/>
          <w:szCs w:val="24"/>
        </w:rPr>
      </w:pPr>
      <w:r>
        <w:rPr>
          <w:rFonts w:hint="eastAsia"/>
          <w:color w:val="000000"/>
          <w:kern w:val="0"/>
          <w:sz w:val="24"/>
          <w:szCs w:val="24"/>
        </w:rPr>
        <w:t>13、支持实训报告自动生成，实训部分完成后，学生填写实训总结，平台需根据每位学生历史完成情况自动生成实验报告，老师下载后可作为期末评分依据。</w:t>
      </w:r>
    </w:p>
    <w:p w14:paraId="681E21ED">
      <w:pPr>
        <w:spacing w:line="360" w:lineRule="auto"/>
        <w:ind w:left="360" w:hanging="360"/>
        <w:rPr>
          <w:rFonts w:hint="eastAsia"/>
          <w:color w:val="000000"/>
          <w:kern w:val="0"/>
          <w:sz w:val="24"/>
          <w:szCs w:val="24"/>
        </w:rPr>
      </w:pPr>
      <w:r>
        <w:rPr>
          <w:rFonts w:hint="eastAsia"/>
          <w:color w:val="000000"/>
          <w:kern w:val="0"/>
          <w:sz w:val="24"/>
          <w:szCs w:val="24"/>
        </w:rPr>
        <w:t>14、个人业务需包含普通活期开户、普通活期存款、普通活期取款、普通活期销户、整存整取开户、部分提前支取、整存整取销户、零存整取开户、零存整取存款、零存整取销户、通知存款开户、部分支取、通知存款销户、债券发售、兑付债券、现钞兑换、旅行支票兑换、信用卡开卡、信用卡还款、信用卡取现、信用卡销户、理财产品购买、理财产品赎回、代缴事业费、开立个人存款证明、挂失、解挂、冻结、解冻、消费贷款开户、提前部分还款、全部还款、质押贷款开户、部分还款、到期还款等。</w:t>
      </w:r>
    </w:p>
    <w:p w14:paraId="24A1EF42">
      <w:pPr>
        <w:spacing w:line="360" w:lineRule="auto"/>
        <w:ind w:left="360" w:hanging="360"/>
        <w:rPr>
          <w:color w:val="000000"/>
          <w:kern w:val="0"/>
          <w:sz w:val="24"/>
          <w:szCs w:val="24"/>
        </w:rPr>
      </w:pPr>
      <w:r>
        <w:rPr>
          <w:rFonts w:hint="eastAsia"/>
          <w:color w:val="000000"/>
          <w:kern w:val="0"/>
          <w:sz w:val="24"/>
          <w:szCs w:val="24"/>
        </w:rPr>
        <w:t>15、对公业务需包含开立结算账户、结算账户变更、结算账户销户、现金支票、转账支票、结算委托书、商业汇票、现金存款、现金取款、单位定期存款、定期存款部提、定期存款销户、单位通知存款、通知存款支取、通知存款销户、提出借方录入、提出贷方录入、汇总记账、签发本票、兑付本票、退回本票、签发汇票、兑付汇票、退回汇票、汇款录入、汇总记账、委托收款、到期付款、远期结汇、远期售汇、理财产品购买、理财产品赎回、贷款开户、贷款还款等。</w:t>
      </w:r>
    </w:p>
    <w:p w14:paraId="3FD3A10E">
      <w:pPr>
        <w:spacing w:line="360" w:lineRule="auto"/>
        <w:ind w:left="360" w:hanging="360"/>
        <w:rPr>
          <w:color w:val="000000"/>
          <w:kern w:val="0"/>
          <w:sz w:val="24"/>
          <w:szCs w:val="24"/>
        </w:rPr>
      </w:pPr>
    </w:p>
    <w:p w14:paraId="76F3AAD2">
      <w:pPr>
        <w:spacing w:line="360" w:lineRule="auto"/>
        <w:ind w:left="360" w:hanging="360"/>
        <w:rPr>
          <w:rFonts w:hint="eastAsia"/>
          <w:b/>
          <w:color w:val="000000"/>
          <w:kern w:val="0"/>
          <w:sz w:val="24"/>
          <w:szCs w:val="24"/>
        </w:rPr>
      </w:pPr>
      <w:r>
        <w:rPr>
          <w:rFonts w:hint="eastAsia"/>
          <w:b/>
          <w:color w:val="000000"/>
          <w:kern w:val="0"/>
          <w:sz w:val="24"/>
          <w:szCs w:val="24"/>
        </w:rPr>
        <w:t>项目二、保险实验教学平台</w:t>
      </w:r>
    </w:p>
    <w:p w14:paraId="397B69AD">
      <w:pPr>
        <w:spacing w:line="360" w:lineRule="auto"/>
        <w:ind w:firstLine="480" w:firstLineChars="200"/>
        <w:jc w:val="left"/>
        <w:rPr>
          <w:rFonts w:hint="eastAsia"/>
          <w:color w:val="000000"/>
          <w:kern w:val="0"/>
          <w:sz w:val="24"/>
          <w:szCs w:val="24"/>
        </w:rPr>
      </w:pPr>
      <w:r>
        <w:rPr>
          <w:rFonts w:hint="eastAsia"/>
          <w:color w:val="000000"/>
          <w:kern w:val="0"/>
          <w:sz w:val="24"/>
          <w:szCs w:val="24"/>
        </w:rPr>
        <w:t>保险实验教学平台帮助学生理解和应用保险业务的知识和技能，要求以在线服务方式提供，满足《航运金融学》等相关课程的实验教学需求。具体技术要求如下：</w:t>
      </w:r>
    </w:p>
    <w:p w14:paraId="4BB7C8BA">
      <w:pPr>
        <w:spacing w:line="360" w:lineRule="auto"/>
        <w:ind w:left="360" w:hanging="360"/>
        <w:rPr>
          <w:rFonts w:hint="eastAsia"/>
          <w:color w:val="000000"/>
          <w:kern w:val="0"/>
          <w:sz w:val="24"/>
          <w:szCs w:val="24"/>
        </w:rPr>
      </w:pPr>
      <w:r>
        <w:rPr>
          <w:rFonts w:hint="eastAsia"/>
          <w:color w:val="000000"/>
          <w:kern w:val="0"/>
          <w:sz w:val="24"/>
          <w:szCs w:val="24"/>
        </w:rPr>
        <w:t>1、平台至少包含人身、财产、车辆三大类保险，每类保险需附带详细的操作流程图。</w:t>
      </w:r>
    </w:p>
    <w:p w14:paraId="0E4BD6A2">
      <w:pPr>
        <w:spacing w:line="360" w:lineRule="auto"/>
        <w:ind w:left="360" w:hanging="360"/>
        <w:rPr>
          <w:rFonts w:hint="eastAsia"/>
          <w:color w:val="000000"/>
          <w:kern w:val="0"/>
          <w:sz w:val="24"/>
          <w:szCs w:val="24"/>
        </w:rPr>
      </w:pPr>
      <w:r>
        <w:rPr>
          <w:rFonts w:hint="eastAsia"/>
          <w:color w:val="000000"/>
          <w:kern w:val="0"/>
          <w:sz w:val="24"/>
          <w:szCs w:val="24"/>
        </w:rPr>
        <w:t>2、平台需自带险种资料库，且种类不少于10种。</w:t>
      </w:r>
    </w:p>
    <w:p w14:paraId="3455B109">
      <w:pPr>
        <w:spacing w:line="360" w:lineRule="auto"/>
        <w:ind w:left="360" w:hanging="360"/>
        <w:rPr>
          <w:rFonts w:hint="eastAsia"/>
          <w:color w:val="000000"/>
          <w:kern w:val="0"/>
          <w:sz w:val="24"/>
          <w:szCs w:val="24"/>
        </w:rPr>
      </w:pPr>
      <w:r>
        <w:rPr>
          <w:rFonts w:hint="eastAsia"/>
          <w:color w:val="000000"/>
          <w:kern w:val="0"/>
          <w:sz w:val="24"/>
          <w:szCs w:val="24"/>
        </w:rPr>
        <w:t>3、平台需能构造虚拟保险的环境，并能设置多种保险情景作为案例背景，学生可扮演多种角色进行交互式操作。</w:t>
      </w:r>
    </w:p>
    <w:p w14:paraId="3D9B64ED">
      <w:pPr>
        <w:spacing w:line="360" w:lineRule="auto"/>
        <w:ind w:left="360" w:hanging="360"/>
        <w:rPr>
          <w:rFonts w:hint="eastAsia"/>
          <w:color w:val="000000"/>
          <w:kern w:val="0"/>
          <w:sz w:val="24"/>
          <w:szCs w:val="24"/>
        </w:rPr>
      </w:pPr>
      <w:r>
        <w:rPr>
          <w:rFonts w:hint="eastAsia"/>
          <w:color w:val="000000"/>
          <w:kern w:val="0"/>
          <w:sz w:val="24"/>
          <w:szCs w:val="24"/>
        </w:rPr>
        <w:t>4、平台需涵盖实际保险业务的整套流程，业务环节至少包含以下8种：承保、核保、出单、缴费、变更、理赔、核赔、给付等，并对客户和产品进行管理。</w:t>
      </w:r>
    </w:p>
    <w:p w14:paraId="6C3CE731">
      <w:pPr>
        <w:spacing w:line="360" w:lineRule="auto"/>
        <w:ind w:left="360" w:hanging="360"/>
        <w:rPr>
          <w:rFonts w:hint="eastAsia"/>
          <w:color w:val="000000"/>
          <w:kern w:val="0"/>
          <w:sz w:val="24"/>
          <w:szCs w:val="24"/>
        </w:rPr>
      </w:pPr>
      <w:r>
        <w:rPr>
          <w:rFonts w:hint="eastAsia"/>
          <w:color w:val="000000"/>
          <w:kern w:val="0"/>
          <w:sz w:val="24"/>
          <w:szCs w:val="24"/>
        </w:rPr>
        <w:t>5、保险公司缴费流程至少包含以下内容：初录暂收费、长险暂收费、短险暂收费、退暂收费确认、续期收费、保全出纳收费。保单生效等。</w:t>
      </w:r>
    </w:p>
    <w:p w14:paraId="1D530372">
      <w:pPr>
        <w:spacing w:line="360" w:lineRule="auto"/>
        <w:ind w:left="360" w:hanging="360"/>
        <w:rPr>
          <w:rFonts w:hint="eastAsia"/>
          <w:color w:val="000000"/>
          <w:kern w:val="0"/>
          <w:sz w:val="24"/>
          <w:szCs w:val="24"/>
        </w:rPr>
      </w:pPr>
      <w:r>
        <w:rPr>
          <w:rFonts w:hint="eastAsia"/>
          <w:color w:val="000000"/>
          <w:kern w:val="0"/>
          <w:sz w:val="24"/>
          <w:szCs w:val="24"/>
        </w:rPr>
        <w:t>6、保险理赔流程至少包含以下内容：报案申请、报案登记、管理理赔申请和立案、管理调查报告、审核调查报告、理赔计算、理赔立案、理赔查询等。</w:t>
      </w:r>
    </w:p>
    <w:p w14:paraId="69D8AA64">
      <w:pPr>
        <w:spacing w:line="360" w:lineRule="auto"/>
        <w:ind w:left="360" w:hanging="360"/>
        <w:rPr>
          <w:rFonts w:hint="eastAsia"/>
          <w:color w:val="000000"/>
          <w:kern w:val="0"/>
          <w:sz w:val="24"/>
          <w:szCs w:val="24"/>
        </w:rPr>
      </w:pPr>
      <w:r>
        <w:rPr>
          <w:rFonts w:hint="eastAsia"/>
          <w:color w:val="000000"/>
          <w:kern w:val="0"/>
          <w:sz w:val="24"/>
          <w:szCs w:val="24"/>
        </w:rPr>
        <w:t>7、保单变更流程至少包含以下内容：变更申请、被投保人信息变更、投保人信息变更、投保人身份证变更、支付形式变更、投保人变更、退保/减保申请、死亡退保申请、保费豁免、缴费方式变更、领取方式变更、加保等。</w:t>
      </w:r>
    </w:p>
    <w:p w14:paraId="44A5EE6C">
      <w:pPr>
        <w:spacing w:line="360" w:lineRule="auto"/>
        <w:ind w:left="360" w:hanging="360"/>
        <w:rPr>
          <w:rFonts w:hint="eastAsia"/>
          <w:color w:val="000000"/>
          <w:kern w:val="0"/>
          <w:sz w:val="24"/>
          <w:szCs w:val="24"/>
        </w:rPr>
      </w:pPr>
      <w:r>
        <w:rPr>
          <w:rFonts w:hint="eastAsia"/>
          <w:color w:val="000000"/>
          <w:kern w:val="0"/>
          <w:sz w:val="24"/>
          <w:szCs w:val="24"/>
        </w:rPr>
        <w:t>8、个人给付流程至少包含：满期给付申请、定期给付申请、个人给付、审核给付申请、查询实给付记录、查询未给付记录等。</w:t>
      </w:r>
    </w:p>
    <w:p w14:paraId="26A2BA25">
      <w:pPr>
        <w:spacing w:line="360" w:lineRule="auto"/>
        <w:ind w:left="360" w:hanging="360"/>
        <w:rPr>
          <w:rFonts w:hint="eastAsia"/>
          <w:color w:val="000000"/>
          <w:kern w:val="0"/>
          <w:sz w:val="24"/>
          <w:szCs w:val="24"/>
        </w:rPr>
      </w:pPr>
      <w:r>
        <w:rPr>
          <w:rFonts w:hint="eastAsia"/>
          <w:color w:val="000000"/>
          <w:kern w:val="0"/>
          <w:sz w:val="24"/>
          <w:szCs w:val="24"/>
        </w:rPr>
        <w:t>9、开启实验任务模式，学生可在教师的安排下有目的地进行选择操作，案例中所涉及的内容，学生可以用业务操作的形式来反映出来，系统会随机安排数个学生为一组，其中一个为保险公司，其它的为客户，通过保险公司与客户的互动操作来完成案例所要求的内容。而教师可以根据学生的操作记录为学生所进行的操作打分，实现可随时查看学生操作的功能。</w:t>
      </w:r>
    </w:p>
    <w:p w14:paraId="5649F838">
      <w:pPr>
        <w:spacing w:line="360" w:lineRule="auto"/>
        <w:ind w:left="360" w:hanging="360"/>
        <w:rPr>
          <w:rFonts w:hint="eastAsia"/>
          <w:color w:val="000000"/>
          <w:kern w:val="0"/>
          <w:sz w:val="24"/>
          <w:szCs w:val="24"/>
        </w:rPr>
      </w:pPr>
      <w:r>
        <w:rPr>
          <w:rFonts w:hint="eastAsia"/>
          <w:color w:val="000000"/>
          <w:kern w:val="0"/>
          <w:sz w:val="24"/>
          <w:szCs w:val="24"/>
        </w:rPr>
        <w:t>10、教师对学生分组后，平台由个人客户和保险公司两个角色进行相互间的操作来往。由客户进行各个保单申请，保险公司进行审核，或者由保险公司发出保单信息，由客户进行确认等一系列的操作。</w:t>
      </w:r>
    </w:p>
    <w:p w14:paraId="4B10E134">
      <w:pPr>
        <w:spacing w:line="360" w:lineRule="auto"/>
        <w:ind w:left="360" w:hanging="360"/>
        <w:rPr>
          <w:rFonts w:hint="eastAsia"/>
          <w:color w:val="000000"/>
          <w:kern w:val="0"/>
          <w:sz w:val="24"/>
          <w:szCs w:val="24"/>
        </w:rPr>
      </w:pPr>
    </w:p>
    <w:sectPr>
      <w:footerReference r:id="rId3" w:type="default"/>
      <w:pgSz w:w="11906" w:h="16838"/>
      <w:pgMar w:top="1701"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8592406"/>
      <w:docPartObj>
        <w:docPartGallery w:val="AutoText"/>
      </w:docPartObj>
    </w:sdtPr>
    <w:sdtContent>
      <w:sdt>
        <w:sdtPr>
          <w:id w:val="1728636285"/>
          <w:docPartObj>
            <w:docPartGallery w:val="AutoText"/>
          </w:docPartObj>
        </w:sdtPr>
        <w:sdtContent>
          <w:p w14:paraId="7F487C14">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14:paraId="071DB25B">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mM2YzZmUwZjIwOWQ5MzUzZGEwZTI1OTc3MjFhOGYifQ=="/>
  </w:docVars>
  <w:rsids>
    <w:rsidRoot w:val="00172A27"/>
    <w:rsid w:val="00005E73"/>
    <w:rsid w:val="00007901"/>
    <w:rsid w:val="000A7285"/>
    <w:rsid w:val="000A7363"/>
    <w:rsid w:val="000C3181"/>
    <w:rsid w:val="000C70DB"/>
    <w:rsid w:val="000D17AD"/>
    <w:rsid w:val="00154BA1"/>
    <w:rsid w:val="00172A27"/>
    <w:rsid w:val="001935ED"/>
    <w:rsid w:val="00196D32"/>
    <w:rsid w:val="001B0EFD"/>
    <w:rsid w:val="001F1260"/>
    <w:rsid w:val="002C1BD9"/>
    <w:rsid w:val="0030143F"/>
    <w:rsid w:val="003C193B"/>
    <w:rsid w:val="003E03B3"/>
    <w:rsid w:val="00405977"/>
    <w:rsid w:val="004462B2"/>
    <w:rsid w:val="004710AF"/>
    <w:rsid w:val="0048580D"/>
    <w:rsid w:val="004925E3"/>
    <w:rsid w:val="00492F88"/>
    <w:rsid w:val="004A69C5"/>
    <w:rsid w:val="004A7DB5"/>
    <w:rsid w:val="0052241D"/>
    <w:rsid w:val="00593092"/>
    <w:rsid w:val="005A133A"/>
    <w:rsid w:val="006F1009"/>
    <w:rsid w:val="00701FCC"/>
    <w:rsid w:val="00737289"/>
    <w:rsid w:val="00753252"/>
    <w:rsid w:val="00785298"/>
    <w:rsid w:val="007A49B2"/>
    <w:rsid w:val="00802A75"/>
    <w:rsid w:val="008030DE"/>
    <w:rsid w:val="00846320"/>
    <w:rsid w:val="0084747C"/>
    <w:rsid w:val="00857836"/>
    <w:rsid w:val="00882AB0"/>
    <w:rsid w:val="00892E6F"/>
    <w:rsid w:val="00896003"/>
    <w:rsid w:val="008C2C0A"/>
    <w:rsid w:val="008E3ECE"/>
    <w:rsid w:val="009632AA"/>
    <w:rsid w:val="009B2775"/>
    <w:rsid w:val="00A34CCB"/>
    <w:rsid w:val="00A65145"/>
    <w:rsid w:val="00A65866"/>
    <w:rsid w:val="00A665B5"/>
    <w:rsid w:val="00A719A6"/>
    <w:rsid w:val="00A9615C"/>
    <w:rsid w:val="00AD69FA"/>
    <w:rsid w:val="00B00BE5"/>
    <w:rsid w:val="00B43A42"/>
    <w:rsid w:val="00B55FE3"/>
    <w:rsid w:val="00B62816"/>
    <w:rsid w:val="00B90652"/>
    <w:rsid w:val="00BC2D7C"/>
    <w:rsid w:val="00C70133"/>
    <w:rsid w:val="00C7514F"/>
    <w:rsid w:val="00D0433F"/>
    <w:rsid w:val="00D53E59"/>
    <w:rsid w:val="00DE3630"/>
    <w:rsid w:val="00DE4D2B"/>
    <w:rsid w:val="00F17EF7"/>
    <w:rsid w:val="00F67208"/>
    <w:rsid w:val="05634469"/>
    <w:rsid w:val="0EBE0962"/>
    <w:rsid w:val="1DED7D04"/>
    <w:rsid w:val="40752CC7"/>
    <w:rsid w:val="496676DD"/>
    <w:rsid w:val="5C182104"/>
    <w:rsid w:val="713E2ADE"/>
    <w:rsid w:val="7FC2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unhideWhenUsed/>
    <w:qFormat/>
    <w:uiPriority w:val="99"/>
  </w:style>
  <w:style w:type="character" w:customStyle="1" w:styleId="7">
    <w:name w:val="页脚 Char"/>
    <w:basedOn w:val="5"/>
    <w:link w:val="2"/>
    <w:qFormat/>
    <w:uiPriority w:val="99"/>
    <w:rPr>
      <w:kern w:val="2"/>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2132</Words>
  <Characters>2143</Characters>
  <Lines>15</Lines>
  <Paragraphs>4</Paragraphs>
  <TotalTime>4</TotalTime>
  <ScaleCrop>false</ScaleCrop>
  <LinksUpToDate>false</LinksUpToDate>
  <CharactersWithSpaces>2143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2024-07-18T02:42:00Z</dcterms:created>
  <dc:creator>yanhua lei</dc:creator>
  <cp:lastModifiedBy>仲杰</cp:lastModifiedBy>
  <dcterms:modified xsi:type="dcterms:W3CDTF">2024-07-19T13:36:05Z</dcterms:modified>
  <dc:title>设备名称:第一性原理计算平台_x000b_计算平台的主要组成及技术指标 _x000b_1、软件功能: MedeA-VASP (版本5.3）For Windows Platform；软件平台包含三个层次：用户图形界面，数据库和模拟程序，可基于Windows平台下操作。各层之间的通信是通过 JobServers和TaskServers实现的,各个模块嵌入到一个核心框架中，作为不同的组件分布在整个计算机网络中。软件的网络架构能够实现从500,000条晶体结构和二元相图数据中搜索并获得有效信息，运用其计算功能有效探索材料学领域新现象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659AE4162E854D7A92EC4A095E66F4C3_12</vt:lpwstr>
  </property>
</Properties>
</file>