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81415B">
      <w:pPr>
        <w:jc w:val="center"/>
        <w:rPr>
          <w:rFonts w:ascii="方正兰亭黑简体" w:hAnsi="方正兰亭黑简体" w:eastAsia="方正兰亭黑简体" w:cs="方正兰亭黑简体"/>
          <w:b/>
          <w:bCs/>
          <w:color w:val="auto"/>
          <w:sz w:val="28"/>
          <w:szCs w:val="36"/>
          <w:highlight w:val="none"/>
        </w:rPr>
      </w:pPr>
    </w:p>
    <w:p w14:paraId="21B52C2F">
      <w:pPr>
        <w:jc w:val="center"/>
        <w:rPr>
          <w:rFonts w:ascii="方正兰亭黑简体" w:hAnsi="方正兰亭黑简体" w:eastAsia="方正兰亭黑简体" w:cs="方正兰亭黑简体"/>
          <w:b/>
          <w:bCs/>
          <w:color w:val="auto"/>
          <w:sz w:val="28"/>
          <w:szCs w:val="36"/>
          <w:highlight w:val="none"/>
        </w:rPr>
      </w:pPr>
    </w:p>
    <w:p w14:paraId="3E6CBEAC">
      <w:pPr>
        <w:jc w:val="center"/>
        <w:rPr>
          <w:rFonts w:ascii="方正兰亭黑简体" w:hAnsi="方正兰亭黑简体" w:eastAsia="方正兰亭黑简体" w:cs="方正兰亭黑简体"/>
          <w:b/>
          <w:bCs/>
          <w:color w:val="auto"/>
          <w:sz w:val="28"/>
          <w:szCs w:val="36"/>
          <w:highlight w:val="none"/>
        </w:rPr>
      </w:pPr>
    </w:p>
    <w:p w14:paraId="6CDB9DC7">
      <w:pPr>
        <w:jc w:val="center"/>
        <w:rPr>
          <w:rFonts w:ascii="方正兰亭黑简体" w:hAnsi="方正兰亭黑简体" w:eastAsia="方正兰亭黑简体" w:cs="方正兰亭黑简体"/>
          <w:b/>
          <w:bCs/>
          <w:color w:val="auto"/>
          <w:sz w:val="28"/>
          <w:szCs w:val="28"/>
          <w:highlight w:val="none"/>
        </w:rPr>
      </w:pPr>
      <w:r>
        <w:rPr>
          <w:rFonts w:hint="eastAsia" w:ascii="方正兰亭黑简体" w:hAnsi="方正兰亭黑简体" w:eastAsia="方正兰亭黑简体" w:cs="方正兰亭黑简体"/>
          <w:b/>
          <w:bCs/>
          <w:color w:val="auto"/>
          <w:sz w:val="28"/>
          <w:szCs w:val="28"/>
          <w:highlight w:val="none"/>
        </w:rPr>
        <w:t>分布式光纤传感模块化产品采购项目</w:t>
      </w:r>
    </w:p>
    <w:p w14:paraId="4040DE91">
      <w:pPr>
        <w:jc w:val="center"/>
        <w:rPr>
          <w:rFonts w:ascii="方正兰亭黑简体" w:hAnsi="方正兰亭黑简体" w:eastAsia="方正兰亭黑简体" w:cs="方正兰亭黑简体"/>
          <w:b/>
          <w:bCs/>
          <w:color w:val="auto"/>
          <w:sz w:val="28"/>
          <w:szCs w:val="28"/>
          <w:highlight w:val="none"/>
        </w:rPr>
      </w:pPr>
      <w:r>
        <w:rPr>
          <w:rFonts w:hint="eastAsia" w:ascii="方正兰亭黑简体" w:hAnsi="方正兰亭黑简体" w:eastAsia="方正兰亭黑简体" w:cs="方正兰亭黑简体"/>
          <w:b/>
          <w:bCs/>
          <w:color w:val="auto"/>
          <w:sz w:val="28"/>
          <w:szCs w:val="28"/>
          <w:highlight w:val="none"/>
        </w:rPr>
        <w:t>比选文件</w:t>
      </w:r>
    </w:p>
    <w:p w14:paraId="13A74382">
      <w:pPr>
        <w:jc w:val="center"/>
        <w:rPr>
          <w:rFonts w:ascii="方正兰亭黑简体" w:hAnsi="方正兰亭黑简体" w:eastAsia="方正兰亭黑简体" w:cs="方正兰亭黑简体"/>
          <w:b/>
          <w:bCs/>
          <w:color w:val="auto"/>
          <w:sz w:val="28"/>
          <w:szCs w:val="28"/>
          <w:highlight w:val="none"/>
        </w:rPr>
      </w:pPr>
    </w:p>
    <w:p w14:paraId="12D59C1C">
      <w:pPr>
        <w:jc w:val="center"/>
        <w:rPr>
          <w:rFonts w:ascii="方正兰亭黑简体" w:hAnsi="方正兰亭黑简体" w:eastAsia="方正兰亭黑简体" w:cs="方正兰亭黑简体"/>
          <w:b/>
          <w:bCs/>
          <w:color w:val="auto"/>
          <w:sz w:val="28"/>
          <w:szCs w:val="28"/>
          <w:highlight w:val="none"/>
        </w:rPr>
      </w:pPr>
    </w:p>
    <w:p w14:paraId="27D29565">
      <w:pPr>
        <w:jc w:val="center"/>
        <w:rPr>
          <w:rFonts w:hint="eastAsia" w:ascii="方正兰亭黑简体" w:hAnsi="方正兰亭黑简体" w:eastAsia="方正兰亭黑简体" w:cs="方正兰亭黑简体"/>
          <w:b/>
          <w:bCs/>
          <w:color w:val="auto"/>
          <w:sz w:val="28"/>
          <w:szCs w:val="28"/>
          <w:highlight w:val="none"/>
          <w:lang w:eastAsia="zh-CN"/>
        </w:rPr>
      </w:pPr>
      <w:r>
        <w:rPr>
          <w:rFonts w:hint="eastAsia" w:ascii="方正兰亭黑简体" w:hAnsi="方正兰亭黑简体" w:eastAsia="方正兰亭黑简体" w:cs="方正兰亭黑简体"/>
          <w:b/>
          <w:bCs/>
          <w:color w:val="auto"/>
          <w:sz w:val="28"/>
          <w:szCs w:val="28"/>
          <w:highlight w:val="none"/>
        </w:rPr>
        <w:t>项目编号：</w:t>
      </w:r>
      <w:bookmarkStart w:id="7" w:name="_GoBack"/>
      <w:bookmarkEnd w:id="7"/>
      <w:r>
        <w:rPr>
          <w:rFonts w:hint="eastAsia" w:ascii="方正兰亭黑简体" w:hAnsi="方正兰亭黑简体" w:eastAsia="方正兰亭黑简体" w:cs="方正兰亭黑简体"/>
          <w:color w:val="auto"/>
          <w:sz w:val="28"/>
          <w:szCs w:val="28"/>
          <w:highlight w:val="none"/>
          <w:lang w:eastAsia="zh-CN"/>
        </w:rPr>
        <w:t>HFBX2026108</w:t>
      </w:r>
    </w:p>
    <w:p w14:paraId="54BA1882">
      <w:pPr>
        <w:jc w:val="center"/>
        <w:rPr>
          <w:rFonts w:ascii="方正兰亭黑简体" w:hAnsi="方正兰亭黑简体" w:eastAsia="方正兰亭黑简体" w:cs="方正兰亭黑简体"/>
          <w:b/>
          <w:bCs/>
          <w:color w:val="auto"/>
          <w:sz w:val="24"/>
          <w:szCs w:val="32"/>
          <w:highlight w:val="none"/>
        </w:rPr>
      </w:pPr>
    </w:p>
    <w:p w14:paraId="024B24BF">
      <w:pPr>
        <w:jc w:val="center"/>
        <w:rPr>
          <w:rFonts w:ascii="方正兰亭黑简体" w:hAnsi="方正兰亭黑简体" w:eastAsia="方正兰亭黑简体" w:cs="方正兰亭黑简体"/>
          <w:b/>
          <w:bCs/>
          <w:color w:val="auto"/>
          <w:sz w:val="24"/>
          <w:szCs w:val="32"/>
          <w:highlight w:val="none"/>
        </w:rPr>
      </w:pPr>
    </w:p>
    <w:p w14:paraId="17CD6DFC">
      <w:pPr>
        <w:jc w:val="center"/>
        <w:rPr>
          <w:rFonts w:ascii="方正兰亭黑简体" w:hAnsi="方正兰亭黑简体" w:eastAsia="方正兰亭黑简体" w:cs="方正兰亭黑简体"/>
          <w:b/>
          <w:bCs/>
          <w:color w:val="auto"/>
          <w:sz w:val="24"/>
          <w:szCs w:val="32"/>
          <w:highlight w:val="none"/>
        </w:rPr>
      </w:pPr>
    </w:p>
    <w:p w14:paraId="3F0111AC">
      <w:pPr>
        <w:jc w:val="center"/>
        <w:rPr>
          <w:rFonts w:ascii="方正兰亭黑简体" w:hAnsi="方正兰亭黑简体" w:eastAsia="方正兰亭黑简体" w:cs="方正兰亭黑简体"/>
          <w:b/>
          <w:bCs/>
          <w:color w:val="auto"/>
          <w:sz w:val="24"/>
          <w:szCs w:val="32"/>
          <w:highlight w:val="none"/>
        </w:rPr>
      </w:pPr>
    </w:p>
    <w:p w14:paraId="270FDC03">
      <w:pPr>
        <w:jc w:val="center"/>
        <w:rPr>
          <w:rFonts w:ascii="方正兰亭黑简体" w:hAnsi="方正兰亭黑简体" w:eastAsia="方正兰亭黑简体" w:cs="方正兰亭黑简体"/>
          <w:b/>
          <w:bCs/>
          <w:color w:val="auto"/>
          <w:sz w:val="24"/>
          <w:szCs w:val="32"/>
          <w:highlight w:val="none"/>
        </w:rPr>
      </w:pPr>
    </w:p>
    <w:p w14:paraId="2678217A">
      <w:pPr>
        <w:jc w:val="center"/>
        <w:rPr>
          <w:rFonts w:ascii="方正兰亭黑简体" w:hAnsi="方正兰亭黑简体" w:eastAsia="方正兰亭黑简体" w:cs="方正兰亭黑简体"/>
          <w:b/>
          <w:bCs/>
          <w:color w:val="auto"/>
          <w:sz w:val="24"/>
          <w:szCs w:val="32"/>
          <w:highlight w:val="none"/>
        </w:rPr>
      </w:pPr>
    </w:p>
    <w:p w14:paraId="69A91C9C">
      <w:pPr>
        <w:jc w:val="center"/>
        <w:rPr>
          <w:rFonts w:ascii="方正兰亭黑简体" w:hAnsi="方正兰亭黑简体" w:eastAsia="方正兰亭黑简体" w:cs="方正兰亭黑简体"/>
          <w:b/>
          <w:bCs/>
          <w:color w:val="auto"/>
          <w:sz w:val="24"/>
          <w:szCs w:val="32"/>
          <w:highlight w:val="none"/>
        </w:rPr>
      </w:pPr>
    </w:p>
    <w:p w14:paraId="17BB7DF7">
      <w:pPr>
        <w:jc w:val="center"/>
        <w:rPr>
          <w:rFonts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采购人：上海海事大学</w:t>
      </w:r>
    </w:p>
    <w:p w14:paraId="0EDC38C9">
      <w:pPr>
        <w:jc w:val="center"/>
        <w:rPr>
          <w:rFonts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二〇二六年</w:t>
      </w:r>
      <w:r>
        <w:rPr>
          <w:rFonts w:hint="eastAsia" w:ascii="方正兰亭黑简体" w:hAnsi="方正兰亭黑简体" w:eastAsia="方正兰亭黑简体" w:cs="方正兰亭黑简体"/>
          <w:b/>
          <w:bCs/>
          <w:color w:val="auto"/>
          <w:sz w:val="24"/>
          <w:szCs w:val="32"/>
          <w:highlight w:val="none"/>
        </w:rPr>
        <w:t>十</w:t>
      </w:r>
      <w:r>
        <w:rPr>
          <w:rFonts w:hint="eastAsia" w:ascii="方正兰亭黑简体" w:hAnsi="方正兰亭黑简体" w:eastAsia="方正兰亭黑简体" w:cs="方正兰亭黑简体"/>
          <w:b/>
          <w:bCs/>
          <w:color w:val="auto"/>
          <w:sz w:val="24"/>
          <w:szCs w:val="32"/>
          <w:highlight w:val="none"/>
        </w:rPr>
        <w:t>月</w:t>
      </w:r>
    </w:p>
    <w:p w14:paraId="317B3882">
      <w:pPr>
        <w:rPr>
          <w:rFonts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br w:type="page"/>
      </w:r>
    </w:p>
    <w:p w14:paraId="5F33A39F">
      <w:pPr>
        <w:jc w:val="center"/>
        <w:rPr>
          <w:rFonts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第一章 比选公告</w:t>
      </w:r>
    </w:p>
    <w:p w14:paraId="5B190724">
      <w:pPr>
        <w:ind w:firstLine="440" w:firstLineChars="200"/>
        <w:jc w:val="left"/>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为公开、公正、公平地做好各项货物与服务的采购工作，进一步提高采购过程的透明度，有利于我校选择性价比更高的产品及更优质的服务，欢迎各供应单位本着务实友好的工作态度，积极参与，并做好成本核算，进行一次性报价。我校将本着公开、公正、公平的工作原则，对各供应单位所提供的资料，进行综合评议，择优选购。为确保本次比选采购项目采购工作的顺利开展，请各报价单位按照下述要求提供报价单等相关资料。具体要求及相关注意事项如下：</w:t>
      </w:r>
    </w:p>
    <w:p w14:paraId="6A33DDFF">
      <w:pPr>
        <w:jc w:val="left"/>
        <w:rPr>
          <w:rFonts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一、项目基本情况</w:t>
      </w:r>
    </w:p>
    <w:p w14:paraId="62D86B62">
      <w:pPr>
        <w:jc w:val="left"/>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项目编号：</w:t>
      </w:r>
      <w:r>
        <w:rPr>
          <w:rFonts w:hint="eastAsia" w:ascii="方正兰亭黑简体" w:hAnsi="方正兰亭黑简体" w:eastAsia="方正兰亭黑简体" w:cs="方正兰亭黑简体"/>
          <w:color w:val="auto"/>
          <w:sz w:val="22"/>
          <w:szCs w:val="28"/>
          <w:highlight w:val="none"/>
          <w:lang w:eastAsia="zh-CN"/>
        </w:rPr>
        <w:t>HFBX2026108</w:t>
      </w:r>
      <w:r>
        <w:rPr>
          <w:rFonts w:hint="eastAsia" w:ascii="方正兰亭黑简体" w:hAnsi="方正兰亭黑简体" w:eastAsia="方正兰亭黑简体" w:cs="方正兰亭黑简体"/>
          <w:color w:val="auto"/>
          <w:sz w:val="22"/>
          <w:szCs w:val="28"/>
          <w:highlight w:val="none"/>
        </w:rPr>
        <w:t>；</w:t>
      </w:r>
    </w:p>
    <w:p w14:paraId="239C7016">
      <w:pPr>
        <w:jc w:val="left"/>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项目名称：</w:t>
      </w:r>
      <w:r>
        <w:rPr>
          <w:rFonts w:hint="eastAsia" w:ascii="方正兰亭黑简体" w:hAnsi="方正兰亭黑简体" w:eastAsia="方正兰亭黑简体" w:cs="方正兰亭黑简体"/>
          <w:color w:val="auto"/>
          <w:sz w:val="22"/>
          <w:szCs w:val="28"/>
          <w:highlight w:val="none"/>
        </w:rPr>
        <w:t>分布式光纤传感模块化产品采购项目</w:t>
      </w:r>
      <w:r>
        <w:rPr>
          <w:rFonts w:hint="eastAsia" w:ascii="方正兰亭黑简体" w:hAnsi="方正兰亭黑简体" w:eastAsia="方正兰亭黑简体" w:cs="方正兰亭黑简体"/>
          <w:color w:val="auto"/>
          <w:sz w:val="22"/>
          <w:szCs w:val="28"/>
          <w:highlight w:val="none"/>
        </w:rPr>
        <w:t>；</w:t>
      </w:r>
    </w:p>
    <w:p w14:paraId="4384BB88">
      <w:pPr>
        <w:jc w:val="left"/>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采购方式：</w:t>
      </w:r>
      <w:r>
        <w:rPr>
          <w:rFonts w:hint="eastAsia" w:ascii="方正兰亭黑简体" w:hAnsi="方正兰亭黑简体" w:eastAsia="方正兰亭黑简体" w:cs="方正兰亭黑简体"/>
          <w:color w:val="auto"/>
          <w:sz w:val="22"/>
          <w:szCs w:val="28"/>
          <w:highlight w:val="none"/>
        </w:rPr>
        <w:t>学校比选</w:t>
      </w:r>
      <w:r>
        <w:rPr>
          <w:rFonts w:hint="eastAsia" w:ascii="方正兰亭黑简体" w:hAnsi="方正兰亭黑简体" w:eastAsia="方正兰亭黑简体" w:cs="方正兰亭黑简体"/>
          <w:color w:val="auto"/>
          <w:sz w:val="22"/>
          <w:szCs w:val="28"/>
          <w:highlight w:val="none"/>
        </w:rPr>
        <w:t>；</w:t>
      </w:r>
    </w:p>
    <w:p w14:paraId="561B2B71">
      <w:pPr>
        <w:jc w:val="left"/>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预算金额（亦是最高限价）：</w:t>
      </w:r>
      <w:r>
        <w:rPr>
          <w:rFonts w:hint="eastAsia" w:ascii="方正兰亭黑简体" w:hAnsi="方正兰亭黑简体" w:eastAsia="方正兰亭黑简体" w:cs="方正兰亭黑简体"/>
          <w:color w:val="auto"/>
          <w:sz w:val="22"/>
          <w:szCs w:val="28"/>
          <w:highlight w:val="none"/>
        </w:rPr>
        <w:t>人民币29万元</w:t>
      </w:r>
      <w:r>
        <w:rPr>
          <w:rFonts w:hint="eastAsia" w:ascii="方正兰亭黑简体" w:hAnsi="方正兰亭黑简体" w:eastAsia="方正兰亭黑简体" w:cs="方正兰亭黑简体"/>
          <w:color w:val="auto"/>
          <w:sz w:val="22"/>
          <w:szCs w:val="28"/>
          <w:highlight w:val="none"/>
        </w:rPr>
        <w:t>；</w:t>
      </w:r>
    </w:p>
    <w:p w14:paraId="6B5E827D">
      <w:pPr>
        <w:jc w:val="left"/>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采购需求：</w:t>
      </w:r>
      <w:r>
        <w:rPr>
          <w:rFonts w:hint="eastAsia" w:ascii="方正兰亭黑简体" w:hAnsi="方正兰亭黑简体" w:eastAsia="方正兰亭黑简体" w:cs="方正兰亭黑简体"/>
          <w:color w:val="auto"/>
          <w:sz w:val="22"/>
          <w:szCs w:val="28"/>
          <w:highlight w:val="none"/>
        </w:rPr>
        <w:t>本项目拟采购包含两套独立的光缆在线监测系统核心感知单元，主要服务于海洋能源设施检测、海洋信息探测等方向的科学研究。本项目采购光纤声波传感（DAS）模块1台、布里渊光时域反射分析仪（BOTDR）模块1台。</w:t>
      </w:r>
      <w:r>
        <w:rPr>
          <w:rFonts w:hint="eastAsia" w:ascii="方正兰亭黑简体" w:hAnsi="方正兰亭黑简体" w:eastAsia="方正兰亭黑简体" w:cs="方正兰亭黑简体"/>
          <w:color w:val="auto"/>
          <w:sz w:val="22"/>
          <w:szCs w:val="28"/>
          <w:highlight w:val="none"/>
        </w:rPr>
        <w:t>（具体要求详见比选文件—第二章节采购需求）</w:t>
      </w:r>
    </w:p>
    <w:p w14:paraId="23C0D997">
      <w:pPr>
        <w:jc w:val="left"/>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交付地址：</w:t>
      </w:r>
      <w:r>
        <w:rPr>
          <w:rFonts w:hint="eastAsia" w:ascii="方正兰亭黑简体" w:hAnsi="方正兰亭黑简体" w:eastAsia="方正兰亭黑简体" w:cs="方正兰亭黑简体"/>
          <w:color w:val="auto"/>
          <w:sz w:val="22"/>
          <w:szCs w:val="28"/>
          <w:highlight w:val="none"/>
        </w:rPr>
        <w:t>上海海事大学临港校区。</w:t>
      </w:r>
    </w:p>
    <w:p w14:paraId="38684A27">
      <w:pPr>
        <w:jc w:val="left"/>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交付时间：</w:t>
      </w:r>
      <w:r>
        <w:rPr>
          <w:rFonts w:hint="eastAsia" w:ascii="方正兰亭黑简体" w:hAnsi="方正兰亭黑简体" w:eastAsia="方正兰亭黑简体" w:cs="方正兰亭黑简体"/>
          <w:color w:val="auto"/>
          <w:sz w:val="22"/>
          <w:szCs w:val="28"/>
          <w:highlight w:val="none"/>
        </w:rPr>
        <w:t>合同签订后30天内交付并完成安装调试工作。</w:t>
      </w:r>
    </w:p>
    <w:p w14:paraId="13F17AE9">
      <w:pPr>
        <w:jc w:val="left"/>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质保期限：</w:t>
      </w:r>
      <w:r>
        <w:rPr>
          <w:rFonts w:hint="eastAsia" w:ascii="方正兰亭黑简体" w:hAnsi="方正兰亭黑简体" w:eastAsia="方正兰亭黑简体" w:cs="方正兰亭黑简体"/>
          <w:color w:val="auto"/>
          <w:sz w:val="22"/>
          <w:szCs w:val="28"/>
          <w:highlight w:val="none"/>
        </w:rPr>
        <w:t>质保期 2 年，自项目验收合格之日起计算。</w:t>
      </w:r>
    </w:p>
    <w:p w14:paraId="3204EDB9">
      <w:pPr>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付款方式：</w:t>
      </w:r>
      <w:r>
        <w:rPr>
          <w:rFonts w:hint="eastAsia" w:ascii="方正兰亭黑简体" w:hAnsi="方正兰亭黑简体" w:eastAsia="方正兰亭黑简体" w:cs="方正兰亭黑简体"/>
          <w:color w:val="auto"/>
          <w:sz w:val="22"/>
          <w:szCs w:val="28"/>
          <w:highlight w:val="none"/>
        </w:rPr>
        <w:t>货到经甲方验收合格后的30天内，甲方支付合同全款。合同内全部款项均以“银行转账”方式予以支付。</w:t>
      </w:r>
    </w:p>
    <w:p w14:paraId="0220AB13">
      <w:pPr>
        <w:jc w:val="left"/>
        <w:rPr>
          <w:rFonts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二、报价人的资格要求</w:t>
      </w:r>
    </w:p>
    <w:p w14:paraId="3A4FBBB7">
      <w:pPr>
        <w:jc w:val="left"/>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1、符合《中华人民共和国政府采购法》第二十二条之供应商资格规定。</w:t>
      </w:r>
    </w:p>
    <w:p w14:paraId="1FE11DB9">
      <w:pPr>
        <w:jc w:val="left"/>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2、供应商未被列入“信用中国”网站（www.creditchina.gov.cn）失信执行人名单、重大税收违法案件当事人名单和中国政府采购网（www.ccgp.gov.cn）政府严重违法失信行为记录名单的供应商。</w:t>
      </w:r>
    </w:p>
    <w:p w14:paraId="1A3DFC34">
      <w:pPr>
        <w:jc w:val="left"/>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3、经营范围及拟投标货物（服务）符合本次比选要求，具有与本次投标货物（服务）相应的经营、代理（经销）资质，能全程参与并完成本项目，且具有较强的服务能力，以及畅通的问题响应机制和渠道等；</w:t>
      </w:r>
    </w:p>
    <w:p w14:paraId="570120FE">
      <w:pPr>
        <w:jc w:val="left"/>
        <w:rPr>
          <w:rFonts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三、报名要求</w:t>
      </w:r>
    </w:p>
    <w:p w14:paraId="615BA2C3">
      <w:pPr>
        <w:jc w:val="left"/>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报名邮箱、时间：不单独组织报名，意向单位可在截止日期前递交响应文件。</w:t>
      </w:r>
    </w:p>
    <w:p w14:paraId="138001A9">
      <w:pPr>
        <w:jc w:val="left"/>
        <w:rPr>
          <w:rFonts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四、获取采购文件</w:t>
      </w:r>
    </w:p>
    <w:p w14:paraId="30CC7CAC">
      <w:pPr>
        <w:jc w:val="left"/>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获取方式：公告页面下方自行下载</w:t>
      </w:r>
    </w:p>
    <w:p w14:paraId="2FD7A8E1">
      <w:pPr>
        <w:jc w:val="left"/>
        <w:rPr>
          <w:rFonts w:ascii="方正兰亭黑简体" w:hAnsi="方正兰亭黑简体" w:eastAsia="方正兰亭黑简体" w:cs="方正兰亭黑简体"/>
          <w:b/>
          <w:bCs/>
          <w:color w:val="auto"/>
          <w:sz w:val="22"/>
          <w:szCs w:val="28"/>
          <w:highlight w:val="none"/>
        </w:rPr>
      </w:pPr>
      <w:bookmarkStart w:id="0" w:name="_Toc28359005"/>
      <w:r>
        <w:rPr>
          <w:rFonts w:hint="eastAsia" w:ascii="方正兰亭黑简体" w:hAnsi="方正兰亭黑简体" w:eastAsia="方正兰亭黑简体" w:cs="方正兰亭黑简体"/>
          <w:b/>
          <w:bCs/>
          <w:color w:val="auto"/>
          <w:sz w:val="22"/>
          <w:szCs w:val="28"/>
          <w:highlight w:val="none"/>
        </w:rPr>
        <w:t>五、现场踏勘</w:t>
      </w:r>
      <w:bookmarkEnd w:id="0"/>
    </w:p>
    <w:p w14:paraId="7F7683C5">
      <w:pPr>
        <w:jc w:val="left"/>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不组织。</w:t>
      </w:r>
    </w:p>
    <w:p w14:paraId="00AA1A13">
      <w:pPr>
        <w:jc w:val="left"/>
        <w:rPr>
          <w:rFonts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六、响应文件提交</w:t>
      </w:r>
    </w:p>
    <w:p w14:paraId="18B707F9">
      <w:pPr>
        <w:jc w:val="left"/>
        <w:rPr>
          <w:rFonts w:ascii="方正兰亭黑简体" w:hAnsi="方正兰亭黑简体" w:eastAsia="方正兰亭黑简体" w:cs="方正兰亭黑简体"/>
          <w:color w:val="auto"/>
          <w:sz w:val="22"/>
          <w:szCs w:val="28"/>
          <w:highlight w:val="none"/>
        </w:rPr>
      </w:pPr>
      <w:bookmarkStart w:id="1" w:name="_Toc35393795"/>
      <w:bookmarkEnd w:id="1"/>
      <w:bookmarkStart w:id="2" w:name="_Toc35393626"/>
      <w:r>
        <w:rPr>
          <w:rFonts w:hint="eastAsia" w:ascii="方正兰亭黑简体" w:hAnsi="方正兰亭黑简体" w:eastAsia="方正兰亭黑简体" w:cs="方正兰亭黑简体"/>
          <w:color w:val="auto"/>
          <w:sz w:val="22"/>
          <w:szCs w:val="28"/>
          <w:highlight w:val="none"/>
        </w:rPr>
        <w:t>截止</w:t>
      </w:r>
      <w:bookmarkEnd w:id="2"/>
      <w:r>
        <w:rPr>
          <w:rFonts w:hint="eastAsia" w:ascii="方正兰亭黑简体" w:hAnsi="方正兰亭黑简体" w:eastAsia="方正兰亭黑简体" w:cs="方正兰亭黑简体"/>
          <w:color w:val="auto"/>
          <w:sz w:val="22"/>
          <w:szCs w:val="28"/>
          <w:highlight w:val="none"/>
        </w:rPr>
        <w:t>时间：2026年1</w:t>
      </w:r>
      <w:r>
        <w:rPr>
          <w:rFonts w:hint="eastAsia" w:ascii="方正兰亭黑简体" w:hAnsi="方正兰亭黑简体" w:eastAsia="方正兰亭黑简体" w:cs="方正兰亭黑简体"/>
          <w:color w:val="auto"/>
          <w:sz w:val="22"/>
          <w:szCs w:val="28"/>
          <w:highlight w:val="none"/>
          <w:lang w:val="en-US" w:eastAsia="zh-CN"/>
        </w:rPr>
        <w:t>1</w:t>
      </w:r>
      <w:r>
        <w:rPr>
          <w:rFonts w:hint="eastAsia" w:ascii="方正兰亭黑简体" w:hAnsi="方正兰亭黑简体" w:eastAsia="方正兰亭黑简体" w:cs="方正兰亭黑简体"/>
          <w:color w:val="auto"/>
          <w:sz w:val="22"/>
          <w:szCs w:val="28"/>
          <w:highlight w:val="none"/>
        </w:rPr>
        <w:t>月</w:t>
      </w:r>
      <w:r>
        <w:rPr>
          <w:rFonts w:hint="eastAsia" w:ascii="方正兰亭黑简体" w:hAnsi="方正兰亭黑简体" w:eastAsia="方正兰亭黑简体" w:cs="方正兰亭黑简体"/>
          <w:color w:val="auto"/>
          <w:sz w:val="22"/>
          <w:szCs w:val="28"/>
          <w:highlight w:val="none"/>
          <w:lang w:val="en-US" w:eastAsia="zh-CN"/>
        </w:rPr>
        <w:t>2</w:t>
      </w:r>
      <w:r>
        <w:rPr>
          <w:rFonts w:hint="eastAsia" w:ascii="方正兰亭黑简体" w:hAnsi="方正兰亭黑简体" w:eastAsia="方正兰亭黑简体" w:cs="方正兰亭黑简体"/>
          <w:color w:val="auto"/>
          <w:sz w:val="22"/>
          <w:szCs w:val="28"/>
          <w:highlight w:val="none"/>
        </w:rPr>
        <w:t>日（周一）上午11时00分</w:t>
      </w:r>
    </w:p>
    <w:p w14:paraId="40B9905C">
      <w:pPr>
        <w:jc w:val="left"/>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提交方式：发送盖章扫描版PDF到指定邮箱，邮件名称：项目编号+公司名称</w:t>
      </w:r>
    </w:p>
    <w:p w14:paraId="29E3E18B">
      <w:pPr>
        <w:jc w:val="left"/>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邮箱地址：quotation@shmtu.edu.cn</w:t>
      </w:r>
    </w:p>
    <w:p w14:paraId="265051A3">
      <w:pPr>
        <w:jc w:val="left"/>
        <w:rPr>
          <w:rFonts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七、其他补充事宜</w:t>
      </w:r>
    </w:p>
    <w:p w14:paraId="7258A045">
      <w:pPr>
        <w:jc w:val="left"/>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1.中标结果将通过发布比选公告的媒介进行公示，公示期为1个工作日，公示期内如对中标结果有异议可向校方提出书面质疑。</w:t>
      </w:r>
      <w:bookmarkStart w:id="3" w:name="_Toc35393627"/>
    </w:p>
    <w:p w14:paraId="4D0970E6">
      <w:pPr>
        <w:jc w:val="left"/>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w:t>
      </w:r>
      <w:bookmarkEnd w:id="3"/>
      <w:r>
        <w:rPr>
          <w:rFonts w:hint="eastAsia" w:ascii="方正兰亭黑简体" w:hAnsi="方正兰亭黑简体" w:eastAsia="方正兰亭黑简体" w:cs="方正兰亭黑简体"/>
          <w:color w:val="auto"/>
          <w:sz w:val="22"/>
          <w:szCs w:val="28"/>
          <w:highlight w:val="none"/>
        </w:rPr>
        <w:t>凡对本次采购提出询问，请按以下方式联系：</w:t>
      </w:r>
    </w:p>
    <w:p w14:paraId="7E3D0EE1">
      <w:pPr>
        <w:jc w:val="left"/>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商务信息：仲老师021-38284707</w:t>
      </w:r>
    </w:p>
    <w:p w14:paraId="0770BA17">
      <w:pPr>
        <w:jc w:val="left"/>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技术信息：</w:t>
      </w:r>
      <w:r>
        <w:rPr>
          <w:rFonts w:hint="eastAsia" w:ascii="方正兰亭黑简体" w:hAnsi="方正兰亭黑简体" w:eastAsia="方正兰亭黑简体" w:cs="方正兰亭黑简体"/>
          <w:color w:val="auto"/>
          <w:sz w:val="22"/>
          <w:szCs w:val="28"/>
          <w:highlight w:val="none"/>
        </w:rPr>
        <w:t>陈老师021-38284608</w:t>
      </w:r>
    </w:p>
    <w:p w14:paraId="0A9FAAA6">
      <w:pPr>
        <w:rPr>
          <w:rFonts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br w:type="page"/>
      </w:r>
    </w:p>
    <w:p w14:paraId="2A624ED0">
      <w:pPr>
        <w:jc w:val="center"/>
        <w:rPr>
          <w:rFonts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第二章 采购需求</w:t>
      </w:r>
    </w:p>
    <w:p w14:paraId="1876575C">
      <w:pPr>
        <w:rPr>
          <w:rFonts w:ascii="Times New Roman" w:hAnsi="Times New Roman" w:eastAsia="方正兰亭黑简体" w:cs="Times New Roman"/>
          <w:b/>
          <w:bCs/>
          <w:color w:val="auto"/>
          <w:sz w:val="22"/>
          <w:szCs w:val="22"/>
          <w:highlight w:val="none"/>
        </w:rPr>
      </w:pPr>
      <w:r>
        <w:rPr>
          <w:rFonts w:hint="eastAsia" w:ascii="Times New Roman" w:hAnsi="Times New Roman" w:eastAsia="方正兰亭黑简体" w:cs="Times New Roman"/>
          <w:b/>
          <w:bCs/>
          <w:color w:val="auto"/>
          <w:sz w:val="22"/>
          <w:szCs w:val="22"/>
          <w:highlight w:val="none"/>
        </w:rPr>
        <w:t>一、产品概述</w:t>
      </w:r>
    </w:p>
    <w:p w14:paraId="0F021714">
      <w:pPr>
        <w:spacing w:line="360" w:lineRule="auto"/>
        <w:ind w:firstLine="440" w:firstLineChars="200"/>
        <w:rPr>
          <w:rFonts w:ascii="Times New Roman" w:hAnsi="Times New Roman" w:eastAsia="方正兰亭黑简体" w:cs="Times New Roman"/>
          <w:b/>
          <w:bCs/>
          <w:color w:val="auto"/>
          <w:sz w:val="22"/>
          <w:szCs w:val="22"/>
          <w:highlight w:val="none"/>
        </w:rPr>
      </w:pPr>
      <w:r>
        <w:rPr>
          <w:rFonts w:ascii="Times New Roman" w:hAnsi="Times New Roman" w:eastAsia="方正兰亭黑简体" w:cs="Times New Roman"/>
          <w:color w:val="auto"/>
          <w:sz w:val="22"/>
          <w:szCs w:val="22"/>
          <w:highlight w:val="none"/>
        </w:rPr>
        <w:t>本次采购包含两套独立的光缆在线监测系统核心感知单元，主要服务于海洋能源设施检测、海洋信息探测等方向的科学研究。本项目采购光纤声波传感（DAS）模块1台、布里渊光时域反射分析仪（BOTDR）模块1台。两台设备均为独立封装的一体化处理单元，内部高度集成光源发射、调制驱动、信号增益放大、数据采集与实时运算等功能；DAS模块用于动态振动监测，BOTDR模块用于静态应变、温度测量，二者分工独立，可配合开展光纤传感联合观测试验。</w:t>
      </w:r>
    </w:p>
    <w:p w14:paraId="5E3C05A6">
      <w:pPr>
        <w:spacing w:line="360" w:lineRule="auto"/>
        <w:rPr>
          <w:rFonts w:ascii="Times New Roman" w:hAnsi="Times New Roman" w:eastAsia="方正兰亭黑简体" w:cs="Times New Roman"/>
          <w:b/>
          <w:bCs/>
          <w:color w:val="auto"/>
          <w:sz w:val="22"/>
          <w:szCs w:val="22"/>
          <w:highlight w:val="none"/>
        </w:rPr>
      </w:pPr>
    </w:p>
    <w:p w14:paraId="3FB191AA">
      <w:pPr>
        <w:spacing w:line="360" w:lineRule="auto"/>
        <w:rPr>
          <w:rFonts w:ascii="Times New Roman" w:hAnsi="Times New Roman" w:eastAsia="方正兰亭黑简体" w:cs="Times New Roman"/>
          <w:b/>
          <w:bCs/>
          <w:color w:val="auto"/>
          <w:sz w:val="22"/>
          <w:szCs w:val="22"/>
          <w:highlight w:val="none"/>
        </w:rPr>
      </w:pPr>
      <w:r>
        <w:rPr>
          <w:rFonts w:hint="eastAsia" w:ascii="Times New Roman" w:hAnsi="Times New Roman" w:eastAsia="方正兰亭黑简体" w:cs="Times New Roman"/>
          <w:b/>
          <w:bCs/>
          <w:color w:val="auto"/>
          <w:sz w:val="22"/>
          <w:szCs w:val="22"/>
          <w:highlight w:val="none"/>
        </w:rPr>
        <w:t>二、产品标的</w:t>
      </w:r>
    </w:p>
    <w:tbl>
      <w:tblPr>
        <w:tblStyle w:val="14"/>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6"/>
        <w:gridCol w:w="4336"/>
        <w:gridCol w:w="1828"/>
        <w:gridCol w:w="1049"/>
        <w:gridCol w:w="1599"/>
      </w:tblGrid>
      <w:tr w14:paraId="2DC46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71" w:type="pct"/>
            <w:vAlign w:val="center"/>
          </w:tcPr>
          <w:p w14:paraId="1A2DF0DD">
            <w:pPr>
              <w:spacing w:line="360" w:lineRule="auto"/>
              <w:jc w:val="center"/>
              <w:rPr>
                <w:rFonts w:ascii="Times New Roman" w:hAnsi="Times New Roman" w:eastAsia="方正兰亭黑简体" w:cs="Times New Roman"/>
                <w:b/>
                <w:bCs/>
                <w:color w:val="auto"/>
                <w:sz w:val="22"/>
                <w:szCs w:val="22"/>
                <w:highlight w:val="none"/>
              </w:rPr>
            </w:pPr>
            <w:r>
              <w:rPr>
                <w:rFonts w:ascii="Times New Roman" w:hAnsi="Times New Roman" w:eastAsia="方正兰亭黑简体" w:cs="Times New Roman"/>
                <w:b/>
                <w:bCs/>
                <w:color w:val="auto"/>
                <w:sz w:val="22"/>
                <w:szCs w:val="22"/>
                <w:highlight w:val="none"/>
              </w:rPr>
              <w:t>序号</w:t>
            </w:r>
          </w:p>
        </w:tc>
        <w:tc>
          <w:tcPr>
            <w:tcW w:w="2178" w:type="pct"/>
            <w:vAlign w:val="center"/>
          </w:tcPr>
          <w:p w14:paraId="6F7E1A69">
            <w:pPr>
              <w:widowControl/>
              <w:spacing w:line="360" w:lineRule="auto"/>
              <w:jc w:val="center"/>
              <w:rPr>
                <w:rFonts w:ascii="Times New Roman" w:hAnsi="Times New Roman" w:eastAsia="方正兰亭黑简体" w:cs="Times New Roman"/>
                <w:b/>
                <w:bCs/>
                <w:color w:val="auto"/>
                <w:sz w:val="22"/>
                <w:szCs w:val="22"/>
                <w:highlight w:val="none"/>
              </w:rPr>
            </w:pPr>
            <w:r>
              <w:rPr>
                <w:rFonts w:ascii="Times New Roman" w:hAnsi="Times New Roman" w:eastAsia="方正兰亭黑简体" w:cs="Times New Roman"/>
                <w:b/>
                <w:bCs/>
                <w:color w:val="auto"/>
                <w:sz w:val="22"/>
                <w:szCs w:val="22"/>
                <w:highlight w:val="none"/>
              </w:rPr>
              <w:t>名称</w:t>
            </w:r>
          </w:p>
        </w:tc>
        <w:tc>
          <w:tcPr>
            <w:tcW w:w="918" w:type="pct"/>
            <w:vAlign w:val="center"/>
          </w:tcPr>
          <w:p w14:paraId="53C81CF6">
            <w:pPr>
              <w:widowControl/>
              <w:spacing w:line="360" w:lineRule="auto"/>
              <w:jc w:val="center"/>
              <w:rPr>
                <w:rFonts w:ascii="Times New Roman" w:hAnsi="Times New Roman" w:eastAsia="方正兰亭黑简体" w:cs="Times New Roman"/>
                <w:b/>
                <w:bCs/>
                <w:color w:val="auto"/>
                <w:sz w:val="22"/>
                <w:szCs w:val="22"/>
                <w:highlight w:val="none"/>
              </w:rPr>
            </w:pPr>
            <w:r>
              <w:rPr>
                <w:rFonts w:ascii="Times New Roman" w:hAnsi="Times New Roman" w:eastAsia="方正兰亭黑简体" w:cs="Times New Roman"/>
                <w:b/>
                <w:bCs/>
                <w:color w:val="auto"/>
                <w:sz w:val="22"/>
                <w:szCs w:val="22"/>
                <w:highlight w:val="none"/>
              </w:rPr>
              <w:t>进口/国产</w:t>
            </w:r>
          </w:p>
        </w:tc>
        <w:tc>
          <w:tcPr>
            <w:tcW w:w="527" w:type="pct"/>
            <w:vAlign w:val="center"/>
          </w:tcPr>
          <w:p w14:paraId="3F0BFC15">
            <w:pPr>
              <w:widowControl/>
              <w:spacing w:line="360" w:lineRule="auto"/>
              <w:jc w:val="center"/>
              <w:rPr>
                <w:rFonts w:ascii="Times New Roman" w:hAnsi="Times New Roman" w:eastAsia="方正兰亭黑简体" w:cs="Times New Roman"/>
                <w:b/>
                <w:bCs/>
                <w:color w:val="auto"/>
                <w:sz w:val="22"/>
                <w:szCs w:val="22"/>
                <w:highlight w:val="none"/>
              </w:rPr>
            </w:pPr>
            <w:r>
              <w:rPr>
                <w:rFonts w:ascii="Times New Roman" w:hAnsi="Times New Roman" w:eastAsia="方正兰亭黑简体" w:cs="Times New Roman"/>
                <w:b/>
                <w:bCs/>
                <w:color w:val="auto"/>
                <w:sz w:val="22"/>
                <w:szCs w:val="22"/>
                <w:highlight w:val="none"/>
              </w:rPr>
              <w:t>单位</w:t>
            </w:r>
          </w:p>
        </w:tc>
        <w:tc>
          <w:tcPr>
            <w:tcW w:w="803" w:type="pct"/>
            <w:vAlign w:val="center"/>
          </w:tcPr>
          <w:p w14:paraId="49D28EFD">
            <w:pPr>
              <w:widowControl/>
              <w:spacing w:line="360" w:lineRule="auto"/>
              <w:jc w:val="center"/>
              <w:rPr>
                <w:rFonts w:ascii="Times New Roman" w:hAnsi="Times New Roman" w:eastAsia="方正兰亭黑简体" w:cs="Times New Roman"/>
                <w:b/>
                <w:bCs/>
                <w:color w:val="auto"/>
                <w:sz w:val="22"/>
                <w:szCs w:val="22"/>
                <w:highlight w:val="none"/>
              </w:rPr>
            </w:pPr>
            <w:r>
              <w:rPr>
                <w:rFonts w:ascii="Times New Roman" w:hAnsi="Times New Roman" w:eastAsia="方正兰亭黑简体" w:cs="Times New Roman"/>
                <w:b/>
                <w:bCs/>
                <w:color w:val="auto"/>
                <w:sz w:val="22"/>
                <w:szCs w:val="22"/>
                <w:highlight w:val="none"/>
              </w:rPr>
              <w:t>数量</w:t>
            </w:r>
          </w:p>
        </w:tc>
      </w:tr>
      <w:tr w14:paraId="79AD3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71" w:type="pct"/>
            <w:vAlign w:val="center"/>
          </w:tcPr>
          <w:p w14:paraId="629116F4">
            <w:pPr>
              <w:spacing w:line="360" w:lineRule="auto"/>
              <w:jc w:val="center"/>
              <w:rPr>
                <w:rFonts w:ascii="Times New Roman" w:hAnsi="Times New Roman" w:eastAsia="方正兰亭黑简体" w:cs="Times New Roman"/>
                <w:color w:val="auto"/>
                <w:sz w:val="22"/>
                <w:szCs w:val="22"/>
                <w:highlight w:val="none"/>
              </w:rPr>
            </w:pPr>
            <w:r>
              <w:rPr>
                <w:rFonts w:ascii="Times New Roman" w:hAnsi="Times New Roman" w:eastAsia="方正兰亭黑简体" w:cs="Times New Roman"/>
                <w:color w:val="auto"/>
                <w:sz w:val="22"/>
                <w:szCs w:val="22"/>
                <w:highlight w:val="none"/>
              </w:rPr>
              <w:t>1</w:t>
            </w:r>
          </w:p>
        </w:tc>
        <w:tc>
          <w:tcPr>
            <w:tcW w:w="2178" w:type="pct"/>
            <w:vAlign w:val="center"/>
          </w:tcPr>
          <w:p w14:paraId="732A6E79">
            <w:pPr>
              <w:widowControl/>
              <w:spacing w:line="360" w:lineRule="auto"/>
              <w:jc w:val="center"/>
              <w:rPr>
                <w:rFonts w:ascii="Times New Roman" w:hAnsi="Times New Roman" w:eastAsia="方正兰亭黑简体" w:cs="Times New Roman"/>
                <w:color w:val="auto"/>
                <w:sz w:val="22"/>
                <w:szCs w:val="22"/>
                <w:highlight w:val="none"/>
              </w:rPr>
            </w:pPr>
            <w:r>
              <w:rPr>
                <w:rFonts w:ascii="Times New Roman" w:hAnsi="Times New Roman" w:eastAsia="方正兰亭黑简体" w:cs="Times New Roman"/>
                <w:color w:val="auto"/>
                <w:sz w:val="22"/>
                <w:szCs w:val="22"/>
                <w:highlight w:val="none"/>
              </w:rPr>
              <w:t>光纤声波传感DAS模块</w:t>
            </w:r>
          </w:p>
        </w:tc>
        <w:tc>
          <w:tcPr>
            <w:tcW w:w="918" w:type="pct"/>
            <w:vAlign w:val="center"/>
          </w:tcPr>
          <w:p w14:paraId="3DDCFE03">
            <w:pPr>
              <w:widowControl/>
              <w:spacing w:line="360" w:lineRule="auto"/>
              <w:jc w:val="center"/>
              <w:rPr>
                <w:rFonts w:ascii="Times New Roman" w:hAnsi="Times New Roman" w:eastAsia="方正兰亭黑简体" w:cs="Times New Roman"/>
                <w:color w:val="auto"/>
                <w:sz w:val="22"/>
                <w:szCs w:val="22"/>
                <w:highlight w:val="none"/>
              </w:rPr>
            </w:pPr>
            <w:r>
              <w:rPr>
                <w:rFonts w:ascii="Times New Roman" w:hAnsi="Times New Roman" w:eastAsia="方正兰亭黑简体" w:cs="Times New Roman"/>
                <w:color w:val="auto"/>
                <w:sz w:val="22"/>
                <w:szCs w:val="22"/>
                <w:highlight w:val="none"/>
              </w:rPr>
              <w:t>国产</w:t>
            </w:r>
          </w:p>
        </w:tc>
        <w:tc>
          <w:tcPr>
            <w:tcW w:w="527" w:type="pct"/>
            <w:vAlign w:val="center"/>
          </w:tcPr>
          <w:p w14:paraId="62097BD9">
            <w:pPr>
              <w:widowControl/>
              <w:spacing w:line="360" w:lineRule="auto"/>
              <w:jc w:val="center"/>
              <w:rPr>
                <w:rFonts w:ascii="Times New Roman" w:hAnsi="Times New Roman" w:eastAsia="方正兰亭黑简体" w:cs="Times New Roman"/>
                <w:color w:val="auto"/>
                <w:sz w:val="22"/>
                <w:szCs w:val="22"/>
                <w:highlight w:val="none"/>
              </w:rPr>
            </w:pPr>
            <w:r>
              <w:rPr>
                <w:rFonts w:ascii="Times New Roman" w:hAnsi="Times New Roman" w:eastAsia="方正兰亭黑简体" w:cs="Times New Roman"/>
                <w:color w:val="auto"/>
                <w:sz w:val="22"/>
                <w:szCs w:val="22"/>
                <w:highlight w:val="none"/>
              </w:rPr>
              <w:t>台</w:t>
            </w:r>
          </w:p>
        </w:tc>
        <w:tc>
          <w:tcPr>
            <w:tcW w:w="803" w:type="pct"/>
            <w:vAlign w:val="center"/>
          </w:tcPr>
          <w:p w14:paraId="20E12DF8">
            <w:pPr>
              <w:widowControl/>
              <w:spacing w:line="360" w:lineRule="auto"/>
              <w:jc w:val="center"/>
              <w:rPr>
                <w:rFonts w:ascii="Times New Roman" w:hAnsi="Times New Roman" w:eastAsia="方正兰亭黑简体" w:cs="Times New Roman"/>
                <w:color w:val="auto"/>
                <w:sz w:val="22"/>
                <w:szCs w:val="22"/>
                <w:highlight w:val="none"/>
              </w:rPr>
            </w:pPr>
            <w:r>
              <w:rPr>
                <w:rFonts w:ascii="Times New Roman" w:hAnsi="Times New Roman" w:eastAsia="方正兰亭黑简体" w:cs="Times New Roman"/>
                <w:color w:val="auto"/>
                <w:sz w:val="22"/>
                <w:szCs w:val="22"/>
                <w:highlight w:val="none"/>
              </w:rPr>
              <w:t>1</w:t>
            </w:r>
          </w:p>
        </w:tc>
      </w:tr>
      <w:tr w14:paraId="4102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71" w:type="pct"/>
            <w:vAlign w:val="center"/>
          </w:tcPr>
          <w:p w14:paraId="05808BCD">
            <w:pPr>
              <w:spacing w:line="360" w:lineRule="auto"/>
              <w:jc w:val="center"/>
              <w:rPr>
                <w:rFonts w:ascii="Times New Roman" w:hAnsi="Times New Roman" w:eastAsia="方正兰亭黑简体" w:cs="Times New Roman"/>
                <w:color w:val="auto"/>
                <w:sz w:val="22"/>
                <w:szCs w:val="22"/>
                <w:highlight w:val="none"/>
              </w:rPr>
            </w:pPr>
            <w:r>
              <w:rPr>
                <w:rFonts w:ascii="Times New Roman" w:hAnsi="Times New Roman" w:eastAsia="方正兰亭黑简体" w:cs="Times New Roman"/>
                <w:color w:val="auto"/>
                <w:sz w:val="22"/>
                <w:szCs w:val="22"/>
                <w:highlight w:val="none"/>
              </w:rPr>
              <w:t>2</w:t>
            </w:r>
          </w:p>
        </w:tc>
        <w:tc>
          <w:tcPr>
            <w:tcW w:w="2178" w:type="pct"/>
            <w:vAlign w:val="center"/>
          </w:tcPr>
          <w:p w14:paraId="2F7FE75A">
            <w:pPr>
              <w:widowControl/>
              <w:spacing w:line="360" w:lineRule="auto"/>
              <w:jc w:val="center"/>
              <w:rPr>
                <w:rFonts w:ascii="Times New Roman" w:hAnsi="Times New Roman" w:eastAsia="方正兰亭黑简体" w:cs="Times New Roman"/>
                <w:color w:val="auto"/>
                <w:sz w:val="22"/>
                <w:szCs w:val="22"/>
                <w:highlight w:val="none"/>
              </w:rPr>
            </w:pPr>
            <w:r>
              <w:rPr>
                <w:rFonts w:ascii="Times New Roman" w:hAnsi="Times New Roman" w:eastAsia="方正兰亭黑简体" w:cs="Times New Roman"/>
                <w:color w:val="auto"/>
                <w:sz w:val="22"/>
                <w:szCs w:val="22"/>
                <w:highlight w:val="none"/>
              </w:rPr>
              <w:t>布里渊光时域反射分析仪BOTDR模块</w:t>
            </w:r>
          </w:p>
        </w:tc>
        <w:tc>
          <w:tcPr>
            <w:tcW w:w="918" w:type="pct"/>
            <w:vAlign w:val="center"/>
          </w:tcPr>
          <w:p w14:paraId="58DB4428">
            <w:pPr>
              <w:widowControl/>
              <w:spacing w:line="360" w:lineRule="auto"/>
              <w:jc w:val="center"/>
              <w:rPr>
                <w:rFonts w:ascii="Times New Roman" w:hAnsi="Times New Roman" w:eastAsia="方正兰亭黑简体" w:cs="Times New Roman"/>
                <w:color w:val="auto"/>
                <w:sz w:val="22"/>
                <w:szCs w:val="22"/>
                <w:highlight w:val="none"/>
              </w:rPr>
            </w:pPr>
            <w:r>
              <w:rPr>
                <w:rFonts w:ascii="Times New Roman" w:hAnsi="Times New Roman" w:eastAsia="方正兰亭黑简体" w:cs="Times New Roman"/>
                <w:color w:val="auto"/>
                <w:sz w:val="22"/>
                <w:szCs w:val="22"/>
                <w:highlight w:val="none"/>
              </w:rPr>
              <w:t>国产</w:t>
            </w:r>
          </w:p>
        </w:tc>
        <w:tc>
          <w:tcPr>
            <w:tcW w:w="527" w:type="pct"/>
            <w:vAlign w:val="center"/>
          </w:tcPr>
          <w:p w14:paraId="6ED291EA">
            <w:pPr>
              <w:widowControl/>
              <w:spacing w:line="360" w:lineRule="auto"/>
              <w:jc w:val="center"/>
              <w:rPr>
                <w:rFonts w:ascii="Times New Roman" w:hAnsi="Times New Roman" w:eastAsia="方正兰亭黑简体" w:cs="Times New Roman"/>
                <w:color w:val="auto"/>
                <w:sz w:val="22"/>
                <w:szCs w:val="22"/>
                <w:highlight w:val="none"/>
              </w:rPr>
            </w:pPr>
            <w:r>
              <w:rPr>
                <w:rFonts w:ascii="Times New Roman" w:hAnsi="Times New Roman" w:eastAsia="方正兰亭黑简体" w:cs="Times New Roman"/>
                <w:color w:val="auto"/>
                <w:sz w:val="22"/>
                <w:szCs w:val="22"/>
                <w:highlight w:val="none"/>
              </w:rPr>
              <w:t>台</w:t>
            </w:r>
          </w:p>
        </w:tc>
        <w:tc>
          <w:tcPr>
            <w:tcW w:w="803" w:type="pct"/>
            <w:vAlign w:val="center"/>
          </w:tcPr>
          <w:p w14:paraId="1F34A09E">
            <w:pPr>
              <w:widowControl/>
              <w:spacing w:line="360" w:lineRule="auto"/>
              <w:jc w:val="center"/>
              <w:rPr>
                <w:rFonts w:ascii="Times New Roman" w:hAnsi="Times New Roman" w:eastAsia="方正兰亭黑简体" w:cs="Times New Roman"/>
                <w:color w:val="auto"/>
                <w:sz w:val="22"/>
                <w:szCs w:val="22"/>
                <w:highlight w:val="none"/>
              </w:rPr>
            </w:pPr>
            <w:r>
              <w:rPr>
                <w:rFonts w:ascii="Times New Roman" w:hAnsi="Times New Roman" w:eastAsia="方正兰亭黑简体" w:cs="Times New Roman"/>
                <w:color w:val="auto"/>
                <w:sz w:val="22"/>
                <w:szCs w:val="22"/>
                <w:highlight w:val="none"/>
              </w:rPr>
              <w:t>1</w:t>
            </w:r>
          </w:p>
        </w:tc>
      </w:tr>
    </w:tbl>
    <w:p w14:paraId="18506077">
      <w:pPr>
        <w:spacing w:line="360" w:lineRule="auto"/>
        <w:rPr>
          <w:rFonts w:ascii="Times New Roman" w:hAnsi="Times New Roman" w:eastAsia="方正兰亭黑简体" w:cs="Times New Roman"/>
          <w:b/>
          <w:bCs/>
          <w:color w:val="auto"/>
          <w:sz w:val="22"/>
          <w:szCs w:val="22"/>
          <w:highlight w:val="none"/>
        </w:rPr>
      </w:pPr>
    </w:p>
    <w:p w14:paraId="5E916290">
      <w:pPr>
        <w:rPr>
          <w:rFonts w:ascii="Times New Roman" w:hAnsi="Times New Roman" w:eastAsia="方正兰亭黑简体" w:cs="Times New Roman"/>
          <w:b/>
          <w:bCs/>
          <w:color w:val="auto"/>
          <w:sz w:val="22"/>
          <w:szCs w:val="22"/>
          <w:highlight w:val="none"/>
        </w:rPr>
      </w:pPr>
      <w:r>
        <w:rPr>
          <w:rFonts w:hint="eastAsia" w:ascii="Times New Roman" w:hAnsi="Times New Roman" w:eastAsia="方正兰亭黑简体" w:cs="Times New Roman"/>
          <w:b/>
          <w:bCs/>
          <w:color w:val="auto"/>
          <w:sz w:val="22"/>
          <w:szCs w:val="22"/>
          <w:highlight w:val="none"/>
        </w:rPr>
        <w:t>三、技术要求</w:t>
      </w:r>
    </w:p>
    <w:p w14:paraId="0A7F0409">
      <w:pPr>
        <w:widowControl/>
        <w:shd w:val="clear" w:color="auto" w:fill="FFFFFF"/>
        <w:spacing w:line="360" w:lineRule="auto"/>
        <w:jc w:val="left"/>
        <w:rPr>
          <w:rFonts w:ascii="Times New Roman" w:hAnsi="Times New Roman" w:eastAsia="方正兰亭黑简体" w:cs="Times New Roman"/>
          <w:color w:val="auto"/>
          <w:kern w:val="0"/>
          <w:sz w:val="22"/>
          <w:szCs w:val="22"/>
          <w:highlight w:val="none"/>
        </w:rPr>
      </w:pPr>
      <w:r>
        <w:rPr>
          <w:rFonts w:ascii="Times New Roman" w:hAnsi="Times New Roman" w:eastAsia="方正兰亭黑简体" w:cs="Times New Roman"/>
          <w:color w:val="auto"/>
          <w:kern w:val="0"/>
          <w:sz w:val="22"/>
          <w:szCs w:val="22"/>
          <w:highlight w:val="none"/>
        </w:rPr>
        <w:t>1.功能要求</w:t>
      </w:r>
    </w:p>
    <w:p w14:paraId="45CA78F4">
      <w:pPr>
        <w:widowControl/>
        <w:shd w:val="clear" w:color="auto" w:fill="FFFFFF"/>
        <w:spacing w:line="360" w:lineRule="auto"/>
        <w:jc w:val="left"/>
        <w:rPr>
          <w:rFonts w:ascii="Times New Roman" w:hAnsi="Times New Roman" w:eastAsia="方正兰亭黑简体" w:cs="Times New Roman"/>
          <w:color w:val="auto"/>
          <w:sz w:val="22"/>
          <w:szCs w:val="22"/>
          <w:highlight w:val="none"/>
        </w:rPr>
      </w:pPr>
      <w:r>
        <w:rPr>
          <w:rFonts w:ascii="Times New Roman" w:hAnsi="Times New Roman" w:eastAsia="方正兰亭黑简体" w:cs="Times New Roman"/>
          <w:color w:val="auto"/>
          <w:sz w:val="22"/>
          <w:szCs w:val="22"/>
          <w:highlight w:val="none"/>
        </w:rPr>
        <w:t>光纤声波传感（DAS）模块（1台）：基于瑞利散射与相干探测原理，利用现场既有通信光纤作为分布式感知媒介，通过对背向散射信号的连续采集与实时解算，实现对线路沿线振动、声波等动态信号的实时监测与定位。</w:t>
      </w:r>
    </w:p>
    <w:p w14:paraId="038EFE83">
      <w:pPr>
        <w:widowControl/>
        <w:shd w:val="clear" w:color="auto" w:fill="FFFFFF"/>
        <w:spacing w:line="360" w:lineRule="auto"/>
        <w:jc w:val="left"/>
        <w:rPr>
          <w:rFonts w:ascii="Times New Roman" w:hAnsi="Times New Roman" w:eastAsia="方正兰亭黑简体" w:cs="Times New Roman"/>
          <w:color w:val="auto"/>
          <w:kern w:val="0"/>
          <w:sz w:val="22"/>
          <w:szCs w:val="22"/>
          <w:highlight w:val="none"/>
        </w:rPr>
      </w:pPr>
      <w:r>
        <w:rPr>
          <w:rFonts w:ascii="Times New Roman" w:hAnsi="Times New Roman" w:eastAsia="方正兰亭黑简体" w:cs="Times New Roman"/>
          <w:color w:val="auto"/>
          <w:sz w:val="22"/>
          <w:szCs w:val="22"/>
          <w:highlight w:val="none"/>
        </w:rPr>
        <w:t>布里渊光时域反射分析仪（BOTDR）模块（1台）：基于布里渊散射效应，专注于光纤链路的静态物理量测量，可实时输出沿光纤距离分布的应变与温度曲线数据，用于链路形变感知与链路衰耗诊断。</w:t>
      </w:r>
    </w:p>
    <w:p w14:paraId="1FC6A136">
      <w:pPr>
        <w:widowControl/>
        <w:shd w:val="clear" w:color="auto" w:fill="FFFFFF"/>
        <w:spacing w:line="360" w:lineRule="auto"/>
        <w:jc w:val="left"/>
        <w:rPr>
          <w:rFonts w:ascii="Times New Roman" w:hAnsi="Times New Roman" w:eastAsia="方正兰亭黑简体" w:cs="Times New Roman"/>
          <w:color w:val="auto"/>
          <w:sz w:val="22"/>
          <w:szCs w:val="22"/>
          <w:highlight w:val="none"/>
        </w:rPr>
      </w:pPr>
      <w:r>
        <w:rPr>
          <w:rFonts w:ascii="Times New Roman" w:hAnsi="Times New Roman" w:eastAsia="方正兰亭黑简体" w:cs="Times New Roman"/>
          <w:color w:val="auto"/>
          <w:sz w:val="22"/>
          <w:szCs w:val="22"/>
          <w:highlight w:val="none"/>
        </w:rPr>
        <w:t>2.应遵循的相关国家标准、行业标准、地方标准等标准、规范</w:t>
      </w:r>
    </w:p>
    <w:p w14:paraId="2223623F">
      <w:pPr>
        <w:widowControl/>
        <w:shd w:val="clear" w:color="auto" w:fill="FFFFFF"/>
        <w:spacing w:line="360" w:lineRule="auto"/>
        <w:jc w:val="left"/>
        <w:rPr>
          <w:rFonts w:ascii="Times New Roman" w:hAnsi="Times New Roman" w:eastAsia="方正兰亭黑简体" w:cs="Times New Roman"/>
          <w:color w:val="auto"/>
          <w:kern w:val="0"/>
          <w:sz w:val="22"/>
          <w:szCs w:val="22"/>
          <w:highlight w:val="none"/>
        </w:rPr>
      </w:pPr>
      <w:r>
        <w:rPr>
          <w:rFonts w:ascii="Times New Roman" w:hAnsi="Times New Roman" w:eastAsia="方正兰亭黑简体" w:cs="Times New Roman"/>
          <w:color w:val="auto"/>
          <w:kern w:val="0"/>
          <w:sz w:val="22"/>
          <w:szCs w:val="22"/>
          <w:highlight w:val="none"/>
        </w:rPr>
        <w:t>3.后续运营维护、升级更新、备品备件等要求</w:t>
      </w:r>
    </w:p>
    <w:p w14:paraId="427CC542">
      <w:pPr>
        <w:widowControl/>
        <w:shd w:val="clear" w:color="auto" w:fill="FFFFFF"/>
        <w:spacing w:line="360" w:lineRule="auto"/>
        <w:jc w:val="left"/>
        <w:rPr>
          <w:rFonts w:ascii="Times New Roman" w:hAnsi="Times New Roman" w:eastAsia="方正兰亭黑简体" w:cs="Times New Roman"/>
          <w:color w:val="auto"/>
          <w:sz w:val="22"/>
          <w:szCs w:val="22"/>
          <w:highlight w:val="none"/>
        </w:rPr>
      </w:pPr>
      <w:r>
        <w:rPr>
          <w:rFonts w:ascii="Times New Roman" w:hAnsi="Times New Roman" w:eastAsia="方正兰亭黑简体" w:cs="Times New Roman"/>
          <w:color w:val="auto"/>
          <w:sz w:val="22"/>
          <w:szCs w:val="22"/>
          <w:highlight w:val="none"/>
        </w:rPr>
        <w:t>（1）供应商需提供包括设备控制、数据（包括DAS原始差分解调数据、光时域反射数据等；BOTDR原始扫频数据、光时域反射数据等）输出接口文档和实例程序等材料。</w:t>
      </w:r>
    </w:p>
    <w:p w14:paraId="47A83B8F">
      <w:pPr>
        <w:widowControl/>
        <w:shd w:val="clear" w:color="auto" w:fill="FFFFFF"/>
        <w:spacing w:line="360" w:lineRule="auto"/>
        <w:jc w:val="left"/>
        <w:rPr>
          <w:rFonts w:ascii="Times New Roman" w:hAnsi="Times New Roman" w:eastAsia="方正兰亭黑简体" w:cs="Times New Roman"/>
          <w:color w:val="auto"/>
          <w:sz w:val="22"/>
          <w:szCs w:val="22"/>
          <w:highlight w:val="none"/>
        </w:rPr>
      </w:pPr>
      <w:r>
        <w:rPr>
          <w:rFonts w:ascii="Times New Roman" w:hAnsi="Times New Roman" w:eastAsia="方正兰亭黑简体" w:cs="Times New Roman"/>
          <w:color w:val="auto"/>
          <w:sz w:val="22"/>
          <w:szCs w:val="22"/>
          <w:highlight w:val="none"/>
        </w:rPr>
        <w:t>（2）所有硬件产品提供2年免费质保服务，质保服务期内，供应商需提供免费维修服务并配合采购人进行二次开发。</w:t>
      </w:r>
    </w:p>
    <w:p w14:paraId="1C01BAD6">
      <w:pPr>
        <w:widowControl/>
        <w:shd w:val="clear" w:color="auto" w:fill="FFFFFF"/>
        <w:spacing w:line="360" w:lineRule="auto"/>
        <w:jc w:val="left"/>
        <w:rPr>
          <w:rFonts w:ascii="Times New Roman" w:hAnsi="Times New Roman" w:eastAsia="方正兰亭黑简体" w:cs="Times New Roman"/>
          <w:color w:val="auto"/>
          <w:sz w:val="22"/>
          <w:szCs w:val="22"/>
          <w:highlight w:val="none"/>
        </w:rPr>
      </w:pPr>
      <w:r>
        <w:rPr>
          <w:rFonts w:ascii="Times New Roman" w:hAnsi="Times New Roman" w:eastAsia="方正兰亭黑简体" w:cs="Times New Roman"/>
          <w:color w:val="auto"/>
          <w:sz w:val="22"/>
          <w:szCs w:val="22"/>
          <w:highlight w:val="none"/>
        </w:rPr>
        <w:t>4.各项指标要求</w:t>
      </w:r>
    </w:p>
    <w:p w14:paraId="09696E13">
      <w:pPr>
        <w:widowControl/>
        <w:shd w:val="clear" w:color="auto" w:fill="FFFFFF"/>
        <w:spacing w:line="360" w:lineRule="auto"/>
        <w:rPr>
          <w:rFonts w:ascii="Times New Roman" w:hAnsi="Times New Roman" w:eastAsia="方正兰亭黑简体" w:cs="Times New Roman"/>
          <w:b/>
          <w:color w:val="auto"/>
          <w:sz w:val="22"/>
          <w:szCs w:val="22"/>
          <w:highlight w:val="none"/>
        </w:rPr>
      </w:pPr>
      <w:r>
        <w:rPr>
          <w:rFonts w:ascii="Times New Roman" w:hAnsi="Times New Roman" w:eastAsia="方正兰亭黑简体" w:cs="Times New Roman"/>
          <w:b/>
          <w:color w:val="auto"/>
          <w:sz w:val="22"/>
          <w:szCs w:val="22"/>
          <w:highlight w:val="none"/>
        </w:rPr>
        <w:t>分布式光纤声波传感DAS模块技术指标</w:t>
      </w:r>
    </w:p>
    <w:tbl>
      <w:tblPr>
        <w:tblStyle w:val="14"/>
        <w:tblW w:w="4999"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hemeFill="background1"/>
        <w:tblLayout w:type="autofit"/>
        <w:tblCellMar>
          <w:top w:w="0" w:type="dxa"/>
          <w:left w:w="108" w:type="dxa"/>
          <w:bottom w:w="0" w:type="dxa"/>
          <w:right w:w="108" w:type="dxa"/>
        </w:tblCellMar>
      </w:tblPr>
      <w:tblGrid>
        <w:gridCol w:w="1279"/>
        <w:gridCol w:w="2694"/>
        <w:gridCol w:w="5987"/>
      </w:tblGrid>
      <w:tr w14:paraId="5A0CA2F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hemeFill="background1"/>
          <w:tblCellMar>
            <w:top w:w="0" w:type="dxa"/>
            <w:left w:w="108" w:type="dxa"/>
            <w:bottom w:w="0" w:type="dxa"/>
            <w:right w:w="108" w:type="dxa"/>
          </w:tblCellMar>
        </w:tblPrEx>
        <w:trPr>
          <w:trHeight w:val="397" w:hRule="atLeast"/>
          <w:jc w:val="center"/>
        </w:trPr>
        <w:tc>
          <w:tcPr>
            <w:tcW w:w="642" w:type="pct"/>
            <w:tcBorders>
              <w:tl2br w:val="nil"/>
              <w:tr2bl w:val="nil"/>
            </w:tcBorders>
            <w:shd w:val="clear" w:color="auto" w:fill="FFFFFF" w:themeFill="background1"/>
            <w:vAlign w:val="center"/>
          </w:tcPr>
          <w:p w14:paraId="2CB08993">
            <w:pPr>
              <w:spacing w:line="360" w:lineRule="auto"/>
              <w:jc w:val="center"/>
              <w:rPr>
                <w:rFonts w:ascii="Times New Roman" w:hAnsi="Times New Roman" w:eastAsia="方正兰亭黑简体" w:cs="Times New Roman"/>
                <w:b/>
                <w:bCs/>
                <w:color w:val="auto"/>
                <w:sz w:val="20"/>
                <w:szCs w:val="20"/>
                <w:highlight w:val="none"/>
              </w:rPr>
            </w:pPr>
            <w:r>
              <w:rPr>
                <w:rFonts w:ascii="Times New Roman" w:hAnsi="Times New Roman" w:eastAsia="方正兰亭黑简体" w:cs="Times New Roman"/>
                <w:b/>
                <w:bCs/>
                <w:color w:val="auto"/>
                <w:sz w:val="20"/>
                <w:szCs w:val="20"/>
                <w:highlight w:val="none"/>
              </w:rPr>
              <w:t>编号</w:t>
            </w:r>
          </w:p>
        </w:tc>
        <w:tc>
          <w:tcPr>
            <w:tcW w:w="1352" w:type="pct"/>
            <w:tcBorders>
              <w:tl2br w:val="nil"/>
              <w:tr2bl w:val="nil"/>
            </w:tcBorders>
            <w:shd w:val="clear" w:color="auto" w:fill="FFFFFF" w:themeFill="background1"/>
            <w:vAlign w:val="center"/>
          </w:tcPr>
          <w:p w14:paraId="0B9A8880">
            <w:pPr>
              <w:spacing w:line="360" w:lineRule="auto"/>
              <w:jc w:val="center"/>
              <w:rPr>
                <w:rFonts w:ascii="Times New Roman" w:hAnsi="Times New Roman" w:eastAsia="方正兰亭黑简体" w:cs="Times New Roman"/>
                <w:b/>
                <w:bCs/>
                <w:color w:val="auto"/>
                <w:sz w:val="20"/>
                <w:szCs w:val="20"/>
                <w:highlight w:val="none"/>
              </w:rPr>
            </w:pPr>
            <w:r>
              <w:rPr>
                <w:rFonts w:ascii="Times New Roman" w:hAnsi="Times New Roman" w:eastAsia="方正兰亭黑简体" w:cs="Times New Roman"/>
                <w:b/>
                <w:bCs/>
                <w:color w:val="auto"/>
                <w:sz w:val="20"/>
                <w:szCs w:val="20"/>
                <w:highlight w:val="none"/>
              </w:rPr>
              <w:t>技术参数名称</w:t>
            </w:r>
          </w:p>
        </w:tc>
        <w:tc>
          <w:tcPr>
            <w:tcW w:w="3005" w:type="pct"/>
            <w:tcBorders>
              <w:tl2br w:val="nil"/>
              <w:tr2bl w:val="nil"/>
            </w:tcBorders>
            <w:shd w:val="clear" w:color="auto" w:fill="FFFFFF" w:themeFill="background1"/>
            <w:vAlign w:val="center"/>
          </w:tcPr>
          <w:p w14:paraId="42733D8A">
            <w:pPr>
              <w:spacing w:line="360" w:lineRule="auto"/>
              <w:jc w:val="center"/>
              <w:rPr>
                <w:rFonts w:ascii="Times New Roman" w:hAnsi="Times New Roman" w:eastAsia="方正兰亭黑简体" w:cs="Times New Roman"/>
                <w:b/>
                <w:bCs/>
                <w:color w:val="auto"/>
                <w:sz w:val="20"/>
                <w:szCs w:val="20"/>
                <w:highlight w:val="none"/>
              </w:rPr>
            </w:pPr>
            <w:r>
              <w:rPr>
                <w:rFonts w:ascii="Times New Roman" w:hAnsi="Times New Roman" w:eastAsia="方正兰亭黑简体" w:cs="Times New Roman"/>
                <w:b/>
                <w:bCs/>
                <w:color w:val="auto"/>
                <w:sz w:val="20"/>
                <w:szCs w:val="20"/>
                <w:highlight w:val="none"/>
              </w:rPr>
              <w:t>要求值</w:t>
            </w:r>
          </w:p>
        </w:tc>
      </w:tr>
      <w:tr w14:paraId="5C07A6F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hemeFill="background1"/>
          <w:tblCellMar>
            <w:top w:w="0" w:type="dxa"/>
            <w:left w:w="108" w:type="dxa"/>
            <w:bottom w:w="0" w:type="dxa"/>
            <w:right w:w="108" w:type="dxa"/>
          </w:tblCellMar>
        </w:tblPrEx>
        <w:trPr>
          <w:trHeight w:val="397" w:hRule="atLeast"/>
          <w:jc w:val="center"/>
        </w:trPr>
        <w:tc>
          <w:tcPr>
            <w:tcW w:w="642" w:type="pct"/>
            <w:tcBorders>
              <w:tl2br w:val="nil"/>
              <w:tr2bl w:val="nil"/>
            </w:tcBorders>
            <w:shd w:val="clear" w:color="auto" w:fill="FFFFFF" w:themeFill="background1"/>
            <w:vAlign w:val="center"/>
          </w:tcPr>
          <w:p w14:paraId="31D48A50">
            <w:pPr>
              <w:spacing w:line="360" w:lineRule="auto"/>
              <w:jc w:val="center"/>
              <w:rPr>
                <w:rFonts w:ascii="Times New Roman" w:hAnsi="Times New Roman" w:eastAsia="方正兰亭黑简体" w:cs="Times New Roman"/>
                <w:color w:val="auto"/>
                <w:sz w:val="20"/>
                <w:szCs w:val="20"/>
                <w:highlight w:val="none"/>
              </w:rPr>
            </w:pPr>
            <w:bookmarkStart w:id="4" w:name="OLE_LINK2"/>
            <w:bookmarkStart w:id="5" w:name="_Hlk243485607"/>
            <w:r>
              <w:rPr>
                <w:rFonts w:ascii="Times New Roman" w:hAnsi="Times New Roman" w:eastAsia="方正兰亭黑简体" w:cs="Times New Roman"/>
                <w:color w:val="auto"/>
                <w:sz w:val="20"/>
                <w:szCs w:val="20"/>
                <w:highlight w:val="none"/>
              </w:rPr>
              <w:t>1</w:t>
            </w:r>
          </w:p>
        </w:tc>
        <w:tc>
          <w:tcPr>
            <w:tcW w:w="1352" w:type="pct"/>
            <w:tcBorders>
              <w:tl2br w:val="nil"/>
              <w:tr2bl w:val="nil"/>
            </w:tcBorders>
            <w:shd w:val="clear" w:color="auto" w:fill="FFFFFF" w:themeFill="background1"/>
            <w:vAlign w:val="center"/>
          </w:tcPr>
          <w:p w14:paraId="41CAFBD3">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工作波长</w:t>
            </w:r>
          </w:p>
        </w:tc>
        <w:tc>
          <w:tcPr>
            <w:tcW w:w="3005" w:type="pct"/>
            <w:tcBorders>
              <w:tl2br w:val="nil"/>
              <w:tr2bl w:val="nil"/>
            </w:tcBorders>
            <w:shd w:val="clear" w:color="auto" w:fill="FFFFFF" w:themeFill="background1"/>
            <w:vAlign w:val="center"/>
          </w:tcPr>
          <w:p w14:paraId="232BA28C">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1550nm</w:t>
            </w:r>
          </w:p>
        </w:tc>
      </w:tr>
      <w:bookmarkEnd w:id="4"/>
      <w:tr w14:paraId="270D4C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hemeFill="background1"/>
          <w:tblCellMar>
            <w:top w:w="0" w:type="dxa"/>
            <w:left w:w="108" w:type="dxa"/>
            <w:bottom w:w="0" w:type="dxa"/>
            <w:right w:w="108" w:type="dxa"/>
          </w:tblCellMar>
        </w:tblPrEx>
        <w:trPr>
          <w:trHeight w:val="397" w:hRule="atLeast"/>
          <w:jc w:val="center"/>
        </w:trPr>
        <w:tc>
          <w:tcPr>
            <w:tcW w:w="642" w:type="pct"/>
            <w:tcBorders>
              <w:tl2br w:val="nil"/>
              <w:tr2bl w:val="nil"/>
            </w:tcBorders>
            <w:shd w:val="clear" w:color="auto" w:fill="FFFFFF" w:themeFill="background1"/>
            <w:vAlign w:val="center"/>
          </w:tcPr>
          <w:p w14:paraId="2C9DC805">
            <w:pPr>
              <w:spacing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2</w:t>
            </w:r>
          </w:p>
        </w:tc>
        <w:tc>
          <w:tcPr>
            <w:tcW w:w="1352" w:type="pct"/>
            <w:tcBorders>
              <w:tl2br w:val="nil"/>
              <w:tr2bl w:val="nil"/>
            </w:tcBorders>
            <w:shd w:val="clear" w:color="auto" w:fill="FFFFFF" w:themeFill="background1"/>
            <w:vAlign w:val="center"/>
          </w:tcPr>
          <w:p w14:paraId="3C0F43AE">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测试距离</w:t>
            </w:r>
          </w:p>
        </w:tc>
        <w:tc>
          <w:tcPr>
            <w:tcW w:w="3005" w:type="pct"/>
            <w:tcBorders>
              <w:tl2br w:val="nil"/>
              <w:tr2bl w:val="nil"/>
            </w:tcBorders>
            <w:shd w:val="clear" w:color="auto" w:fill="FFFFFF" w:themeFill="background1"/>
            <w:vAlign w:val="center"/>
          </w:tcPr>
          <w:p w14:paraId="30A43836">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最大测试距离</w:t>
            </w:r>
            <w:r>
              <w:rPr>
                <w:rFonts w:ascii="Times New Roman" w:hAnsi="Times New Roman" w:eastAsia="方正兰亭黑简体" w:cs="Times New Roman"/>
                <w:color w:val="auto"/>
                <w:sz w:val="20"/>
                <w:szCs w:val="20"/>
                <w:highlight w:val="none"/>
              </w:rPr>
              <w:t>≥</w:t>
            </w:r>
            <w:r>
              <w:rPr>
                <w:rFonts w:ascii="Times New Roman" w:hAnsi="Times New Roman" w:eastAsia="方正兰亭黑简体" w:cs="Times New Roman"/>
                <w:color w:val="auto"/>
                <w:sz w:val="20"/>
                <w:szCs w:val="20"/>
                <w:highlight w:val="none"/>
              </w:rPr>
              <w:t>70km</w:t>
            </w:r>
          </w:p>
        </w:tc>
      </w:tr>
      <w:tr w14:paraId="662135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hemeFill="background1"/>
          <w:tblCellMar>
            <w:top w:w="0" w:type="dxa"/>
            <w:left w:w="108" w:type="dxa"/>
            <w:bottom w:w="0" w:type="dxa"/>
            <w:right w:w="108" w:type="dxa"/>
          </w:tblCellMar>
        </w:tblPrEx>
        <w:trPr>
          <w:trHeight w:val="397" w:hRule="atLeast"/>
          <w:jc w:val="center"/>
        </w:trPr>
        <w:tc>
          <w:tcPr>
            <w:tcW w:w="642" w:type="pct"/>
            <w:tcBorders>
              <w:tl2br w:val="nil"/>
              <w:tr2bl w:val="nil"/>
            </w:tcBorders>
            <w:shd w:val="clear" w:color="auto" w:fill="FFFFFF" w:themeFill="background1"/>
            <w:vAlign w:val="center"/>
          </w:tcPr>
          <w:p w14:paraId="4449395B">
            <w:pPr>
              <w:spacing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3</w:t>
            </w:r>
          </w:p>
        </w:tc>
        <w:tc>
          <w:tcPr>
            <w:tcW w:w="1352" w:type="pct"/>
            <w:tcBorders>
              <w:tl2br w:val="nil"/>
              <w:tr2bl w:val="nil"/>
            </w:tcBorders>
            <w:shd w:val="clear" w:color="auto" w:fill="FFFFFF" w:themeFill="background1"/>
            <w:vAlign w:val="center"/>
          </w:tcPr>
          <w:p w14:paraId="482A37D1">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采样分辨率</w:t>
            </w:r>
          </w:p>
        </w:tc>
        <w:tc>
          <w:tcPr>
            <w:tcW w:w="3005" w:type="pct"/>
            <w:tcBorders>
              <w:tl2br w:val="nil"/>
              <w:tr2bl w:val="nil"/>
            </w:tcBorders>
            <w:shd w:val="clear" w:color="auto" w:fill="FFFFFF" w:themeFill="background1"/>
            <w:vAlign w:val="center"/>
          </w:tcPr>
          <w:p w14:paraId="16AC2C03">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≤0.8m</w:t>
            </w:r>
          </w:p>
        </w:tc>
      </w:tr>
      <w:tr w14:paraId="306213E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hemeFill="background1"/>
          <w:tblCellMar>
            <w:top w:w="0" w:type="dxa"/>
            <w:left w:w="108" w:type="dxa"/>
            <w:bottom w:w="0" w:type="dxa"/>
            <w:right w:w="108" w:type="dxa"/>
          </w:tblCellMar>
        </w:tblPrEx>
        <w:trPr>
          <w:trHeight w:val="397" w:hRule="atLeast"/>
          <w:jc w:val="center"/>
        </w:trPr>
        <w:tc>
          <w:tcPr>
            <w:tcW w:w="642" w:type="pct"/>
            <w:tcBorders>
              <w:tl2br w:val="nil"/>
              <w:tr2bl w:val="nil"/>
            </w:tcBorders>
            <w:shd w:val="clear" w:color="auto" w:fill="FFFFFF" w:themeFill="background1"/>
            <w:vAlign w:val="center"/>
          </w:tcPr>
          <w:p w14:paraId="231AA51D">
            <w:pPr>
              <w:spacing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4</w:t>
            </w:r>
          </w:p>
        </w:tc>
        <w:tc>
          <w:tcPr>
            <w:tcW w:w="1352" w:type="pct"/>
            <w:tcBorders>
              <w:tl2br w:val="nil"/>
              <w:tr2bl w:val="nil"/>
            </w:tcBorders>
            <w:shd w:val="clear" w:color="auto" w:fill="FFFFFF" w:themeFill="background1"/>
            <w:vAlign w:val="center"/>
          </w:tcPr>
          <w:p w14:paraId="503D0B9F">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空间分辨率</w:t>
            </w:r>
          </w:p>
        </w:tc>
        <w:tc>
          <w:tcPr>
            <w:tcW w:w="3005" w:type="pct"/>
            <w:tcBorders>
              <w:tl2br w:val="nil"/>
              <w:tr2bl w:val="nil"/>
            </w:tcBorders>
            <w:shd w:val="clear" w:color="auto" w:fill="FFFFFF" w:themeFill="background1"/>
            <w:vAlign w:val="center"/>
          </w:tcPr>
          <w:p w14:paraId="50F3B48B">
            <w:pPr>
              <w:spacing w:before="15" w:beforeLines="5" w:after="15" w:afterLines="5" w:line="360" w:lineRule="auto"/>
              <w:jc w:val="center"/>
              <w:rPr>
                <w:rFonts w:ascii="Times New Roman" w:hAnsi="Times New Roman" w:eastAsia="方正兰亭黑简体" w:cs="Times New Roman"/>
                <w:color w:val="auto"/>
                <w:sz w:val="20"/>
                <w:szCs w:val="20"/>
                <w:highlight w:val="none"/>
              </w:rPr>
            </w:pPr>
            <w:bookmarkStart w:id="6" w:name="OLE_LINK1"/>
            <w:r>
              <w:rPr>
                <w:rFonts w:ascii="Times New Roman" w:hAnsi="Times New Roman" w:eastAsia="方正兰亭黑简体" w:cs="Times New Roman"/>
                <w:color w:val="auto"/>
                <w:sz w:val="20"/>
                <w:szCs w:val="20"/>
                <w:highlight w:val="none"/>
              </w:rPr>
              <w:t>10</w:t>
            </w:r>
            <w:bookmarkEnd w:id="6"/>
            <w:r>
              <w:rPr>
                <w:rFonts w:ascii="Times New Roman" w:hAnsi="Times New Roman" w:eastAsia="方正兰亭黑简体" w:cs="Times New Roman"/>
                <w:color w:val="auto"/>
                <w:sz w:val="20"/>
                <w:szCs w:val="20"/>
                <w:highlight w:val="none"/>
              </w:rPr>
              <w:t>~50m</w:t>
            </w:r>
          </w:p>
        </w:tc>
      </w:tr>
      <w:tr w14:paraId="26B78BA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hemeFill="background1"/>
          <w:tblCellMar>
            <w:top w:w="0" w:type="dxa"/>
            <w:left w:w="108" w:type="dxa"/>
            <w:bottom w:w="0" w:type="dxa"/>
            <w:right w:w="108" w:type="dxa"/>
          </w:tblCellMar>
        </w:tblPrEx>
        <w:trPr>
          <w:trHeight w:val="397" w:hRule="atLeast"/>
          <w:jc w:val="center"/>
        </w:trPr>
        <w:tc>
          <w:tcPr>
            <w:tcW w:w="642" w:type="pct"/>
            <w:tcBorders>
              <w:tl2br w:val="nil"/>
              <w:tr2bl w:val="nil"/>
            </w:tcBorders>
            <w:shd w:val="clear" w:color="auto" w:fill="FFFFFF" w:themeFill="background1"/>
            <w:vAlign w:val="center"/>
          </w:tcPr>
          <w:p w14:paraId="3DA29C33">
            <w:pPr>
              <w:spacing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5</w:t>
            </w:r>
          </w:p>
        </w:tc>
        <w:tc>
          <w:tcPr>
            <w:tcW w:w="1352" w:type="pct"/>
            <w:tcBorders>
              <w:tl2br w:val="nil"/>
              <w:tr2bl w:val="nil"/>
            </w:tcBorders>
            <w:shd w:val="clear" w:color="auto" w:fill="FFFFFF" w:themeFill="background1"/>
            <w:vAlign w:val="center"/>
          </w:tcPr>
          <w:p w14:paraId="224F201A">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振动灵敏度</w:t>
            </w:r>
          </w:p>
        </w:tc>
        <w:tc>
          <w:tcPr>
            <w:tcW w:w="3005" w:type="pct"/>
            <w:tcBorders>
              <w:tl2br w:val="nil"/>
              <w:tr2bl w:val="nil"/>
            </w:tcBorders>
            <w:shd w:val="clear" w:color="auto" w:fill="FFFFFF" w:themeFill="background1"/>
            <w:vAlign w:val="center"/>
          </w:tcPr>
          <w:p w14:paraId="508F5B8A">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≤10pε/√Hz@10km</w:t>
            </w:r>
          </w:p>
        </w:tc>
      </w:tr>
      <w:tr w14:paraId="64B5B64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hemeFill="background1"/>
          <w:tblCellMar>
            <w:top w:w="0" w:type="dxa"/>
            <w:left w:w="108" w:type="dxa"/>
            <w:bottom w:w="0" w:type="dxa"/>
            <w:right w:w="108" w:type="dxa"/>
          </w:tblCellMar>
        </w:tblPrEx>
        <w:trPr>
          <w:trHeight w:val="397" w:hRule="atLeast"/>
          <w:jc w:val="center"/>
        </w:trPr>
        <w:tc>
          <w:tcPr>
            <w:tcW w:w="642" w:type="pct"/>
            <w:tcBorders>
              <w:tl2br w:val="nil"/>
              <w:tr2bl w:val="nil"/>
            </w:tcBorders>
            <w:shd w:val="clear" w:color="auto" w:fill="FFFFFF" w:themeFill="background1"/>
            <w:vAlign w:val="center"/>
          </w:tcPr>
          <w:p w14:paraId="6A7593A8">
            <w:pPr>
              <w:spacing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6</w:t>
            </w:r>
          </w:p>
        </w:tc>
        <w:tc>
          <w:tcPr>
            <w:tcW w:w="1352" w:type="pct"/>
            <w:tcBorders>
              <w:tl2br w:val="nil"/>
              <w:tr2bl w:val="nil"/>
            </w:tcBorders>
            <w:shd w:val="clear" w:color="auto" w:fill="FFFFFF" w:themeFill="background1"/>
            <w:vAlign w:val="center"/>
          </w:tcPr>
          <w:p w14:paraId="3BAE75E3">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OTDR损耗测量</w:t>
            </w:r>
          </w:p>
        </w:tc>
        <w:tc>
          <w:tcPr>
            <w:tcW w:w="3005" w:type="pct"/>
            <w:tcBorders>
              <w:tl2br w:val="nil"/>
              <w:tr2bl w:val="nil"/>
            </w:tcBorders>
            <w:shd w:val="clear" w:color="auto" w:fill="FFFFFF" w:themeFill="background1"/>
            <w:vAlign w:val="center"/>
          </w:tcPr>
          <w:p w14:paraId="2EED67D9">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具备</w:t>
            </w:r>
          </w:p>
        </w:tc>
      </w:tr>
      <w:tr w14:paraId="73A8438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hemeFill="background1"/>
          <w:tblCellMar>
            <w:top w:w="0" w:type="dxa"/>
            <w:left w:w="108" w:type="dxa"/>
            <w:bottom w:w="0" w:type="dxa"/>
            <w:right w:w="108" w:type="dxa"/>
          </w:tblCellMar>
        </w:tblPrEx>
        <w:trPr>
          <w:trHeight w:val="397" w:hRule="atLeast"/>
          <w:jc w:val="center"/>
        </w:trPr>
        <w:tc>
          <w:tcPr>
            <w:tcW w:w="642" w:type="pct"/>
            <w:tcBorders>
              <w:tl2br w:val="nil"/>
              <w:tr2bl w:val="nil"/>
            </w:tcBorders>
            <w:shd w:val="clear" w:color="auto" w:fill="FFFFFF" w:themeFill="background1"/>
            <w:vAlign w:val="center"/>
          </w:tcPr>
          <w:p w14:paraId="2A1E1EA7">
            <w:pPr>
              <w:spacing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7</w:t>
            </w:r>
          </w:p>
        </w:tc>
        <w:tc>
          <w:tcPr>
            <w:tcW w:w="1352" w:type="pct"/>
            <w:tcBorders>
              <w:tl2br w:val="nil"/>
              <w:tr2bl w:val="nil"/>
            </w:tcBorders>
            <w:shd w:val="clear" w:color="auto" w:fill="FFFFFF" w:themeFill="background1"/>
            <w:vAlign w:val="center"/>
          </w:tcPr>
          <w:p w14:paraId="608ABF3D">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通信接口</w:t>
            </w:r>
          </w:p>
        </w:tc>
        <w:tc>
          <w:tcPr>
            <w:tcW w:w="3005" w:type="pct"/>
            <w:tcBorders>
              <w:tl2br w:val="nil"/>
              <w:tr2bl w:val="nil"/>
            </w:tcBorders>
            <w:shd w:val="clear" w:color="auto" w:fill="FFFFFF" w:themeFill="background1"/>
            <w:vAlign w:val="center"/>
          </w:tcPr>
          <w:p w14:paraId="45D76771">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100/1000BASE-TEthernet</w:t>
            </w:r>
          </w:p>
        </w:tc>
      </w:tr>
      <w:tr w14:paraId="5F9DA5D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hemeFill="background1"/>
          <w:tblCellMar>
            <w:top w:w="0" w:type="dxa"/>
            <w:left w:w="108" w:type="dxa"/>
            <w:bottom w:w="0" w:type="dxa"/>
            <w:right w:w="108" w:type="dxa"/>
          </w:tblCellMar>
        </w:tblPrEx>
        <w:trPr>
          <w:trHeight w:val="397" w:hRule="atLeast"/>
          <w:jc w:val="center"/>
        </w:trPr>
        <w:tc>
          <w:tcPr>
            <w:tcW w:w="642" w:type="pct"/>
            <w:tcBorders>
              <w:tl2br w:val="nil"/>
              <w:tr2bl w:val="nil"/>
            </w:tcBorders>
            <w:shd w:val="clear" w:color="auto" w:fill="FFFFFF" w:themeFill="background1"/>
            <w:vAlign w:val="center"/>
          </w:tcPr>
          <w:p w14:paraId="19344879">
            <w:pPr>
              <w:spacing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8</w:t>
            </w:r>
          </w:p>
        </w:tc>
        <w:tc>
          <w:tcPr>
            <w:tcW w:w="1352" w:type="pct"/>
            <w:tcBorders>
              <w:tl2br w:val="nil"/>
              <w:tr2bl w:val="nil"/>
            </w:tcBorders>
            <w:shd w:val="clear" w:color="auto" w:fill="FFFFFF" w:themeFill="background1"/>
            <w:vAlign w:val="center"/>
          </w:tcPr>
          <w:p w14:paraId="05CD121E">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控制/通信协议</w:t>
            </w:r>
          </w:p>
        </w:tc>
        <w:tc>
          <w:tcPr>
            <w:tcW w:w="3005" w:type="pct"/>
            <w:tcBorders>
              <w:tl2br w:val="nil"/>
              <w:tr2bl w:val="nil"/>
            </w:tcBorders>
            <w:shd w:val="clear" w:color="auto" w:fill="FFFFFF" w:themeFill="background1"/>
            <w:vAlign w:val="center"/>
          </w:tcPr>
          <w:p w14:paraId="273CB94E">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基于TCP/IP或UDP，向用户开放</w:t>
            </w:r>
          </w:p>
        </w:tc>
      </w:tr>
      <w:tr w14:paraId="1BCC22B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hemeFill="background1"/>
          <w:tblCellMar>
            <w:top w:w="0" w:type="dxa"/>
            <w:left w:w="108" w:type="dxa"/>
            <w:bottom w:w="0" w:type="dxa"/>
            <w:right w:w="108" w:type="dxa"/>
          </w:tblCellMar>
        </w:tblPrEx>
        <w:trPr>
          <w:trHeight w:val="397" w:hRule="atLeast"/>
          <w:jc w:val="center"/>
        </w:trPr>
        <w:tc>
          <w:tcPr>
            <w:tcW w:w="642" w:type="pct"/>
            <w:tcBorders>
              <w:tl2br w:val="nil"/>
              <w:tr2bl w:val="nil"/>
            </w:tcBorders>
            <w:shd w:val="clear" w:color="auto" w:fill="FFFFFF" w:themeFill="background1"/>
            <w:vAlign w:val="center"/>
          </w:tcPr>
          <w:p w14:paraId="3DF05EBB">
            <w:pPr>
              <w:spacing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9</w:t>
            </w:r>
          </w:p>
        </w:tc>
        <w:tc>
          <w:tcPr>
            <w:tcW w:w="1352" w:type="pct"/>
            <w:tcBorders>
              <w:tl2br w:val="nil"/>
              <w:tr2bl w:val="nil"/>
            </w:tcBorders>
            <w:shd w:val="clear" w:color="auto" w:fill="FFFFFF" w:themeFill="background1"/>
            <w:vAlign w:val="center"/>
          </w:tcPr>
          <w:p w14:paraId="496F1129">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通道数</w:t>
            </w:r>
          </w:p>
        </w:tc>
        <w:tc>
          <w:tcPr>
            <w:tcW w:w="3005" w:type="pct"/>
            <w:tcBorders>
              <w:tl2br w:val="nil"/>
              <w:tr2bl w:val="nil"/>
            </w:tcBorders>
            <w:shd w:val="clear" w:color="auto" w:fill="FFFFFF" w:themeFill="background1"/>
            <w:vAlign w:val="center"/>
          </w:tcPr>
          <w:p w14:paraId="44F23AF2">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并行双通道同步采集</w:t>
            </w:r>
          </w:p>
        </w:tc>
      </w:tr>
      <w:tr w14:paraId="688B9B8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hemeFill="background1"/>
          <w:tblCellMar>
            <w:top w:w="0" w:type="dxa"/>
            <w:left w:w="108" w:type="dxa"/>
            <w:bottom w:w="0" w:type="dxa"/>
            <w:right w:w="108" w:type="dxa"/>
          </w:tblCellMar>
        </w:tblPrEx>
        <w:trPr>
          <w:trHeight w:val="397" w:hRule="atLeast"/>
          <w:jc w:val="center"/>
        </w:trPr>
        <w:tc>
          <w:tcPr>
            <w:tcW w:w="642" w:type="pct"/>
            <w:tcBorders>
              <w:tl2br w:val="nil"/>
              <w:tr2bl w:val="nil"/>
            </w:tcBorders>
            <w:shd w:val="clear" w:color="auto" w:fill="FFFFFF" w:themeFill="background1"/>
            <w:vAlign w:val="center"/>
          </w:tcPr>
          <w:p w14:paraId="015CA74B">
            <w:pPr>
              <w:spacing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10</w:t>
            </w:r>
          </w:p>
        </w:tc>
        <w:tc>
          <w:tcPr>
            <w:tcW w:w="1352" w:type="pct"/>
            <w:tcBorders>
              <w:tl2br w:val="nil"/>
              <w:tr2bl w:val="nil"/>
            </w:tcBorders>
            <w:shd w:val="clear" w:color="auto" w:fill="FFFFFF" w:themeFill="background1"/>
            <w:vAlign w:val="center"/>
          </w:tcPr>
          <w:p w14:paraId="5A8A8F6F">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多通道支持</w:t>
            </w:r>
          </w:p>
        </w:tc>
        <w:tc>
          <w:tcPr>
            <w:tcW w:w="3005" w:type="pct"/>
            <w:tcBorders>
              <w:tl2br w:val="nil"/>
              <w:tr2bl w:val="nil"/>
            </w:tcBorders>
            <w:shd w:val="clear" w:color="auto" w:fill="FFFFFF" w:themeFill="background1"/>
            <w:vAlign w:val="center"/>
          </w:tcPr>
          <w:p w14:paraId="10AD6F18">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支持通过硬件接口直接控制光开关</w:t>
            </w:r>
          </w:p>
        </w:tc>
      </w:tr>
      <w:bookmarkEnd w:id="5"/>
    </w:tbl>
    <w:p w14:paraId="4EDA392C">
      <w:pPr>
        <w:widowControl/>
        <w:shd w:val="clear" w:color="auto" w:fill="FFFFFF"/>
        <w:spacing w:line="360" w:lineRule="auto"/>
        <w:rPr>
          <w:rFonts w:ascii="Times New Roman" w:hAnsi="Times New Roman" w:eastAsia="方正兰亭黑简体" w:cs="Times New Roman"/>
          <w:b/>
          <w:color w:val="auto"/>
          <w:sz w:val="22"/>
          <w:szCs w:val="22"/>
          <w:highlight w:val="none"/>
        </w:rPr>
      </w:pPr>
      <w:r>
        <w:rPr>
          <w:rFonts w:ascii="Times New Roman" w:hAnsi="Times New Roman" w:eastAsia="方正兰亭黑简体" w:cs="Times New Roman"/>
          <w:b/>
          <w:color w:val="auto"/>
          <w:sz w:val="22"/>
          <w:szCs w:val="22"/>
          <w:highlight w:val="none"/>
        </w:rPr>
        <w:t>布里渊光时域反射仪BOTDR模块技术指标</w:t>
      </w:r>
    </w:p>
    <w:tbl>
      <w:tblPr>
        <w:tblStyle w:val="14"/>
        <w:tblW w:w="4999" w:type="pct"/>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hemeFill="background1"/>
        <w:tblLayout w:type="autofit"/>
        <w:tblCellMar>
          <w:top w:w="0" w:type="dxa"/>
          <w:left w:w="108" w:type="dxa"/>
          <w:bottom w:w="0" w:type="dxa"/>
          <w:right w:w="108" w:type="dxa"/>
        </w:tblCellMar>
      </w:tblPr>
      <w:tblGrid>
        <w:gridCol w:w="1343"/>
        <w:gridCol w:w="3626"/>
        <w:gridCol w:w="4991"/>
      </w:tblGrid>
      <w:tr w14:paraId="39F03F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hemeFill="background1"/>
          <w:tblCellMar>
            <w:top w:w="0" w:type="dxa"/>
            <w:left w:w="108" w:type="dxa"/>
            <w:bottom w:w="0" w:type="dxa"/>
            <w:right w:w="108" w:type="dxa"/>
          </w:tblCellMar>
        </w:tblPrEx>
        <w:trPr>
          <w:trHeight w:val="397" w:hRule="atLeast"/>
          <w:jc w:val="center"/>
        </w:trPr>
        <w:tc>
          <w:tcPr>
            <w:tcW w:w="674" w:type="pct"/>
            <w:tcBorders>
              <w:tl2br w:val="nil"/>
              <w:tr2bl w:val="nil"/>
            </w:tcBorders>
            <w:shd w:val="clear" w:color="auto" w:fill="FFFFFF" w:themeFill="background1"/>
            <w:vAlign w:val="center"/>
          </w:tcPr>
          <w:p w14:paraId="24D0307E">
            <w:pPr>
              <w:spacing w:line="360" w:lineRule="auto"/>
              <w:jc w:val="center"/>
              <w:rPr>
                <w:rFonts w:ascii="Times New Roman" w:hAnsi="Times New Roman" w:eastAsia="方正兰亭黑简体" w:cs="Times New Roman"/>
                <w:b/>
                <w:color w:val="auto"/>
                <w:sz w:val="20"/>
                <w:szCs w:val="20"/>
                <w:highlight w:val="none"/>
              </w:rPr>
            </w:pPr>
            <w:r>
              <w:rPr>
                <w:rFonts w:ascii="Times New Roman" w:hAnsi="Times New Roman" w:eastAsia="方正兰亭黑简体" w:cs="Times New Roman"/>
                <w:b/>
                <w:color w:val="auto"/>
                <w:sz w:val="20"/>
                <w:szCs w:val="20"/>
                <w:highlight w:val="none"/>
              </w:rPr>
              <w:t>编号</w:t>
            </w:r>
          </w:p>
        </w:tc>
        <w:tc>
          <w:tcPr>
            <w:tcW w:w="1820" w:type="pct"/>
            <w:tcBorders>
              <w:tl2br w:val="nil"/>
              <w:tr2bl w:val="nil"/>
            </w:tcBorders>
            <w:shd w:val="clear" w:color="auto" w:fill="FFFFFF" w:themeFill="background1"/>
            <w:vAlign w:val="center"/>
          </w:tcPr>
          <w:p w14:paraId="61E10DA4">
            <w:pPr>
              <w:spacing w:line="360" w:lineRule="auto"/>
              <w:jc w:val="center"/>
              <w:rPr>
                <w:rFonts w:ascii="Times New Roman" w:hAnsi="Times New Roman" w:eastAsia="方正兰亭黑简体" w:cs="Times New Roman"/>
                <w:b/>
                <w:color w:val="auto"/>
                <w:sz w:val="20"/>
                <w:szCs w:val="20"/>
                <w:highlight w:val="none"/>
              </w:rPr>
            </w:pPr>
            <w:r>
              <w:rPr>
                <w:rFonts w:ascii="Times New Roman" w:hAnsi="Times New Roman" w:eastAsia="方正兰亭黑简体" w:cs="Times New Roman"/>
                <w:b/>
                <w:color w:val="auto"/>
                <w:sz w:val="20"/>
                <w:szCs w:val="20"/>
                <w:highlight w:val="none"/>
              </w:rPr>
              <w:t>技术参数名称</w:t>
            </w:r>
          </w:p>
        </w:tc>
        <w:tc>
          <w:tcPr>
            <w:tcW w:w="2505" w:type="pct"/>
            <w:tcBorders>
              <w:tl2br w:val="nil"/>
              <w:tr2bl w:val="nil"/>
            </w:tcBorders>
            <w:shd w:val="clear" w:color="auto" w:fill="FFFFFF" w:themeFill="background1"/>
            <w:vAlign w:val="center"/>
          </w:tcPr>
          <w:p w14:paraId="11D52B71">
            <w:pPr>
              <w:spacing w:line="360" w:lineRule="auto"/>
              <w:jc w:val="center"/>
              <w:rPr>
                <w:rFonts w:ascii="Times New Roman" w:hAnsi="Times New Roman" w:eastAsia="方正兰亭黑简体" w:cs="Times New Roman"/>
                <w:b/>
                <w:color w:val="auto"/>
                <w:sz w:val="20"/>
                <w:szCs w:val="20"/>
                <w:highlight w:val="none"/>
              </w:rPr>
            </w:pPr>
            <w:r>
              <w:rPr>
                <w:rFonts w:ascii="Times New Roman" w:hAnsi="Times New Roman" w:eastAsia="方正兰亭黑简体" w:cs="Times New Roman"/>
                <w:b/>
                <w:color w:val="auto"/>
                <w:sz w:val="20"/>
                <w:szCs w:val="20"/>
                <w:highlight w:val="none"/>
              </w:rPr>
              <w:t>要求值</w:t>
            </w:r>
          </w:p>
        </w:tc>
      </w:tr>
      <w:tr w14:paraId="22649CC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674" w:type="pct"/>
            <w:tcBorders>
              <w:tl2br w:val="nil"/>
              <w:tr2bl w:val="nil"/>
            </w:tcBorders>
            <w:shd w:val="clear" w:color="auto" w:fill="FFFFFF" w:themeFill="background1"/>
            <w:vAlign w:val="center"/>
          </w:tcPr>
          <w:p w14:paraId="50CF6C8F">
            <w:pPr>
              <w:spacing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1</w:t>
            </w:r>
          </w:p>
        </w:tc>
        <w:tc>
          <w:tcPr>
            <w:tcW w:w="1820" w:type="pct"/>
            <w:tcBorders>
              <w:tl2br w:val="nil"/>
              <w:tr2bl w:val="nil"/>
            </w:tcBorders>
            <w:shd w:val="clear" w:color="auto" w:fill="FFFFFF" w:themeFill="background1"/>
            <w:vAlign w:val="center"/>
          </w:tcPr>
          <w:p w14:paraId="40849147">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工作波长</w:t>
            </w:r>
          </w:p>
        </w:tc>
        <w:tc>
          <w:tcPr>
            <w:tcW w:w="2505" w:type="pct"/>
            <w:tcBorders>
              <w:tl2br w:val="nil"/>
              <w:tr2bl w:val="nil"/>
            </w:tcBorders>
            <w:shd w:val="clear" w:color="auto" w:fill="FFFFFF" w:themeFill="background1"/>
            <w:vAlign w:val="center"/>
          </w:tcPr>
          <w:p w14:paraId="38C616C7">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1550nm</w:t>
            </w:r>
          </w:p>
        </w:tc>
      </w:tr>
      <w:tr w14:paraId="1E6122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62" w:hRule="atLeast"/>
          <w:jc w:val="center"/>
        </w:trPr>
        <w:tc>
          <w:tcPr>
            <w:tcW w:w="674" w:type="pct"/>
            <w:tcBorders>
              <w:tl2br w:val="nil"/>
              <w:tr2bl w:val="nil"/>
            </w:tcBorders>
            <w:shd w:val="clear" w:color="auto" w:fill="FFFFFF" w:themeFill="background1"/>
            <w:vAlign w:val="center"/>
          </w:tcPr>
          <w:p w14:paraId="08E0030C">
            <w:pPr>
              <w:spacing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2</w:t>
            </w:r>
          </w:p>
        </w:tc>
        <w:tc>
          <w:tcPr>
            <w:tcW w:w="1820" w:type="pct"/>
            <w:tcBorders>
              <w:tl2br w:val="nil"/>
              <w:tr2bl w:val="nil"/>
            </w:tcBorders>
            <w:shd w:val="clear" w:color="auto" w:fill="FFFFFF" w:themeFill="background1"/>
            <w:vAlign w:val="center"/>
          </w:tcPr>
          <w:p w14:paraId="14E19B09">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测试距离</w:t>
            </w:r>
          </w:p>
        </w:tc>
        <w:tc>
          <w:tcPr>
            <w:tcW w:w="2505" w:type="pct"/>
            <w:tcBorders>
              <w:tl2br w:val="nil"/>
              <w:tr2bl w:val="nil"/>
            </w:tcBorders>
            <w:shd w:val="clear" w:color="auto" w:fill="FFFFFF" w:themeFill="background1"/>
            <w:vAlign w:val="center"/>
          </w:tcPr>
          <w:p w14:paraId="2E055A2C">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最大测试距离</w:t>
            </w:r>
            <w:r>
              <w:rPr>
                <w:rFonts w:ascii="Times New Roman" w:hAnsi="Times New Roman" w:eastAsia="方正兰亭黑简体" w:cs="Times New Roman"/>
                <w:color w:val="auto"/>
                <w:sz w:val="20"/>
                <w:szCs w:val="20"/>
                <w:highlight w:val="none"/>
              </w:rPr>
              <w:t>≥</w:t>
            </w:r>
            <w:r>
              <w:rPr>
                <w:rFonts w:ascii="Times New Roman" w:hAnsi="Times New Roman" w:eastAsia="方正兰亭黑简体" w:cs="Times New Roman"/>
                <w:color w:val="auto"/>
                <w:sz w:val="20"/>
                <w:szCs w:val="20"/>
                <w:highlight w:val="none"/>
              </w:rPr>
              <w:t>70km</w:t>
            </w:r>
          </w:p>
        </w:tc>
      </w:tr>
      <w:tr w14:paraId="5220ABC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hemeFill="background1"/>
          <w:tblCellMar>
            <w:top w:w="0" w:type="dxa"/>
            <w:left w:w="108" w:type="dxa"/>
            <w:bottom w:w="0" w:type="dxa"/>
            <w:right w:w="108" w:type="dxa"/>
          </w:tblCellMar>
        </w:tblPrEx>
        <w:trPr>
          <w:trHeight w:val="397" w:hRule="atLeast"/>
          <w:jc w:val="center"/>
        </w:trPr>
        <w:tc>
          <w:tcPr>
            <w:tcW w:w="674" w:type="pct"/>
            <w:tcBorders>
              <w:tl2br w:val="nil"/>
              <w:tr2bl w:val="nil"/>
            </w:tcBorders>
            <w:shd w:val="clear" w:color="auto" w:fill="FFFFFF" w:themeFill="background1"/>
            <w:vAlign w:val="center"/>
          </w:tcPr>
          <w:p w14:paraId="0F7FE923">
            <w:pPr>
              <w:spacing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3</w:t>
            </w:r>
          </w:p>
        </w:tc>
        <w:tc>
          <w:tcPr>
            <w:tcW w:w="1820" w:type="pct"/>
            <w:tcBorders>
              <w:tl2br w:val="nil"/>
              <w:tr2bl w:val="nil"/>
            </w:tcBorders>
            <w:shd w:val="clear" w:color="auto" w:fill="FFFFFF" w:themeFill="background1"/>
            <w:vAlign w:val="center"/>
          </w:tcPr>
          <w:p w14:paraId="391FAA13">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采样分辨率</w:t>
            </w:r>
          </w:p>
        </w:tc>
        <w:tc>
          <w:tcPr>
            <w:tcW w:w="2505" w:type="pct"/>
            <w:tcBorders>
              <w:tl2br w:val="nil"/>
              <w:tr2bl w:val="nil"/>
            </w:tcBorders>
            <w:shd w:val="clear" w:color="auto" w:fill="FFFFFF" w:themeFill="background1"/>
            <w:vAlign w:val="center"/>
          </w:tcPr>
          <w:p w14:paraId="0ECC63E3">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≤0.4m</w:t>
            </w:r>
          </w:p>
        </w:tc>
      </w:tr>
      <w:tr w14:paraId="2BA2C2F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hemeFill="background1"/>
          <w:tblCellMar>
            <w:top w:w="0" w:type="dxa"/>
            <w:left w:w="108" w:type="dxa"/>
            <w:bottom w:w="0" w:type="dxa"/>
            <w:right w:w="108" w:type="dxa"/>
          </w:tblCellMar>
        </w:tblPrEx>
        <w:trPr>
          <w:trHeight w:val="397" w:hRule="atLeast"/>
          <w:jc w:val="center"/>
        </w:trPr>
        <w:tc>
          <w:tcPr>
            <w:tcW w:w="674" w:type="pct"/>
            <w:tcBorders>
              <w:tl2br w:val="nil"/>
              <w:tr2bl w:val="nil"/>
            </w:tcBorders>
            <w:shd w:val="clear" w:color="auto" w:fill="FFFFFF" w:themeFill="background1"/>
            <w:vAlign w:val="center"/>
          </w:tcPr>
          <w:p w14:paraId="4A6B6AA7">
            <w:pPr>
              <w:spacing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4</w:t>
            </w:r>
          </w:p>
        </w:tc>
        <w:tc>
          <w:tcPr>
            <w:tcW w:w="1820" w:type="pct"/>
            <w:tcBorders>
              <w:tl2br w:val="nil"/>
              <w:tr2bl w:val="nil"/>
            </w:tcBorders>
            <w:shd w:val="clear" w:color="auto" w:fill="FFFFFF" w:themeFill="background1"/>
            <w:vAlign w:val="center"/>
          </w:tcPr>
          <w:p w14:paraId="15E775B1">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空间分辨率</w:t>
            </w:r>
          </w:p>
        </w:tc>
        <w:tc>
          <w:tcPr>
            <w:tcW w:w="2505" w:type="pct"/>
            <w:tcBorders>
              <w:tl2br w:val="nil"/>
              <w:tr2bl w:val="nil"/>
            </w:tcBorders>
            <w:shd w:val="clear" w:color="auto" w:fill="FFFFFF" w:themeFill="background1"/>
            <w:vAlign w:val="center"/>
          </w:tcPr>
          <w:p w14:paraId="6B9AC5CA">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优于：3m@20km，7m@50km，20m@70km</w:t>
            </w:r>
          </w:p>
        </w:tc>
      </w:tr>
      <w:tr w14:paraId="2D0BBEC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hemeFill="background1"/>
          <w:tblCellMar>
            <w:top w:w="0" w:type="dxa"/>
            <w:left w:w="108" w:type="dxa"/>
            <w:bottom w:w="0" w:type="dxa"/>
            <w:right w:w="108" w:type="dxa"/>
          </w:tblCellMar>
        </w:tblPrEx>
        <w:trPr>
          <w:trHeight w:val="397" w:hRule="atLeast"/>
          <w:jc w:val="center"/>
        </w:trPr>
        <w:tc>
          <w:tcPr>
            <w:tcW w:w="674" w:type="pct"/>
            <w:tcBorders>
              <w:tl2br w:val="nil"/>
              <w:tr2bl w:val="nil"/>
            </w:tcBorders>
            <w:shd w:val="clear" w:color="auto" w:fill="FFFFFF" w:themeFill="background1"/>
            <w:vAlign w:val="center"/>
          </w:tcPr>
          <w:p w14:paraId="1E1DEC20">
            <w:pPr>
              <w:spacing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5</w:t>
            </w:r>
          </w:p>
        </w:tc>
        <w:tc>
          <w:tcPr>
            <w:tcW w:w="1820" w:type="pct"/>
            <w:tcBorders>
              <w:tl2br w:val="nil"/>
              <w:tr2bl w:val="nil"/>
            </w:tcBorders>
            <w:shd w:val="clear" w:color="auto" w:fill="FFFFFF" w:themeFill="background1"/>
            <w:vAlign w:val="center"/>
          </w:tcPr>
          <w:p w14:paraId="7CF84729">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温度测量精度</w:t>
            </w:r>
          </w:p>
        </w:tc>
        <w:tc>
          <w:tcPr>
            <w:tcW w:w="2505" w:type="pct"/>
            <w:tcBorders>
              <w:tl2br w:val="nil"/>
              <w:tr2bl w:val="nil"/>
            </w:tcBorders>
            <w:shd w:val="clear" w:color="auto" w:fill="FFFFFF" w:themeFill="background1"/>
            <w:vAlign w:val="center"/>
          </w:tcPr>
          <w:p w14:paraId="5BCEF14B">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±1℃</w:t>
            </w:r>
          </w:p>
        </w:tc>
      </w:tr>
      <w:tr w14:paraId="6B459E0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hemeFill="background1"/>
          <w:tblCellMar>
            <w:top w:w="0" w:type="dxa"/>
            <w:left w:w="108" w:type="dxa"/>
            <w:bottom w:w="0" w:type="dxa"/>
            <w:right w:w="108" w:type="dxa"/>
          </w:tblCellMar>
        </w:tblPrEx>
        <w:trPr>
          <w:trHeight w:val="397" w:hRule="atLeast"/>
          <w:jc w:val="center"/>
        </w:trPr>
        <w:tc>
          <w:tcPr>
            <w:tcW w:w="674" w:type="pct"/>
            <w:tcBorders>
              <w:tl2br w:val="nil"/>
              <w:tr2bl w:val="nil"/>
            </w:tcBorders>
            <w:shd w:val="clear" w:color="auto" w:fill="FFFFFF" w:themeFill="background1"/>
            <w:vAlign w:val="center"/>
          </w:tcPr>
          <w:p w14:paraId="36A203A0">
            <w:pPr>
              <w:spacing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6</w:t>
            </w:r>
          </w:p>
        </w:tc>
        <w:tc>
          <w:tcPr>
            <w:tcW w:w="1820" w:type="pct"/>
            <w:tcBorders>
              <w:tl2br w:val="nil"/>
              <w:tr2bl w:val="nil"/>
            </w:tcBorders>
            <w:shd w:val="clear" w:color="auto" w:fill="FFFFFF" w:themeFill="background1"/>
            <w:vAlign w:val="center"/>
          </w:tcPr>
          <w:p w14:paraId="0071E13A">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应变测量精度</w:t>
            </w:r>
          </w:p>
        </w:tc>
        <w:tc>
          <w:tcPr>
            <w:tcW w:w="2505" w:type="pct"/>
            <w:tcBorders>
              <w:tl2br w:val="nil"/>
              <w:tr2bl w:val="nil"/>
            </w:tcBorders>
            <w:shd w:val="clear" w:color="auto" w:fill="FFFFFF" w:themeFill="background1"/>
            <w:vAlign w:val="center"/>
          </w:tcPr>
          <w:p w14:paraId="2BDA2837">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±20με</w:t>
            </w:r>
          </w:p>
        </w:tc>
      </w:tr>
      <w:tr w14:paraId="1D0A625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hemeFill="background1"/>
          <w:tblCellMar>
            <w:top w:w="0" w:type="dxa"/>
            <w:left w:w="108" w:type="dxa"/>
            <w:bottom w:w="0" w:type="dxa"/>
            <w:right w:w="108" w:type="dxa"/>
          </w:tblCellMar>
        </w:tblPrEx>
        <w:trPr>
          <w:trHeight w:val="397" w:hRule="atLeast"/>
          <w:jc w:val="center"/>
        </w:trPr>
        <w:tc>
          <w:tcPr>
            <w:tcW w:w="674" w:type="pct"/>
            <w:tcBorders>
              <w:tl2br w:val="nil"/>
              <w:tr2bl w:val="nil"/>
            </w:tcBorders>
            <w:shd w:val="clear" w:color="auto" w:fill="FFFFFF" w:themeFill="background1"/>
            <w:vAlign w:val="center"/>
          </w:tcPr>
          <w:p w14:paraId="68CC1B90">
            <w:pPr>
              <w:spacing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7</w:t>
            </w:r>
          </w:p>
        </w:tc>
        <w:tc>
          <w:tcPr>
            <w:tcW w:w="1820" w:type="pct"/>
            <w:tcBorders>
              <w:tl2br w:val="nil"/>
              <w:tr2bl w:val="nil"/>
            </w:tcBorders>
            <w:shd w:val="clear" w:color="auto" w:fill="FFFFFF" w:themeFill="background1"/>
            <w:vAlign w:val="center"/>
          </w:tcPr>
          <w:p w14:paraId="794A6190">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OTDR损耗测量</w:t>
            </w:r>
          </w:p>
        </w:tc>
        <w:tc>
          <w:tcPr>
            <w:tcW w:w="2505" w:type="pct"/>
            <w:tcBorders>
              <w:tl2br w:val="nil"/>
              <w:tr2bl w:val="nil"/>
            </w:tcBorders>
            <w:shd w:val="clear" w:color="auto" w:fill="FFFFFF" w:themeFill="background1"/>
            <w:vAlign w:val="center"/>
          </w:tcPr>
          <w:p w14:paraId="358DD3FD">
            <w:pPr>
              <w:spacing w:before="15" w:beforeLines="5" w:after="15" w:afterLines="5" w:line="360" w:lineRule="auto"/>
              <w:jc w:val="center"/>
              <w:rPr>
                <w:rFonts w:ascii="Times New Roman" w:hAnsi="Times New Roman" w:eastAsia="方正兰亭黑简体" w:cs="Times New Roman"/>
                <w:color w:val="auto"/>
                <w:sz w:val="20"/>
                <w:szCs w:val="20"/>
                <w:highlight w:val="none"/>
                <w:vertAlign w:val="superscript"/>
              </w:rPr>
            </w:pPr>
            <w:r>
              <w:rPr>
                <w:rFonts w:ascii="Times New Roman" w:hAnsi="Times New Roman" w:eastAsia="方正兰亭黑简体" w:cs="Times New Roman"/>
                <w:color w:val="auto"/>
                <w:sz w:val="20"/>
                <w:szCs w:val="20"/>
                <w:highlight w:val="none"/>
              </w:rPr>
              <w:t>具备</w:t>
            </w:r>
          </w:p>
        </w:tc>
      </w:tr>
      <w:tr w14:paraId="586A7C1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hemeFill="background1"/>
          <w:tblCellMar>
            <w:top w:w="0" w:type="dxa"/>
            <w:left w:w="108" w:type="dxa"/>
            <w:bottom w:w="0" w:type="dxa"/>
            <w:right w:w="108" w:type="dxa"/>
          </w:tblCellMar>
        </w:tblPrEx>
        <w:trPr>
          <w:trHeight w:val="397" w:hRule="atLeast"/>
          <w:jc w:val="center"/>
        </w:trPr>
        <w:tc>
          <w:tcPr>
            <w:tcW w:w="674" w:type="pct"/>
            <w:tcBorders>
              <w:tl2br w:val="nil"/>
              <w:tr2bl w:val="nil"/>
            </w:tcBorders>
            <w:shd w:val="clear" w:color="auto" w:fill="FFFFFF" w:themeFill="background1"/>
            <w:vAlign w:val="center"/>
          </w:tcPr>
          <w:p w14:paraId="326C27E8">
            <w:pPr>
              <w:spacing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8</w:t>
            </w:r>
          </w:p>
        </w:tc>
        <w:tc>
          <w:tcPr>
            <w:tcW w:w="1820" w:type="pct"/>
            <w:tcBorders>
              <w:tl2br w:val="nil"/>
              <w:tr2bl w:val="nil"/>
            </w:tcBorders>
            <w:shd w:val="clear" w:color="auto" w:fill="FFFFFF" w:themeFill="background1"/>
            <w:vAlign w:val="center"/>
          </w:tcPr>
          <w:p w14:paraId="7A43C9DE">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温度/应变测量时间</w:t>
            </w:r>
          </w:p>
        </w:tc>
        <w:tc>
          <w:tcPr>
            <w:tcW w:w="2505" w:type="pct"/>
            <w:tcBorders>
              <w:tl2br w:val="nil"/>
              <w:tr2bl w:val="nil"/>
            </w:tcBorders>
            <w:shd w:val="clear" w:color="auto" w:fill="FFFFFF" w:themeFill="background1"/>
            <w:vAlign w:val="center"/>
          </w:tcPr>
          <w:p w14:paraId="15A43AA5">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1min~20min 典型值：≤3min@50kM</w:t>
            </w:r>
          </w:p>
        </w:tc>
      </w:tr>
      <w:tr w14:paraId="2FC55DD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hemeFill="background1"/>
          <w:tblCellMar>
            <w:top w:w="0" w:type="dxa"/>
            <w:left w:w="108" w:type="dxa"/>
            <w:bottom w:w="0" w:type="dxa"/>
            <w:right w:w="108" w:type="dxa"/>
          </w:tblCellMar>
        </w:tblPrEx>
        <w:trPr>
          <w:trHeight w:val="397" w:hRule="atLeast"/>
          <w:jc w:val="center"/>
        </w:trPr>
        <w:tc>
          <w:tcPr>
            <w:tcW w:w="674" w:type="pct"/>
            <w:tcBorders>
              <w:tl2br w:val="nil"/>
              <w:tr2bl w:val="nil"/>
            </w:tcBorders>
            <w:shd w:val="clear" w:color="auto" w:fill="FFFFFF" w:themeFill="background1"/>
            <w:vAlign w:val="center"/>
          </w:tcPr>
          <w:p w14:paraId="0828833D">
            <w:pPr>
              <w:spacing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9</w:t>
            </w:r>
          </w:p>
        </w:tc>
        <w:tc>
          <w:tcPr>
            <w:tcW w:w="1820" w:type="pct"/>
            <w:tcBorders>
              <w:tl2br w:val="nil"/>
              <w:tr2bl w:val="nil"/>
            </w:tcBorders>
            <w:shd w:val="clear" w:color="auto" w:fill="FFFFFF" w:themeFill="background1"/>
            <w:vAlign w:val="center"/>
          </w:tcPr>
          <w:p w14:paraId="153F63B3">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数据输出</w:t>
            </w:r>
          </w:p>
        </w:tc>
        <w:tc>
          <w:tcPr>
            <w:tcW w:w="2505" w:type="pct"/>
            <w:tcBorders>
              <w:tl2br w:val="nil"/>
              <w:tr2bl w:val="nil"/>
            </w:tcBorders>
            <w:shd w:val="clear" w:color="auto" w:fill="FFFFFF" w:themeFill="background1"/>
            <w:vAlign w:val="center"/>
          </w:tcPr>
          <w:p w14:paraId="3BE087C5">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支持原始扫频数据输出</w:t>
            </w:r>
          </w:p>
        </w:tc>
      </w:tr>
      <w:tr w14:paraId="75C2AF9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hemeFill="background1"/>
          <w:tblCellMar>
            <w:top w:w="0" w:type="dxa"/>
            <w:left w:w="108" w:type="dxa"/>
            <w:bottom w:w="0" w:type="dxa"/>
            <w:right w:w="108" w:type="dxa"/>
          </w:tblCellMar>
        </w:tblPrEx>
        <w:trPr>
          <w:trHeight w:val="397" w:hRule="atLeast"/>
          <w:jc w:val="center"/>
        </w:trPr>
        <w:tc>
          <w:tcPr>
            <w:tcW w:w="674" w:type="pct"/>
            <w:tcBorders>
              <w:tl2br w:val="nil"/>
              <w:tr2bl w:val="nil"/>
            </w:tcBorders>
            <w:shd w:val="clear" w:color="auto" w:fill="FFFFFF" w:themeFill="background1"/>
            <w:vAlign w:val="center"/>
          </w:tcPr>
          <w:p w14:paraId="41ACFF2E">
            <w:pPr>
              <w:spacing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10</w:t>
            </w:r>
          </w:p>
        </w:tc>
        <w:tc>
          <w:tcPr>
            <w:tcW w:w="1820" w:type="pct"/>
            <w:tcBorders>
              <w:tl2br w:val="nil"/>
              <w:tr2bl w:val="nil"/>
            </w:tcBorders>
            <w:shd w:val="clear" w:color="auto" w:fill="FFFFFF" w:themeFill="background1"/>
            <w:vAlign w:val="center"/>
          </w:tcPr>
          <w:p w14:paraId="24C662E7">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通信接口</w:t>
            </w:r>
          </w:p>
        </w:tc>
        <w:tc>
          <w:tcPr>
            <w:tcW w:w="2505" w:type="pct"/>
            <w:tcBorders>
              <w:tl2br w:val="nil"/>
              <w:tr2bl w:val="nil"/>
            </w:tcBorders>
            <w:shd w:val="clear" w:color="auto" w:fill="FFFFFF" w:themeFill="background1"/>
            <w:vAlign w:val="center"/>
          </w:tcPr>
          <w:p w14:paraId="69CCED90">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100/1000BASE-TEthernet</w:t>
            </w:r>
          </w:p>
        </w:tc>
      </w:tr>
      <w:tr w14:paraId="00B875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hemeFill="background1"/>
          <w:tblCellMar>
            <w:top w:w="0" w:type="dxa"/>
            <w:left w:w="108" w:type="dxa"/>
            <w:bottom w:w="0" w:type="dxa"/>
            <w:right w:w="108" w:type="dxa"/>
          </w:tblCellMar>
        </w:tblPrEx>
        <w:trPr>
          <w:trHeight w:val="397" w:hRule="atLeast"/>
          <w:jc w:val="center"/>
        </w:trPr>
        <w:tc>
          <w:tcPr>
            <w:tcW w:w="674" w:type="pct"/>
            <w:tcBorders>
              <w:tl2br w:val="nil"/>
              <w:tr2bl w:val="nil"/>
            </w:tcBorders>
            <w:shd w:val="clear" w:color="auto" w:fill="FFFFFF" w:themeFill="background1"/>
            <w:vAlign w:val="center"/>
          </w:tcPr>
          <w:p w14:paraId="48D7EF01">
            <w:pPr>
              <w:spacing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11</w:t>
            </w:r>
          </w:p>
        </w:tc>
        <w:tc>
          <w:tcPr>
            <w:tcW w:w="1820" w:type="pct"/>
            <w:tcBorders>
              <w:tl2br w:val="nil"/>
              <w:tr2bl w:val="nil"/>
            </w:tcBorders>
            <w:shd w:val="clear" w:color="auto" w:fill="FFFFFF" w:themeFill="background1"/>
            <w:vAlign w:val="center"/>
          </w:tcPr>
          <w:p w14:paraId="1EF8D29B">
            <w:pPr>
              <w:spacing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控制/通信协议</w:t>
            </w:r>
          </w:p>
        </w:tc>
        <w:tc>
          <w:tcPr>
            <w:tcW w:w="2505" w:type="pct"/>
            <w:tcBorders>
              <w:tl2br w:val="nil"/>
              <w:tr2bl w:val="nil"/>
            </w:tcBorders>
            <w:shd w:val="clear" w:color="auto" w:fill="FFFFFF" w:themeFill="background1"/>
            <w:vAlign w:val="center"/>
          </w:tcPr>
          <w:p w14:paraId="4AB44499">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基于TCP/IP或UDP，向用户开放</w:t>
            </w:r>
          </w:p>
        </w:tc>
      </w:tr>
      <w:tr w14:paraId="30CFB34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97" w:hRule="atLeast"/>
          <w:jc w:val="center"/>
        </w:trPr>
        <w:tc>
          <w:tcPr>
            <w:tcW w:w="674" w:type="pct"/>
            <w:tcBorders>
              <w:tl2br w:val="nil"/>
              <w:tr2bl w:val="nil"/>
            </w:tcBorders>
            <w:shd w:val="clear" w:color="auto" w:fill="FFFFFF" w:themeFill="background1"/>
            <w:vAlign w:val="center"/>
          </w:tcPr>
          <w:p w14:paraId="3F8379FE">
            <w:pPr>
              <w:spacing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12</w:t>
            </w:r>
          </w:p>
        </w:tc>
        <w:tc>
          <w:tcPr>
            <w:tcW w:w="1820" w:type="pct"/>
            <w:tcBorders>
              <w:tl2br w:val="nil"/>
              <w:tr2bl w:val="nil"/>
            </w:tcBorders>
            <w:shd w:val="clear" w:color="auto" w:fill="FFFFFF" w:themeFill="background1"/>
            <w:vAlign w:val="center"/>
          </w:tcPr>
          <w:p w14:paraId="31EBED34">
            <w:pPr>
              <w:spacing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通道数</w:t>
            </w:r>
          </w:p>
        </w:tc>
        <w:tc>
          <w:tcPr>
            <w:tcW w:w="2505" w:type="pct"/>
            <w:tcBorders>
              <w:tl2br w:val="nil"/>
              <w:tr2bl w:val="nil"/>
            </w:tcBorders>
            <w:shd w:val="clear" w:color="auto" w:fill="FFFFFF" w:themeFill="background1"/>
            <w:vAlign w:val="center"/>
          </w:tcPr>
          <w:p w14:paraId="42F7A05C">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1通道</w:t>
            </w:r>
          </w:p>
        </w:tc>
      </w:tr>
      <w:tr w14:paraId="5F8F7BC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shd w:val="clear" w:color="auto" w:fill="FFFFFF" w:themeFill="background1"/>
          <w:tblCellMar>
            <w:top w:w="0" w:type="dxa"/>
            <w:left w:w="108" w:type="dxa"/>
            <w:bottom w:w="0" w:type="dxa"/>
            <w:right w:w="108" w:type="dxa"/>
          </w:tblCellMar>
        </w:tblPrEx>
        <w:trPr>
          <w:trHeight w:val="397" w:hRule="atLeast"/>
          <w:jc w:val="center"/>
        </w:trPr>
        <w:tc>
          <w:tcPr>
            <w:tcW w:w="674" w:type="pct"/>
            <w:tcBorders>
              <w:tl2br w:val="nil"/>
              <w:tr2bl w:val="nil"/>
            </w:tcBorders>
            <w:shd w:val="clear" w:color="auto" w:fill="FFFFFF" w:themeFill="background1"/>
            <w:vAlign w:val="center"/>
          </w:tcPr>
          <w:p w14:paraId="2B1E6E8F">
            <w:pPr>
              <w:spacing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13</w:t>
            </w:r>
          </w:p>
        </w:tc>
        <w:tc>
          <w:tcPr>
            <w:tcW w:w="1820" w:type="pct"/>
            <w:tcBorders>
              <w:tl2br w:val="nil"/>
              <w:tr2bl w:val="nil"/>
            </w:tcBorders>
            <w:shd w:val="clear" w:color="auto" w:fill="FFFFFF" w:themeFill="background1"/>
            <w:vAlign w:val="center"/>
          </w:tcPr>
          <w:p w14:paraId="498438C5">
            <w:pPr>
              <w:spacing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多通道支持</w:t>
            </w:r>
          </w:p>
        </w:tc>
        <w:tc>
          <w:tcPr>
            <w:tcW w:w="2505" w:type="pct"/>
            <w:tcBorders>
              <w:tl2br w:val="nil"/>
              <w:tr2bl w:val="nil"/>
            </w:tcBorders>
            <w:shd w:val="clear" w:color="auto" w:fill="FFFFFF" w:themeFill="background1"/>
            <w:vAlign w:val="center"/>
          </w:tcPr>
          <w:p w14:paraId="7082A8B8">
            <w:pPr>
              <w:spacing w:before="15" w:beforeLines="5" w:after="15" w:afterLines="5" w:line="360" w:lineRule="auto"/>
              <w:jc w:val="center"/>
              <w:rPr>
                <w:rFonts w:ascii="Times New Roman" w:hAnsi="Times New Roman" w:eastAsia="方正兰亭黑简体" w:cs="Times New Roman"/>
                <w:color w:val="auto"/>
                <w:sz w:val="20"/>
                <w:szCs w:val="20"/>
                <w:highlight w:val="none"/>
              </w:rPr>
            </w:pPr>
            <w:r>
              <w:rPr>
                <w:rFonts w:ascii="Times New Roman" w:hAnsi="Times New Roman" w:eastAsia="方正兰亭黑简体" w:cs="Times New Roman"/>
                <w:color w:val="auto"/>
                <w:sz w:val="20"/>
                <w:szCs w:val="20"/>
                <w:highlight w:val="none"/>
              </w:rPr>
              <w:t>支持通过硬件接口直接控制光开关</w:t>
            </w:r>
          </w:p>
        </w:tc>
      </w:tr>
    </w:tbl>
    <w:p w14:paraId="1E8D431D">
      <w:pPr>
        <w:widowControl/>
        <w:shd w:val="clear" w:color="auto" w:fill="FFFFFF"/>
        <w:jc w:val="left"/>
        <w:rPr>
          <w:rFonts w:ascii="方正兰亭黑简体" w:hAnsi="方正兰亭黑简体" w:eastAsia="方正兰亭黑简体" w:cs="方正兰亭黑简体"/>
          <w:b/>
          <w:bCs/>
          <w:color w:val="auto"/>
          <w:kern w:val="0"/>
          <w:sz w:val="22"/>
          <w:szCs w:val="22"/>
          <w:highlight w:val="none"/>
        </w:rPr>
      </w:pPr>
    </w:p>
    <w:p w14:paraId="2C5468A2">
      <w:pPr>
        <w:widowControl/>
        <w:shd w:val="clear" w:color="auto" w:fill="FFFFFF"/>
        <w:jc w:val="left"/>
        <w:rPr>
          <w:rFonts w:ascii="方正兰亭黑简体" w:hAnsi="方正兰亭黑简体" w:eastAsia="方正兰亭黑简体" w:cs="方正兰亭黑简体"/>
          <w:color w:val="auto"/>
          <w:kern w:val="0"/>
          <w:sz w:val="22"/>
          <w:szCs w:val="22"/>
          <w:highlight w:val="none"/>
        </w:rPr>
      </w:pPr>
      <w:r>
        <w:rPr>
          <w:rFonts w:hint="eastAsia" w:ascii="方正兰亭黑简体" w:hAnsi="方正兰亭黑简体" w:eastAsia="方正兰亭黑简体" w:cs="方正兰亭黑简体"/>
          <w:b/>
          <w:bCs/>
          <w:color w:val="auto"/>
          <w:kern w:val="0"/>
          <w:sz w:val="22"/>
          <w:szCs w:val="22"/>
          <w:highlight w:val="none"/>
        </w:rPr>
        <w:t>四</w:t>
      </w:r>
      <w:r>
        <w:rPr>
          <w:rFonts w:ascii="方正兰亭黑简体" w:hAnsi="方正兰亭黑简体" w:eastAsia="方正兰亭黑简体" w:cs="方正兰亭黑简体"/>
          <w:b/>
          <w:bCs/>
          <w:color w:val="auto"/>
          <w:kern w:val="0"/>
          <w:sz w:val="22"/>
          <w:szCs w:val="22"/>
          <w:highlight w:val="none"/>
        </w:rPr>
        <w:t>、</w:t>
      </w:r>
      <w:r>
        <w:rPr>
          <w:rFonts w:hint="eastAsia" w:ascii="方正兰亭黑简体" w:hAnsi="方正兰亭黑简体" w:eastAsia="方正兰亭黑简体" w:cs="方正兰亭黑简体"/>
          <w:b/>
          <w:bCs/>
          <w:color w:val="auto"/>
          <w:kern w:val="0"/>
          <w:sz w:val="22"/>
          <w:szCs w:val="22"/>
          <w:highlight w:val="none"/>
        </w:rPr>
        <w:t>其他要求</w:t>
      </w:r>
    </w:p>
    <w:p w14:paraId="3D3ED210">
      <w:pPr>
        <w:widowControl/>
        <w:shd w:val="clear" w:color="auto" w:fill="FFFFFF"/>
        <w:spacing w:line="360" w:lineRule="auto"/>
        <w:jc w:val="left"/>
        <w:rPr>
          <w:rFonts w:ascii="Times New Roman" w:hAnsi="Times New Roman" w:eastAsia="方正兰亭黑简体" w:cs="Times New Roman"/>
          <w:color w:val="auto"/>
          <w:sz w:val="22"/>
          <w:szCs w:val="22"/>
          <w:highlight w:val="none"/>
          <w:lang w:val="zh-CN"/>
        </w:rPr>
      </w:pPr>
      <w:r>
        <w:rPr>
          <w:rFonts w:hint="eastAsia" w:ascii="Times New Roman" w:hAnsi="Times New Roman" w:eastAsia="方正兰亭黑简体" w:cs="Times New Roman"/>
          <w:color w:val="auto"/>
          <w:sz w:val="22"/>
          <w:szCs w:val="22"/>
          <w:highlight w:val="none"/>
        </w:rPr>
        <w:t>1.质保</w:t>
      </w:r>
      <w:r>
        <w:rPr>
          <w:rFonts w:ascii="Times New Roman" w:hAnsi="Times New Roman" w:eastAsia="方正兰亭黑简体" w:cs="Times New Roman"/>
          <w:color w:val="auto"/>
          <w:sz w:val="22"/>
          <w:szCs w:val="22"/>
          <w:highlight w:val="none"/>
        </w:rPr>
        <w:t>期内免费维修</w:t>
      </w:r>
      <w:r>
        <w:rPr>
          <w:rFonts w:hint="eastAsia" w:ascii="Times New Roman" w:hAnsi="Times New Roman" w:eastAsia="方正兰亭黑简体" w:cs="Times New Roman"/>
          <w:color w:val="auto"/>
          <w:sz w:val="22"/>
          <w:szCs w:val="22"/>
          <w:highlight w:val="none"/>
        </w:rPr>
        <w:t>，</w:t>
      </w:r>
      <w:r>
        <w:rPr>
          <w:rFonts w:ascii="Times New Roman" w:hAnsi="Times New Roman" w:eastAsia="方正兰亭黑简体" w:cs="Times New Roman"/>
          <w:color w:val="auto"/>
          <w:sz w:val="22"/>
          <w:szCs w:val="22"/>
          <w:highlight w:val="none"/>
        </w:rPr>
        <w:t>电话报修后2个工作日内上门服务。质保期满后，持续提供维修及技术支持服务，仅收取合理成本费用。</w:t>
      </w:r>
      <w:r>
        <w:rPr>
          <w:rFonts w:hint="eastAsia" w:ascii="Times New Roman" w:hAnsi="Times New Roman" w:eastAsia="方正兰亭黑简体" w:cs="Times New Roman"/>
          <w:color w:val="auto"/>
          <w:sz w:val="22"/>
          <w:szCs w:val="22"/>
          <w:highlight w:val="none"/>
        </w:rPr>
        <w:t>质保</w:t>
      </w:r>
      <w:r>
        <w:rPr>
          <w:rFonts w:ascii="Times New Roman" w:hAnsi="Times New Roman" w:eastAsia="方正兰亭黑简体" w:cs="Times New Roman"/>
          <w:color w:val="auto"/>
          <w:sz w:val="22"/>
          <w:szCs w:val="22"/>
          <w:highlight w:val="none"/>
        </w:rPr>
        <w:t>期内</w:t>
      </w:r>
      <w:r>
        <w:rPr>
          <w:rFonts w:hint="eastAsia" w:ascii="Times New Roman" w:hAnsi="Times New Roman" w:eastAsia="方正兰亭黑简体" w:cs="Times New Roman"/>
          <w:color w:val="auto"/>
          <w:sz w:val="22"/>
          <w:szCs w:val="22"/>
          <w:highlight w:val="none"/>
        </w:rPr>
        <w:t>，供应商需配合采购人进行二次开发。</w:t>
      </w:r>
    </w:p>
    <w:p w14:paraId="2E0D8708">
      <w:pPr>
        <w:widowControl/>
        <w:shd w:val="clear" w:color="auto" w:fill="FFFFFF"/>
        <w:spacing w:line="360" w:lineRule="auto"/>
        <w:jc w:val="left"/>
        <w:rPr>
          <w:rFonts w:ascii="Times New Roman" w:hAnsi="Times New Roman" w:eastAsia="方正兰亭黑简体" w:cs="Times New Roman"/>
          <w:color w:val="auto"/>
          <w:sz w:val="22"/>
          <w:szCs w:val="22"/>
          <w:highlight w:val="none"/>
        </w:rPr>
      </w:pPr>
      <w:r>
        <w:rPr>
          <w:rFonts w:hint="eastAsia" w:ascii="Times New Roman" w:hAnsi="Times New Roman" w:eastAsia="方正兰亭黑简体" w:cs="Times New Roman"/>
          <w:color w:val="auto"/>
          <w:sz w:val="22"/>
          <w:szCs w:val="22"/>
          <w:highlight w:val="none"/>
        </w:rPr>
        <w:t>2.培训要求：组织使用人员培训至少一次。</w:t>
      </w:r>
    </w:p>
    <w:p w14:paraId="580201DD">
      <w:pPr>
        <w:widowControl/>
        <w:shd w:val="clear" w:color="auto" w:fill="FFFFFF"/>
        <w:spacing w:line="360" w:lineRule="auto"/>
        <w:jc w:val="left"/>
        <w:rPr>
          <w:rFonts w:ascii="Times New Roman" w:hAnsi="Times New Roman" w:eastAsia="方正兰亭黑简体" w:cs="Times New Roman"/>
          <w:color w:val="auto"/>
          <w:sz w:val="22"/>
          <w:szCs w:val="22"/>
          <w:highlight w:val="none"/>
        </w:rPr>
      </w:pPr>
      <w:r>
        <w:rPr>
          <w:rFonts w:hint="eastAsia" w:ascii="Times New Roman" w:hAnsi="Times New Roman" w:eastAsia="方正兰亭黑简体" w:cs="Times New Roman"/>
          <w:color w:val="auto"/>
          <w:sz w:val="22"/>
          <w:szCs w:val="22"/>
          <w:highlight w:val="none"/>
        </w:rPr>
        <w:t>3.履约验收：</w:t>
      </w:r>
      <w:r>
        <w:rPr>
          <w:rFonts w:ascii="Times New Roman" w:hAnsi="Times New Roman" w:eastAsia="方正兰亭黑简体" w:cs="Times New Roman"/>
          <w:color w:val="auto"/>
          <w:sz w:val="22"/>
          <w:szCs w:val="22"/>
          <w:highlight w:val="none"/>
        </w:rPr>
        <w:t>由使用部门及归口管理部门在设备安装调试完成、具备验收条件之日起两周内组织验收，验收内容包含查阅设备随机资料、现场功能及技术指标测试；验收优先以本采购文件技术指标要求为准，《电力光纤传感器通用规范》DL/T 1989</w:t>
      </w:r>
      <w:r>
        <w:rPr>
          <w:rFonts w:ascii="Times New Roman" w:hAnsi="Times New Roman" w:eastAsia="方正兰亭黑简体" w:cs="Times New Roman"/>
          <w:color w:val="auto"/>
          <w:sz w:val="22"/>
          <w:szCs w:val="22"/>
          <w:highlight w:val="none"/>
        </w:rPr>
        <w:noBreakHyphen/>
      </w:r>
      <w:r>
        <w:rPr>
          <w:rFonts w:ascii="Times New Roman" w:hAnsi="Times New Roman" w:eastAsia="方正兰亭黑简体" w:cs="Times New Roman"/>
          <w:color w:val="auto"/>
          <w:sz w:val="22"/>
          <w:szCs w:val="22"/>
          <w:highlight w:val="none"/>
        </w:rPr>
        <w:t>2018 作为参考依据。满足采购文件全部技术指标要求即为验收合格。验收不合格的，中标人应在约定时限内免费整改、换货；经整改换货后仍不能满足采购文件指标要求的，采购人有权作退货处理。若因中标人原因导致不满足验收条件，验收期限顺延，相关责任由中标人承担。</w:t>
      </w:r>
    </w:p>
    <w:p w14:paraId="600E71D2">
      <w:pPr>
        <w:rPr>
          <w:rFonts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br w:type="page"/>
      </w:r>
    </w:p>
    <w:p w14:paraId="25316CC4">
      <w:pPr>
        <w:jc w:val="center"/>
        <w:rPr>
          <w:rFonts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第三章 评审办法</w:t>
      </w:r>
    </w:p>
    <w:p w14:paraId="74266F1F">
      <w:pPr>
        <w:ind w:firstLine="440" w:firstLineChars="200"/>
        <w:jc w:val="left"/>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综合本项目的特点，根据相关法律法规的规定，本着保护竞争，维护采购工作公开、公平、公正原则，特制定本评审办法，作为选定本次采购中标人的依据。</w:t>
      </w:r>
    </w:p>
    <w:p w14:paraId="0181E2E4">
      <w:pPr>
        <w:jc w:val="left"/>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1、成立比选评审小组</w:t>
      </w:r>
    </w:p>
    <w:p w14:paraId="6EE9E438">
      <w:pPr>
        <w:jc w:val="left"/>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采购人将根据货物与服务的特点，依规组建比选小组，比选小组由3人或以上的单数组成。</w:t>
      </w:r>
    </w:p>
    <w:p w14:paraId="1DE53CAC">
      <w:pPr>
        <w:jc w:val="left"/>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2、具体评分细则如下：</w:t>
      </w:r>
    </w:p>
    <w:tbl>
      <w:tblPr>
        <w:tblStyle w:val="14"/>
        <w:tblW w:w="4984"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53"/>
        <w:gridCol w:w="1734"/>
        <w:gridCol w:w="713"/>
        <w:gridCol w:w="6830"/>
      </w:tblGrid>
      <w:tr w14:paraId="4286E11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vAlign w:val="center"/>
          </w:tcPr>
          <w:p w14:paraId="7E5548F4">
            <w:pPr>
              <w:spacing w:line="360" w:lineRule="auto"/>
              <w:jc w:val="center"/>
              <w:rPr>
                <w:rFonts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序号</w:t>
            </w:r>
          </w:p>
        </w:tc>
        <w:tc>
          <w:tcPr>
            <w:tcW w:w="873" w:type="pct"/>
            <w:vAlign w:val="center"/>
          </w:tcPr>
          <w:p w14:paraId="28DCBADE">
            <w:pPr>
              <w:spacing w:line="360" w:lineRule="auto"/>
              <w:jc w:val="center"/>
              <w:rPr>
                <w:rFonts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评审因素</w:t>
            </w:r>
          </w:p>
        </w:tc>
        <w:tc>
          <w:tcPr>
            <w:tcW w:w="359" w:type="pct"/>
            <w:vAlign w:val="center"/>
          </w:tcPr>
          <w:p w14:paraId="36F9A4CD">
            <w:pPr>
              <w:spacing w:line="360" w:lineRule="auto"/>
              <w:jc w:val="center"/>
              <w:rPr>
                <w:rFonts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分值</w:t>
            </w:r>
          </w:p>
        </w:tc>
        <w:tc>
          <w:tcPr>
            <w:tcW w:w="3436" w:type="pct"/>
            <w:vAlign w:val="center"/>
          </w:tcPr>
          <w:p w14:paraId="22341142">
            <w:pPr>
              <w:spacing w:line="360" w:lineRule="auto"/>
              <w:jc w:val="center"/>
              <w:rPr>
                <w:rFonts w:ascii="方正兰亭黑简体" w:hAnsi="方正兰亭黑简体" w:eastAsia="方正兰亭黑简体" w:cs="方正兰亭黑简体"/>
                <w:b/>
                <w:bCs/>
                <w:color w:val="auto"/>
                <w:sz w:val="20"/>
                <w:szCs w:val="20"/>
                <w:highlight w:val="none"/>
              </w:rPr>
            </w:pPr>
            <w:r>
              <w:rPr>
                <w:rFonts w:hint="eastAsia" w:ascii="方正兰亭黑简体" w:hAnsi="方正兰亭黑简体" w:eastAsia="方正兰亭黑简体" w:cs="方正兰亭黑简体"/>
                <w:b/>
                <w:bCs/>
                <w:color w:val="auto"/>
                <w:sz w:val="20"/>
                <w:szCs w:val="20"/>
                <w:highlight w:val="none"/>
              </w:rPr>
              <w:t>评分说明</w:t>
            </w:r>
          </w:p>
        </w:tc>
      </w:tr>
      <w:tr w14:paraId="744C722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vAlign w:val="center"/>
          </w:tcPr>
          <w:p w14:paraId="4B757669">
            <w:pPr>
              <w:spacing w:line="360" w:lineRule="auto"/>
              <w:jc w:val="left"/>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一、价格部分</w:t>
            </w:r>
          </w:p>
        </w:tc>
      </w:tr>
      <w:tr w14:paraId="4B9B2E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vAlign w:val="center"/>
          </w:tcPr>
          <w:p w14:paraId="33C55F53">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w:t>
            </w:r>
          </w:p>
        </w:tc>
        <w:tc>
          <w:tcPr>
            <w:tcW w:w="873" w:type="pct"/>
            <w:vAlign w:val="center"/>
          </w:tcPr>
          <w:p w14:paraId="35E6BC82">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价格得分</w:t>
            </w:r>
          </w:p>
          <w:p w14:paraId="6FDA9A65">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（客观分）</w:t>
            </w:r>
          </w:p>
        </w:tc>
        <w:tc>
          <w:tcPr>
            <w:tcW w:w="359" w:type="pct"/>
            <w:vAlign w:val="center"/>
          </w:tcPr>
          <w:p w14:paraId="3062065C">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30</w:t>
            </w:r>
          </w:p>
        </w:tc>
        <w:tc>
          <w:tcPr>
            <w:tcW w:w="3436" w:type="pct"/>
            <w:vAlign w:val="center"/>
          </w:tcPr>
          <w:p w14:paraId="3B9AC007">
            <w:pPr>
              <w:spacing w:line="360" w:lineRule="auto"/>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采用低价优先法计算，即满足比选文件要求且最低的报价为基准价，其价格分为满分30分。其他报价单位的报价得分计算公式如下：</w:t>
            </w:r>
          </w:p>
          <w:p w14:paraId="3AC5A6C2">
            <w:pPr>
              <w:spacing w:line="360" w:lineRule="auto"/>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报价得分＝30×（评标基准价/投标报价）。</w:t>
            </w:r>
          </w:p>
        </w:tc>
      </w:tr>
      <w:tr w14:paraId="31499C8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5000" w:type="pct"/>
            <w:gridSpan w:val="4"/>
            <w:vAlign w:val="center"/>
          </w:tcPr>
          <w:p w14:paraId="1B589B46">
            <w:pPr>
              <w:spacing w:line="360" w:lineRule="auto"/>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二、商务、技术部分</w:t>
            </w:r>
          </w:p>
        </w:tc>
      </w:tr>
      <w:tr w14:paraId="33BDD0D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vAlign w:val="center"/>
          </w:tcPr>
          <w:p w14:paraId="7006C78C">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2</w:t>
            </w:r>
          </w:p>
        </w:tc>
        <w:tc>
          <w:tcPr>
            <w:tcW w:w="873" w:type="pct"/>
            <w:vAlign w:val="center"/>
          </w:tcPr>
          <w:p w14:paraId="4F224443">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经验业绩</w:t>
            </w:r>
          </w:p>
          <w:p w14:paraId="70A1A8A9">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（客观分）</w:t>
            </w:r>
          </w:p>
        </w:tc>
        <w:tc>
          <w:tcPr>
            <w:tcW w:w="359" w:type="pct"/>
            <w:vAlign w:val="center"/>
          </w:tcPr>
          <w:p w14:paraId="04D051EF">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15</w:t>
            </w:r>
          </w:p>
        </w:tc>
        <w:tc>
          <w:tcPr>
            <w:tcW w:w="3436" w:type="pct"/>
            <w:vAlign w:val="center"/>
          </w:tcPr>
          <w:p w14:paraId="46E3FF16">
            <w:pPr>
              <w:spacing w:line="360" w:lineRule="auto"/>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提供近3年（合同签订日期自2023年10月起至今）业绩案例。（每提供1个得5分；最高得15分）注：需提供相关业绩的合同复印件，否则将不予认可。业绩内容中需体现DAS、分布式光纤声波传感探测、BOTDR、布里渊光时域探测等与本次采购分布式光纤传感模块化产品相关的内容，并提供相关业绩的合同复印件及发票扫描件，否则将不予认可。</w:t>
            </w:r>
          </w:p>
        </w:tc>
      </w:tr>
      <w:tr w14:paraId="70DE1C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vAlign w:val="center"/>
          </w:tcPr>
          <w:p w14:paraId="1401F737">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3</w:t>
            </w:r>
          </w:p>
        </w:tc>
        <w:tc>
          <w:tcPr>
            <w:tcW w:w="873" w:type="pct"/>
            <w:vAlign w:val="center"/>
          </w:tcPr>
          <w:p w14:paraId="2A75BF6A">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技术响应程度</w:t>
            </w:r>
          </w:p>
          <w:p w14:paraId="023D1576">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（客观分）</w:t>
            </w:r>
          </w:p>
        </w:tc>
        <w:tc>
          <w:tcPr>
            <w:tcW w:w="359" w:type="pct"/>
            <w:vAlign w:val="center"/>
          </w:tcPr>
          <w:p w14:paraId="7C6CFC12">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30</w:t>
            </w:r>
          </w:p>
        </w:tc>
        <w:tc>
          <w:tcPr>
            <w:tcW w:w="3436" w:type="pct"/>
            <w:vAlign w:val="center"/>
          </w:tcPr>
          <w:p w14:paraId="7C0F452F">
            <w:pPr>
              <w:spacing w:line="360" w:lineRule="auto"/>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针对第二章中的采购需求：不满足技术条款的，每项扣5分；扣完为止。技术响需提供第三方机构检测报告或加盖公章的白皮书、官网截图等证明，并承诺可按照验收要求在招标方组织的验收会上进行现场功能及技术指标测试和复现。</w:t>
            </w:r>
          </w:p>
        </w:tc>
      </w:tr>
      <w:tr w14:paraId="59850FF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vAlign w:val="center"/>
          </w:tcPr>
          <w:p w14:paraId="13FB2107">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4</w:t>
            </w:r>
          </w:p>
        </w:tc>
        <w:tc>
          <w:tcPr>
            <w:tcW w:w="873" w:type="pct"/>
            <w:tcBorders>
              <w:top w:val="single" w:color="auto" w:sz="6" w:space="0"/>
              <w:left w:val="single" w:color="auto" w:sz="6" w:space="0"/>
              <w:bottom w:val="single" w:color="auto" w:sz="6" w:space="0"/>
              <w:right w:val="single" w:color="auto" w:sz="6" w:space="0"/>
            </w:tcBorders>
            <w:vAlign w:val="center"/>
          </w:tcPr>
          <w:p w14:paraId="242EB321">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产品性能介绍</w:t>
            </w:r>
          </w:p>
          <w:p w14:paraId="2E9ACB90">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（主观分）</w:t>
            </w:r>
          </w:p>
        </w:tc>
        <w:tc>
          <w:tcPr>
            <w:tcW w:w="359" w:type="pct"/>
            <w:vAlign w:val="center"/>
          </w:tcPr>
          <w:p w14:paraId="03800D3C">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10</w:t>
            </w:r>
          </w:p>
        </w:tc>
        <w:tc>
          <w:tcPr>
            <w:tcW w:w="3436" w:type="pct"/>
            <w:vAlign w:val="center"/>
          </w:tcPr>
          <w:p w14:paraId="628879EE">
            <w:pPr>
              <w:spacing w:line="360" w:lineRule="auto"/>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优秀（8～10分）：详细介绍了产品的各项性能参数。</w:t>
            </w:r>
          </w:p>
          <w:p w14:paraId="28BA9613">
            <w:pPr>
              <w:spacing w:line="360" w:lineRule="auto"/>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良好（5～7分）：较全面地介绍了产品的性能参数。</w:t>
            </w:r>
          </w:p>
          <w:p w14:paraId="191C1EFC">
            <w:pPr>
              <w:spacing w:line="360" w:lineRule="auto"/>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一般（2～4分）：介绍了部分性能参数，但不够全面或详细。</w:t>
            </w:r>
          </w:p>
          <w:p w14:paraId="66DD7958">
            <w:pPr>
              <w:spacing w:line="360" w:lineRule="auto"/>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较差（0～1分）：性能参数介绍不完整或存在明显错误。</w:t>
            </w:r>
          </w:p>
        </w:tc>
      </w:tr>
      <w:tr w14:paraId="70A964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329" w:type="pct"/>
            <w:vAlign w:val="center"/>
          </w:tcPr>
          <w:p w14:paraId="60C25F41">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5</w:t>
            </w:r>
          </w:p>
        </w:tc>
        <w:tc>
          <w:tcPr>
            <w:tcW w:w="873" w:type="pct"/>
            <w:vAlign w:val="center"/>
          </w:tcPr>
          <w:p w14:paraId="1BCD295E">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技术支持与售后服务</w:t>
            </w:r>
          </w:p>
          <w:p w14:paraId="28B8AC14">
            <w:pPr>
              <w:pStyle w:val="13"/>
              <w:spacing w:line="360" w:lineRule="auto"/>
              <w:ind w:firstLine="200"/>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（主观分）</w:t>
            </w:r>
          </w:p>
        </w:tc>
        <w:tc>
          <w:tcPr>
            <w:tcW w:w="359" w:type="pct"/>
            <w:vAlign w:val="center"/>
          </w:tcPr>
          <w:p w14:paraId="4FAE4631">
            <w:pPr>
              <w:spacing w:line="360" w:lineRule="auto"/>
              <w:jc w:val="center"/>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15</w:t>
            </w:r>
          </w:p>
        </w:tc>
        <w:tc>
          <w:tcPr>
            <w:tcW w:w="3436" w:type="pct"/>
            <w:vAlign w:val="center"/>
          </w:tcPr>
          <w:p w14:paraId="6BC7B837">
            <w:pPr>
              <w:spacing w:line="360" w:lineRule="auto"/>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优秀（12～15分）：提供了详尽的技术支持方案以及售后服务方案，包括快速响应机制、服务承诺、工器具配置、人员配置等。</w:t>
            </w:r>
          </w:p>
          <w:p w14:paraId="67F2FDD4">
            <w:pPr>
              <w:spacing w:line="360" w:lineRule="auto"/>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良好（8～11分）：提供了较为全面的技术支持方案和售后服务方案，但计划不够详细。</w:t>
            </w:r>
          </w:p>
          <w:p w14:paraId="7000A4ED">
            <w:pPr>
              <w:spacing w:line="360" w:lineRule="auto"/>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一般（4～7分）：方案较为简单，缺乏具体的计划。</w:t>
            </w:r>
          </w:p>
          <w:p w14:paraId="63C3FC0D">
            <w:pPr>
              <w:spacing w:line="360" w:lineRule="auto"/>
              <w:rPr>
                <w:rFonts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较差（0～3分）：未提供技术支持方案或售后服务承诺。</w:t>
            </w:r>
          </w:p>
        </w:tc>
      </w:tr>
    </w:tbl>
    <w:p w14:paraId="2D83494B">
      <w:pPr>
        <w:jc w:val="center"/>
        <w:rPr>
          <w:rFonts w:ascii="方正兰亭黑简体" w:hAnsi="方正兰亭黑简体" w:eastAsia="方正兰亭黑简体" w:cs="方正兰亭黑简体"/>
          <w:b/>
          <w:bCs/>
          <w:color w:val="auto"/>
          <w:sz w:val="24"/>
          <w:szCs w:val="32"/>
          <w:highlight w:val="none"/>
        </w:rPr>
        <w:sectPr>
          <w:footerReference r:id="rId3" w:type="default"/>
          <w:type w:val="continuous"/>
          <w:pgSz w:w="11906" w:h="16838"/>
          <w:pgMar w:top="1440" w:right="1080" w:bottom="1440" w:left="1080" w:header="851" w:footer="992" w:gutter="0"/>
          <w:cols w:space="425" w:num="1"/>
          <w:docGrid w:type="lines" w:linePitch="312" w:charSpace="0"/>
        </w:sectPr>
      </w:pPr>
    </w:p>
    <w:p w14:paraId="209F9498">
      <w:pPr>
        <w:jc w:val="center"/>
        <w:rPr>
          <w:rFonts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第四章 格式附件</w:t>
      </w:r>
    </w:p>
    <w:p w14:paraId="25145699">
      <w:pPr>
        <w:jc w:val="left"/>
        <w:rPr>
          <w:rFonts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附件1：报价单</w:t>
      </w:r>
    </w:p>
    <w:p w14:paraId="184AFB15">
      <w:pPr>
        <w:spacing w:line="440" w:lineRule="exact"/>
        <w:jc w:val="center"/>
        <w:rPr>
          <w:rFonts w:hint="eastAsia" w:ascii="宋体" w:hAnsi="宋体" w:eastAsia="宋体"/>
          <w:color w:val="auto"/>
          <w:sz w:val="24"/>
          <w:highlight w:val="none"/>
        </w:rPr>
      </w:pPr>
      <w:r>
        <w:rPr>
          <w:rFonts w:hint="eastAsia" w:ascii="黑体" w:hAnsi="华文楷体" w:eastAsia="黑体"/>
          <w:b/>
          <w:color w:val="auto"/>
          <w:sz w:val="36"/>
          <w:szCs w:val="36"/>
          <w:highlight w:val="none"/>
        </w:rPr>
        <w:t>报   价   单</w:t>
      </w:r>
    </w:p>
    <w:p w14:paraId="0F8F23C2">
      <w:pPr>
        <w:spacing w:line="440" w:lineRule="exact"/>
        <w:jc w:val="left"/>
        <w:rPr>
          <w:rFonts w:hint="eastAsia" w:ascii="黑体" w:hAnsi="华文楷体" w:eastAsia="黑体"/>
          <w:color w:val="auto"/>
          <w:sz w:val="24"/>
          <w:highlight w:val="none"/>
        </w:rPr>
      </w:pPr>
      <w:r>
        <w:rPr>
          <w:rFonts w:hint="eastAsia" w:ascii="黑体" w:hAnsi="华文楷体" w:eastAsia="黑体"/>
          <w:b/>
          <w:color w:val="auto"/>
          <w:sz w:val="24"/>
          <w:highlight w:val="none"/>
        </w:rPr>
        <w:t xml:space="preserve">TO: </w:t>
      </w:r>
      <w:r>
        <w:rPr>
          <w:rFonts w:hint="eastAsia" w:ascii="黑体" w:hAnsi="华文楷体" w:eastAsia="黑体"/>
          <w:color w:val="auto"/>
          <w:sz w:val="24"/>
          <w:highlight w:val="none"/>
        </w:rPr>
        <w:t xml:space="preserve"> 上海海事大学 采购与招投标管理中心</w:t>
      </w:r>
      <w:r>
        <w:rPr>
          <w:rFonts w:hint="eastAsia" w:ascii="黑体" w:hAnsi="华文楷体" w:eastAsia="黑体"/>
          <w:b/>
          <w:color w:val="auto"/>
          <w:sz w:val="36"/>
          <w:szCs w:val="36"/>
          <w:highlight w:val="none"/>
        </w:rPr>
        <w:t xml:space="preserve">             </w:t>
      </w:r>
      <w:r>
        <w:rPr>
          <w:rFonts w:hint="eastAsia" w:ascii="黑体" w:hAnsi="华文楷体" w:eastAsia="黑体"/>
          <w:color w:val="auto"/>
          <w:sz w:val="24"/>
          <w:highlight w:val="none"/>
        </w:rPr>
        <w:t>项目编号：</w:t>
      </w:r>
      <w:r>
        <w:rPr>
          <w:rFonts w:hint="eastAsia" w:ascii="黑体" w:hAnsi="华文楷体" w:eastAsia="黑体"/>
          <w:color w:val="auto"/>
          <w:sz w:val="24"/>
          <w:highlight w:val="none"/>
          <w:lang w:eastAsia="zh-CN"/>
        </w:rPr>
        <w:t>HFBX2026108</w:t>
      </w:r>
      <w:r>
        <w:rPr>
          <w:rFonts w:hint="eastAsia" w:ascii="黑体" w:hAnsi="华文楷体" w:eastAsia="黑体"/>
          <w:b/>
          <w:color w:val="auto"/>
          <w:sz w:val="36"/>
          <w:szCs w:val="36"/>
          <w:highlight w:val="none"/>
        </w:rPr>
        <w:t xml:space="preserve">                                   </w:t>
      </w:r>
    </w:p>
    <w:p w14:paraId="015B75C3">
      <w:pPr>
        <w:spacing w:line="440" w:lineRule="exact"/>
        <w:rPr>
          <w:rFonts w:hint="eastAsia" w:ascii="方正仿宋_GB2312" w:hAnsi="方正仿宋_GB2312" w:eastAsia="方正仿宋_GB2312" w:cs="方正仿宋_GB2312"/>
          <w:b/>
          <w:color w:val="auto"/>
          <w:sz w:val="24"/>
          <w:highlight w:val="none"/>
        </w:rPr>
      </w:pPr>
      <w:r>
        <w:rPr>
          <w:rFonts w:hint="eastAsia" w:ascii="黑体" w:hAnsi="华文楷体" w:eastAsia="黑体"/>
          <w:b/>
          <w:color w:val="auto"/>
          <w:sz w:val="24"/>
          <w:highlight w:val="none"/>
        </w:rPr>
        <w:t>电子邮箱：</w:t>
      </w:r>
      <w:r>
        <w:rPr>
          <w:color w:val="auto"/>
          <w:highlight w:val="none"/>
        </w:rPr>
        <w:fldChar w:fldCharType="begin"/>
      </w:r>
      <w:r>
        <w:rPr>
          <w:color w:val="auto"/>
          <w:highlight w:val="none"/>
        </w:rPr>
        <w:instrText xml:space="preserve"> HYPERLINK "mailto:quotation@shmtu.edu.cn" </w:instrText>
      </w:r>
      <w:r>
        <w:rPr>
          <w:color w:val="auto"/>
          <w:highlight w:val="none"/>
        </w:rPr>
        <w:fldChar w:fldCharType="separate"/>
      </w:r>
      <w:r>
        <w:rPr>
          <w:rStyle w:val="18"/>
          <w:rFonts w:ascii="黑体" w:hAnsi="华文楷体" w:eastAsia="黑体"/>
          <w:b/>
          <w:color w:val="auto"/>
          <w:sz w:val="24"/>
          <w:highlight w:val="none"/>
        </w:rPr>
        <w:t>quotation@shmtu.edu.cn</w:t>
      </w:r>
      <w:r>
        <w:rPr>
          <w:rStyle w:val="18"/>
          <w:rFonts w:ascii="黑体" w:hAnsi="华文楷体" w:eastAsia="黑体"/>
          <w:b/>
          <w:color w:val="auto"/>
          <w:sz w:val="24"/>
          <w:highlight w:val="none"/>
        </w:rPr>
        <w:fldChar w:fldCharType="end"/>
      </w:r>
    </w:p>
    <w:p w14:paraId="2CC17ABB">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公司名称：</w:t>
      </w:r>
      <w:r>
        <w:rPr>
          <w:rFonts w:hint="eastAsia" w:ascii="黑体" w:hAnsi="华文楷体" w:eastAsia="黑体"/>
          <w:color w:val="auto"/>
          <w:sz w:val="24"/>
          <w:highlight w:val="none"/>
        </w:rPr>
        <w:t xml:space="preserve">                                                </w:t>
      </w:r>
      <w:r>
        <w:rPr>
          <w:rFonts w:hint="eastAsia" w:ascii="黑体" w:hAnsi="华文楷体" w:eastAsia="黑体"/>
          <w:b/>
          <w:color w:val="auto"/>
          <w:sz w:val="24"/>
          <w:highlight w:val="none"/>
        </w:rPr>
        <w:t>联系人：</w:t>
      </w:r>
    </w:p>
    <w:p w14:paraId="158E16F4">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电子邮箱：                                                公司地址：</w:t>
      </w:r>
    </w:p>
    <w:p w14:paraId="07134468">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电话：                                                    联系人手机：</w:t>
      </w:r>
    </w:p>
    <w:p w14:paraId="0933F6A1">
      <w:pPr>
        <w:spacing w:line="440" w:lineRule="exact"/>
        <w:rPr>
          <w:rFonts w:hint="eastAsia" w:ascii="黑体" w:hAnsi="华文楷体" w:eastAsia="黑体"/>
          <w:b/>
          <w:color w:val="auto"/>
          <w:sz w:val="24"/>
          <w:highlight w:val="none"/>
        </w:rPr>
      </w:pPr>
    </w:p>
    <w:tbl>
      <w:tblPr>
        <w:tblStyle w:val="14"/>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4"/>
        <w:gridCol w:w="2062"/>
        <w:gridCol w:w="971"/>
        <w:gridCol w:w="1463"/>
        <w:gridCol w:w="581"/>
        <w:gridCol w:w="876"/>
        <w:gridCol w:w="876"/>
        <w:gridCol w:w="1230"/>
        <w:gridCol w:w="1397"/>
      </w:tblGrid>
      <w:tr w14:paraId="67418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single" w:color="auto" w:sz="12" w:space="0"/>
              <w:left w:val="single" w:color="auto" w:sz="12" w:space="0"/>
              <w:bottom w:val="double" w:color="auto" w:sz="4" w:space="0"/>
            </w:tcBorders>
            <w:vAlign w:val="center"/>
          </w:tcPr>
          <w:p w14:paraId="29893A18">
            <w:pPr>
              <w:spacing w:line="440" w:lineRule="exact"/>
              <w:jc w:val="center"/>
              <w:rPr>
                <w:rFonts w:hint="eastAsia" w:ascii="黑体" w:hAnsi="华文楷体" w:eastAsia="黑体"/>
                <w:color w:val="auto"/>
                <w:kern w:val="0"/>
                <w:sz w:val="24"/>
                <w:highlight w:val="none"/>
              </w:rPr>
            </w:pPr>
            <w:r>
              <w:rPr>
                <w:rFonts w:hint="eastAsia" w:ascii="黑体" w:hAnsi="华文楷体" w:eastAsia="黑体"/>
                <w:color w:val="auto"/>
                <w:kern w:val="0"/>
                <w:sz w:val="24"/>
                <w:highlight w:val="none"/>
              </w:rPr>
              <w:t>序号</w:t>
            </w:r>
          </w:p>
        </w:tc>
        <w:tc>
          <w:tcPr>
            <w:tcW w:w="1036" w:type="pct"/>
            <w:tcBorders>
              <w:top w:val="single" w:color="auto" w:sz="12" w:space="0"/>
              <w:bottom w:val="double" w:color="auto" w:sz="4" w:space="0"/>
            </w:tcBorders>
            <w:vAlign w:val="center"/>
          </w:tcPr>
          <w:p w14:paraId="10868460">
            <w:pPr>
              <w:spacing w:line="440" w:lineRule="exact"/>
              <w:jc w:val="center"/>
              <w:rPr>
                <w:rFonts w:hint="eastAsia" w:ascii="黑体" w:hAnsi="华文楷体" w:eastAsia="黑体"/>
                <w:color w:val="auto"/>
                <w:kern w:val="0"/>
                <w:sz w:val="24"/>
                <w:highlight w:val="none"/>
              </w:rPr>
            </w:pPr>
            <w:r>
              <w:rPr>
                <w:rFonts w:hint="eastAsia" w:ascii="黑体" w:hAnsi="华文楷体" w:eastAsia="黑体"/>
                <w:color w:val="auto"/>
                <w:kern w:val="0"/>
                <w:sz w:val="24"/>
                <w:highlight w:val="none"/>
              </w:rPr>
              <w:t>产品名称</w:t>
            </w:r>
          </w:p>
        </w:tc>
        <w:tc>
          <w:tcPr>
            <w:tcW w:w="488" w:type="pct"/>
            <w:tcBorders>
              <w:top w:val="single" w:color="auto" w:sz="12" w:space="0"/>
              <w:bottom w:val="double" w:color="auto" w:sz="4" w:space="0"/>
            </w:tcBorders>
            <w:vAlign w:val="center"/>
          </w:tcPr>
          <w:p w14:paraId="139103F3">
            <w:pPr>
              <w:spacing w:line="440" w:lineRule="exact"/>
              <w:jc w:val="center"/>
              <w:rPr>
                <w:rFonts w:hint="eastAsia" w:ascii="黑体" w:hAnsi="华文楷体" w:eastAsia="黑体"/>
                <w:color w:val="auto"/>
                <w:kern w:val="0"/>
                <w:sz w:val="24"/>
                <w:highlight w:val="none"/>
              </w:rPr>
            </w:pPr>
            <w:r>
              <w:rPr>
                <w:rFonts w:hint="eastAsia" w:ascii="黑体" w:hAnsi="华文楷体" w:eastAsia="黑体"/>
                <w:color w:val="auto"/>
                <w:kern w:val="0"/>
                <w:sz w:val="24"/>
                <w:highlight w:val="none"/>
              </w:rPr>
              <w:t>品牌</w:t>
            </w:r>
          </w:p>
        </w:tc>
        <w:tc>
          <w:tcPr>
            <w:tcW w:w="733" w:type="pct"/>
            <w:tcBorders>
              <w:top w:val="single" w:color="auto" w:sz="12" w:space="0"/>
              <w:bottom w:val="double" w:color="auto" w:sz="4" w:space="0"/>
            </w:tcBorders>
            <w:vAlign w:val="center"/>
          </w:tcPr>
          <w:p w14:paraId="3D512B6D">
            <w:pPr>
              <w:spacing w:line="440" w:lineRule="exact"/>
              <w:jc w:val="center"/>
              <w:rPr>
                <w:rFonts w:hint="eastAsia" w:ascii="黑体" w:hAnsi="华文楷体" w:eastAsia="黑体"/>
                <w:color w:val="auto"/>
                <w:kern w:val="0"/>
                <w:sz w:val="24"/>
                <w:highlight w:val="none"/>
              </w:rPr>
            </w:pPr>
            <w:r>
              <w:rPr>
                <w:rFonts w:hint="eastAsia" w:ascii="黑体" w:hAnsi="华文楷体" w:eastAsia="黑体"/>
                <w:color w:val="auto"/>
                <w:kern w:val="0"/>
                <w:sz w:val="24"/>
                <w:highlight w:val="none"/>
              </w:rPr>
              <w:t>型号规格</w:t>
            </w:r>
          </w:p>
        </w:tc>
        <w:tc>
          <w:tcPr>
            <w:tcW w:w="292" w:type="pct"/>
            <w:tcBorders>
              <w:top w:val="single" w:color="auto" w:sz="12" w:space="0"/>
              <w:bottom w:val="double" w:color="auto" w:sz="4" w:space="0"/>
            </w:tcBorders>
            <w:vAlign w:val="center"/>
          </w:tcPr>
          <w:p w14:paraId="6DFBC1E2">
            <w:pPr>
              <w:spacing w:line="440" w:lineRule="exact"/>
              <w:jc w:val="center"/>
              <w:rPr>
                <w:rFonts w:hint="eastAsia" w:ascii="黑体" w:hAnsi="华文楷体" w:eastAsia="黑体"/>
                <w:color w:val="auto"/>
                <w:kern w:val="0"/>
                <w:sz w:val="24"/>
                <w:highlight w:val="none"/>
              </w:rPr>
            </w:pPr>
            <w:r>
              <w:rPr>
                <w:rFonts w:hint="eastAsia" w:ascii="黑体" w:hAnsi="华文楷体" w:eastAsia="黑体"/>
                <w:color w:val="auto"/>
                <w:kern w:val="0"/>
                <w:sz w:val="24"/>
                <w:highlight w:val="none"/>
              </w:rPr>
              <w:t>数量</w:t>
            </w:r>
          </w:p>
        </w:tc>
        <w:tc>
          <w:tcPr>
            <w:tcW w:w="440" w:type="pct"/>
            <w:tcBorders>
              <w:top w:val="single" w:color="auto" w:sz="12" w:space="0"/>
              <w:bottom w:val="double" w:color="auto" w:sz="4" w:space="0"/>
            </w:tcBorders>
            <w:vAlign w:val="center"/>
          </w:tcPr>
          <w:p w14:paraId="6E49F5FB">
            <w:pPr>
              <w:spacing w:line="440" w:lineRule="exact"/>
              <w:jc w:val="center"/>
              <w:rPr>
                <w:rFonts w:hint="eastAsia" w:ascii="黑体" w:hAnsi="华文楷体" w:eastAsia="黑体"/>
                <w:color w:val="auto"/>
                <w:kern w:val="0"/>
                <w:sz w:val="24"/>
                <w:highlight w:val="none"/>
              </w:rPr>
            </w:pPr>
            <w:r>
              <w:rPr>
                <w:rFonts w:hint="eastAsia" w:ascii="黑体" w:hAnsi="华文楷体" w:eastAsia="黑体"/>
                <w:color w:val="auto"/>
                <w:kern w:val="0"/>
                <w:sz w:val="24"/>
                <w:highlight w:val="none"/>
              </w:rPr>
              <w:t>单价</w:t>
            </w:r>
          </w:p>
        </w:tc>
        <w:tc>
          <w:tcPr>
            <w:tcW w:w="440" w:type="pct"/>
            <w:tcBorders>
              <w:top w:val="single" w:color="auto" w:sz="12" w:space="0"/>
              <w:bottom w:val="double" w:color="auto" w:sz="4" w:space="0"/>
            </w:tcBorders>
            <w:vAlign w:val="center"/>
          </w:tcPr>
          <w:p w14:paraId="266E9A31">
            <w:pPr>
              <w:spacing w:line="440" w:lineRule="exact"/>
              <w:jc w:val="center"/>
              <w:rPr>
                <w:rFonts w:hint="eastAsia" w:ascii="黑体" w:hAnsi="华文楷体" w:eastAsia="黑体"/>
                <w:color w:val="auto"/>
                <w:kern w:val="0"/>
                <w:sz w:val="24"/>
                <w:highlight w:val="none"/>
              </w:rPr>
            </w:pPr>
            <w:r>
              <w:rPr>
                <w:rFonts w:hint="eastAsia" w:ascii="黑体" w:hAnsi="华文楷体" w:eastAsia="黑体"/>
                <w:color w:val="auto"/>
                <w:kern w:val="0"/>
                <w:sz w:val="24"/>
                <w:highlight w:val="none"/>
              </w:rPr>
              <w:t>金额</w:t>
            </w:r>
          </w:p>
        </w:tc>
        <w:tc>
          <w:tcPr>
            <w:tcW w:w="618" w:type="pct"/>
            <w:tcBorders>
              <w:top w:val="single" w:color="auto" w:sz="12" w:space="0"/>
              <w:bottom w:val="double" w:color="auto" w:sz="4" w:space="0"/>
            </w:tcBorders>
            <w:vAlign w:val="center"/>
          </w:tcPr>
          <w:p w14:paraId="7C1E14F3">
            <w:pPr>
              <w:spacing w:line="440" w:lineRule="exact"/>
              <w:jc w:val="center"/>
              <w:rPr>
                <w:rFonts w:hint="eastAsia" w:ascii="黑体" w:hAnsi="华文楷体" w:eastAsia="黑体"/>
                <w:color w:val="auto"/>
                <w:kern w:val="0"/>
                <w:sz w:val="24"/>
                <w:highlight w:val="none"/>
              </w:rPr>
            </w:pPr>
            <w:r>
              <w:rPr>
                <w:rFonts w:hint="eastAsia" w:ascii="黑体" w:hAnsi="华文楷体" w:eastAsia="黑体"/>
                <w:color w:val="auto"/>
                <w:kern w:val="0"/>
                <w:sz w:val="24"/>
                <w:highlight w:val="none"/>
              </w:rPr>
              <w:t>质保时间</w:t>
            </w:r>
          </w:p>
        </w:tc>
        <w:tc>
          <w:tcPr>
            <w:tcW w:w="700" w:type="pct"/>
            <w:tcBorders>
              <w:top w:val="single" w:color="auto" w:sz="12" w:space="0"/>
              <w:bottom w:val="double" w:color="auto" w:sz="4" w:space="0"/>
              <w:right w:val="single" w:color="auto" w:sz="12" w:space="0"/>
            </w:tcBorders>
            <w:vAlign w:val="center"/>
          </w:tcPr>
          <w:p w14:paraId="2916B599">
            <w:pPr>
              <w:spacing w:line="440" w:lineRule="exact"/>
              <w:jc w:val="center"/>
              <w:rPr>
                <w:rFonts w:hint="eastAsia" w:ascii="黑体" w:hAnsi="华文楷体" w:eastAsia="黑体"/>
                <w:color w:val="auto"/>
                <w:kern w:val="0"/>
                <w:sz w:val="24"/>
                <w:highlight w:val="none"/>
              </w:rPr>
            </w:pPr>
            <w:r>
              <w:rPr>
                <w:rFonts w:ascii="黑体" w:hAnsi="华文楷体" w:eastAsia="黑体"/>
                <w:color w:val="auto"/>
                <w:kern w:val="0"/>
                <w:sz w:val="24"/>
                <w:highlight w:val="none"/>
              </w:rPr>
              <w:t>最快供货</w:t>
            </w:r>
            <w:r>
              <w:rPr>
                <w:rFonts w:hint="eastAsia" w:ascii="黑体" w:hAnsi="华文楷体" w:eastAsia="黑体"/>
                <w:color w:val="auto"/>
                <w:kern w:val="0"/>
                <w:sz w:val="24"/>
                <w:highlight w:val="none"/>
              </w:rPr>
              <w:t>时间</w:t>
            </w:r>
          </w:p>
        </w:tc>
      </w:tr>
      <w:tr w14:paraId="4BF31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top w:val="double" w:color="auto" w:sz="4" w:space="0"/>
              <w:left w:val="single" w:color="auto" w:sz="12" w:space="0"/>
            </w:tcBorders>
          </w:tcPr>
          <w:p w14:paraId="586065CD">
            <w:pPr>
              <w:spacing w:line="440" w:lineRule="exact"/>
              <w:jc w:val="center"/>
              <w:rPr>
                <w:rFonts w:hint="eastAsia"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1</w:t>
            </w:r>
          </w:p>
        </w:tc>
        <w:tc>
          <w:tcPr>
            <w:tcW w:w="1036" w:type="pct"/>
            <w:tcBorders>
              <w:top w:val="double" w:color="auto" w:sz="4" w:space="0"/>
            </w:tcBorders>
            <w:vAlign w:val="center"/>
          </w:tcPr>
          <w:p w14:paraId="052E530D">
            <w:pPr>
              <w:ind w:left="-63" w:leftChars="-30" w:right="-63" w:rightChars="-30"/>
              <w:jc w:val="center"/>
              <w:rPr>
                <w:rFonts w:hint="eastAsia" w:ascii="宋体" w:hAnsi="宋体" w:cs="宋体"/>
                <w:color w:val="auto"/>
                <w:sz w:val="18"/>
                <w:szCs w:val="18"/>
                <w:highlight w:val="none"/>
              </w:rPr>
            </w:pPr>
          </w:p>
        </w:tc>
        <w:tc>
          <w:tcPr>
            <w:tcW w:w="488" w:type="pct"/>
            <w:tcBorders>
              <w:top w:val="double" w:color="auto" w:sz="4" w:space="0"/>
            </w:tcBorders>
          </w:tcPr>
          <w:p w14:paraId="5D34CA93">
            <w:pPr>
              <w:spacing w:line="440" w:lineRule="exact"/>
              <w:jc w:val="center"/>
              <w:rPr>
                <w:rFonts w:hint="eastAsia" w:ascii="方正仿宋_GB2312" w:hAnsi="华文楷体" w:eastAsia="方正仿宋_GB2312"/>
                <w:color w:val="auto"/>
                <w:kern w:val="0"/>
                <w:sz w:val="24"/>
                <w:highlight w:val="none"/>
              </w:rPr>
            </w:pPr>
          </w:p>
        </w:tc>
        <w:tc>
          <w:tcPr>
            <w:tcW w:w="733" w:type="pct"/>
            <w:tcBorders>
              <w:top w:val="double" w:color="auto" w:sz="4" w:space="0"/>
            </w:tcBorders>
          </w:tcPr>
          <w:p w14:paraId="4D4C53BA">
            <w:pPr>
              <w:spacing w:line="440" w:lineRule="exact"/>
              <w:jc w:val="center"/>
              <w:rPr>
                <w:rFonts w:hint="eastAsia" w:ascii="方正仿宋_GB2312" w:hAnsi="华文楷体" w:eastAsia="方正仿宋_GB2312"/>
                <w:color w:val="auto"/>
                <w:kern w:val="0"/>
                <w:sz w:val="24"/>
                <w:highlight w:val="none"/>
              </w:rPr>
            </w:pPr>
          </w:p>
        </w:tc>
        <w:tc>
          <w:tcPr>
            <w:tcW w:w="292" w:type="pct"/>
            <w:tcBorders>
              <w:top w:val="double" w:color="auto" w:sz="4" w:space="0"/>
            </w:tcBorders>
          </w:tcPr>
          <w:p w14:paraId="0434D6BF">
            <w:pPr>
              <w:spacing w:line="440" w:lineRule="exact"/>
              <w:jc w:val="center"/>
              <w:rPr>
                <w:rFonts w:hint="eastAsia" w:ascii="方正仿宋_GB2312" w:hAnsi="华文楷体" w:eastAsia="方正仿宋_GB2312"/>
                <w:color w:val="auto"/>
                <w:kern w:val="0"/>
                <w:sz w:val="24"/>
                <w:highlight w:val="none"/>
              </w:rPr>
            </w:pPr>
          </w:p>
        </w:tc>
        <w:tc>
          <w:tcPr>
            <w:tcW w:w="440" w:type="pct"/>
            <w:tcBorders>
              <w:top w:val="double" w:color="auto" w:sz="4" w:space="0"/>
            </w:tcBorders>
          </w:tcPr>
          <w:p w14:paraId="7A1F1E7F">
            <w:pPr>
              <w:spacing w:line="440" w:lineRule="exact"/>
              <w:jc w:val="center"/>
              <w:rPr>
                <w:rFonts w:hint="eastAsia" w:ascii="方正仿宋_GB2312" w:hAnsi="华文楷体" w:eastAsia="方正仿宋_GB2312"/>
                <w:color w:val="auto"/>
                <w:kern w:val="0"/>
                <w:sz w:val="24"/>
                <w:highlight w:val="none"/>
              </w:rPr>
            </w:pPr>
          </w:p>
        </w:tc>
        <w:tc>
          <w:tcPr>
            <w:tcW w:w="440" w:type="pct"/>
            <w:tcBorders>
              <w:top w:val="double" w:color="auto" w:sz="4" w:space="0"/>
            </w:tcBorders>
          </w:tcPr>
          <w:p w14:paraId="16E1E86C">
            <w:pPr>
              <w:spacing w:line="440" w:lineRule="exact"/>
              <w:jc w:val="center"/>
              <w:rPr>
                <w:rFonts w:hint="eastAsia" w:ascii="方正仿宋_GB2312" w:hAnsi="华文楷体" w:eastAsia="方正仿宋_GB2312"/>
                <w:color w:val="auto"/>
                <w:kern w:val="0"/>
                <w:sz w:val="24"/>
                <w:highlight w:val="none"/>
              </w:rPr>
            </w:pPr>
          </w:p>
        </w:tc>
        <w:tc>
          <w:tcPr>
            <w:tcW w:w="618" w:type="pct"/>
            <w:tcBorders>
              <w:top w:val="double" w:color="auto" w:sz="4" w:space="0"/>
            </w:tcBorders>
          </w:tcPr>
          <w:p w14:paraId="739E3B7E">
            <w:pPr>
              <w:spacing w:line="440" w:lineRule="exact"/>
              <w:jc w:val="center"/>
              <w:rPr>
                <w:rFonts w:hint="eastAsia" w:ascii="方正仿宋_GB2312" w:hAnsi="华文楷体" w:eastAsia="方正仿宋_GB2312"/>
                <w:color w:val="auto"/>
                <w:kern w:val="0"/>
                <w:sz w:val="24"/>
                <w:highlight w:val="none"/>
              </w:rPr>
            </w:pPr>
          </w:p>
        </w:tc>
        <w:tc>
          <w:tcPr>
            <w:tcW w:w="700" w:type="pct"/>
            <w:tcBorders>
              <w:top w:val="double" w:color="auto" w:sz="4" w:space="0"/>
              <w:right w:val="single" w:color="auto" w:sz="12" w:space="0"/>
            </w:tcBorders>
          </w:tcPr>
          <w:p w14:paraId="185D3CD3">
            <w:pPr>
              <w:spacing w:line="440" w:lineRule="exact"/>
              <w:jc w:val="center"/>
              <w:rPr>
                <w:rFonts w:hint="eastAsia" w:ascii="方正仿宋_GB2312" w:hAnsi="华文楷体" w:eastAsia="方正仿宋_GB2312"/>
                <w:color w:val="auto"/>
                <w:kern w:val="0"/>
                <w:sz w:val="24"/>
                <w:highlight w:val="none"/>
              </w:rPr>
            </w:pPr>
          </w:p>
        </w:tc>
      </w:tr>
      <w:tr w14:paraId="4D952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tcBorders>
          </w:tcPr>
          <w:p w14:paraId="48702E51">
            <w:pPr>
              <w:spacing w:line="440" w:lineRule="exact"/>
              <w:jc w:val="center"/>
              <w:rPr>
                <w:rFonts w:hint="eastAsia"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2</w:t>
            </w:r>
          </w:p>
        </w:tc>
        <w:tc>
          <w:tcPr>
            <w:tcW w:w="1036" w:type="pct"/>
            <w:vAlign w:val="center"/>
          </w:tcPr>
          <w:p w14:paraId="12ADADB9">
            <w:pPr>
              <w:ind w:left="-63" w:leftChars="-30" w:right="-63" w:rightChars="-30"/>
              <w:jc w:val="center"/>
              <w:rPr>
                <w:rFonts w:hint="eastAsia" w:ascii="宋体" w:hAnsi="宋体" w:cs="宋体"/>
                <w:color w:val="auto"/>
                <w:sz w:val="18"/>
                <w:szCs w:val="18"/>
                <w:highlight w:val="none"/>
              </w:rPr>
            </w:pPr>
          </w:p>
        </w:tc>
        <w:tc>
          <w:tcPr>
            <w:tcW w:w="488" w:type="pct"/>
          </w:tcPr>
          <w:p w14:paraId="2BEE52F2">
            <w:pPr>
              <w:spacing w:line="440" w:lineRule="exact"/>
              <w:jc w:val="center"/>
              <w:rPr>
                <w:rFonts w:hint="eastAsia" w:ascii="方正仿宋_GB2312" w:hAnsi="华文楷体" w:eastAsia="方正仿宋_GB2312"/>
                <w:color w:val="auto"/>
                <w:kern w:val="0"/>
                <w:sz w:val="24"/>
                <w:highlight w:val="none"/>
              </w:rPr>
            </w:pPr>
          </w:p>
        </w:tc>
        <w:tc>
          <w:tcPr>
            <w:tcW w:w="733" w:type="pct"/>
          </w:tcPr>
          <w:p w14:paraId="70F0E55A">
            <w:pPr>
              <w:spacing w:line="440" w:lineRule="exact"/>
              <w:jc w:val="center"/>
              <w:rPr>
                <w:rFonts w:hint="eastAsia" w:ascii="方正仿宋_GB2312" w:hAnsi="华文楷体" w:eastAsia="方正仿宋_GB2312"/>
                <w:color w:val="auto"/>
                <w:kern w:val="0"/>
                <w:sz w:val="24"/>
                <w:highlight w:val="none"/>
              </w:rPr>
            </w:pPr>
          </w:p>
        </w:tc>
        <w:tc>
          <w:tcPr>
            <w:tcW w:w="292" w:type="pct"/>
          </w:tcPr>
          <w:p w14:paraId="649BACEC">
            <w:pPr>
              <w:spacing w:line="440" w:lineRule="exact"/>
              <w:jc w:val="center"/>
              <w:rPr>
                <w:rFonts w:hint="eastAsia" w:ascii="方正仿宋_GB2312" w:hAnsi="华文楷体" w:eastAsia="方正仿宋_GB2312"/>
                <w:color w:val="auto"/>
                <w:kern w:val="0"/>
                <w:sz w:val="24"/>
                <w:highlight w:val="none"/>
              </w:rPr>
            </w:pPr>
          </w:p>
        </w:tc>
        <w:tc>
          <w:tcPr>
            <w:tcW w:w="440" w:type="pct"/>
          </w:tcPr>
          <w:p w14:paraId="4345C40F">
            <w:pPr>
              <w:spacing w:line="440" w:lineRule="exact"/>
              <w:jc w:val="center"/>
              <w:rPr>
                <w:rFonts w:hint="eastAsia" w:ascii="方正仿宋_GB2312" w:hAnsi="华文楷体" w:eastAsia="方正仿宋_GB2312"/>
                <w:color w:val="auto"/>
                <w:kern w:val="0"/>
                <w:sz w:val="24"/>
                <w:highlight w:val="none"/>
              </w:rPr>
            </w:pPr>
          </w:p>
        </w:tc>
        <w:tc>
          <w:tcPr>
            <w:tcW w:w="440" w:type="pct"/>
          </w:tcPr>
          <w:p w14:paraId="667F439F">
            <w:pPr>
              <w:spacing w:line="440" w:lineRule="exact"/>
              <w:jc w:val="center"/>
              <w:rPr>
                <w:rFonts w:hint="eastAsia" w:ascii="方正仿宋_GB2312" w:hAnsi="华文楷体" w:eastAsia="方正仿宋_GB2312"/>
                <w:color w:val="auto"/>
                <w:kern w:val="0"/>
                <w:sz w:val="24"/>
                <w:highlight w:val="none"/>
              </w:rPr>
            </w:pPr>
          </w:p>
        </w:tc>
        <w:tc>
          <w:tcPr>
            <w:tcW w:w="618" w:type="pct"/>
          </w:tcPr>
          <w:p w14:paraId="3B52123D">
            <w:pPr>
              <w:spacing w:line="440" w:lineRule="exact"/>
              <w:jc w:val="center"/>
              <w:rPr>
                <w:rFonts w:hint="eastAsia" w:ascii="方正仿宋_GB2312" w:hAnsi="华文楷体" w:eastAsia="方正仿宋_GB2312"/>
                <w:color w:val="auto"/>
                <w:kern w:val="0"/>
                <w:sz w:val="24"/>
                <w:highlight w:val="none"/>
              </w:rPr>
            </w:pPr>
          </w:p>
        </w:tc>
        <w:tc>
          <w:tcPr>
            <w:tcW w:w="700" w:type="pct"/>
            <w:tcBorders>
              <w:right w:val="single" w:color="auto" w:sz="12" w:space="0"/>
            </w:tcBorders>
          </w:tcPr>
          <w:p w14:paraId="56928214">
            <w:pPr>
              <w:spacing w:line="440" w:lineRule="exact"/>
              <w:jc w:val="center"/>
              <w:rPr>
                <w:rFonts w:hint="eastAsia" w:ascii="方正仿宋_GB2312" w:hAnsi="华文楷体" w:eastAsia="方正仿宋_GB2312"/>
                <w:color w:val="auto"/>
                <w:kern w:val="0"/>
                <w:sz w:val="24"/>
                <w:highlight w:val="none"/>
              </w:rPr>
            </w:pPr>
          </w:p>
        </w:tc>
      </w:tr>
      <w:tr w14:paraId="6CF05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tcPr>
          <w:p w14:paraId="6D8EA782">
            <w:pPr>
              <w:spacing w:line="440" w:lineRule="exact"/>
              <w:jc w:val="center"/>
              <w:rPr>
                <w:rFonts w:hint="eastAsia"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3</w:t>
            </w:r>
          </w:p>
        </w:tc>
        <w:tc>
          <w:tcPr>
            <w:tcW w:w="1036" w:type="pct"/>
            <w:tcBorders>
              <w:bottom w:val="single" w:color="auto" w:sz="4" w:space="0"/>
            </w:tcBorders>
            <w:vAlign w:val="center"/>
          </w:tcPr>
          <w:p w14:paraId="14BD2396">
            <w:pPr>
              <w:ind w:left="-42" w:leftChars="-20" w:right="-42" w:rightChars="-20"/>
              <w:jc w:val="center"/>
              <w:rPr>
                <w:rFonts w:hint="eastAsia" w:ascii="宋体" w:hAnsi="宋体" w:cs="宋体"/>
                <w:color w:val="auto"/>
                <w:sz w:val="18"/>
                <w:szCs w:val="18"/>
                <w:highlight w:val="none"/>
              </w:rPr>
            </w:pPr>
          </w:p>
        </w:tc>
        <w:tc>
          <w:tcPr>
            <w:tcW w:w="488" w:type="pct"/>
            <w:tcBorders>
              <w:bottom w:val="single" w:color="auto" w:sz="4" w:space="0"/>
            </w:tcBorders>
          </w:tcPr>
          <w:p w14:paraId="370AE09F">
            <w:pPr>
              <w:spacing w:line="440" w:lineRule="exact"/>
              <w:jc w:val="center"/>
              <w:rPr>
                <w:rFonts w:hint="eastAsia" w:ascii="方正仿宋_GB2312" w:hAnsi="华文楷体" w:eastAsia="方正仿宋_GB2312"/>
                <w:color w:val="auto"/>
                <w:kern w:val="0"/>
                <w:sz w:val="24"/>
                <w:highlight w:val="none"/>
              </w:rPr>
            </w:pPr>
          </w:p>
        </w:tc>
        <w:tc>
          <w:tcPr>
            <w:tcW w:w="733" w:type="pct"/>
            <w:tcBorders>
              <w:bottom w:val="single" w:color="auto" w:sz="4" w:space="0"/>
            </w:tcBorders>
          </w:tcPr>
          <w:p w14:paraId="37581744">
            <w:pPr>
              <w:spacing w:line="440" w:lineRule="exact"/>
              <w:jc w:val="center"/>
              <w:rPr>
                <w:rFonts w:hint="eastAsia" w:ascii="方正仿宋_GB2312" w:hAnsi="华文楷体" w:eastAsia="方正仿宋_GB2312"/>
                <w:color w:val="auto"/>
                <w:kern w:val="0"/>
                <w:sz w:val="24"/>
                <w:highlight w:val="none"/>
              </w:rPr>
            </w:pPr>
          </w:p>
        </w:tc>
        <w:tc>
          <w:tcPr>
            <w:tcW w:w="292" w:type="pct"/>
            <w:tcBorders>
              <w:bottom w:val="single" w:color="auto" w:sz="4" w:space="0"/>
            </w:tcBorders>
          </w:tcPr>
          <w:p w14:paraId="49816DEF">
            <w:pPr>
              <w:spacing w:line="440" w:lineRule="exact"/>
              <w:jc w:val="center"/>
              <w:rPr>
                <w:rFonts w:hint="eastAsia" w:ascii="方正仿宋_GB2312" w:hAnsi="华文楷体" w:eastAsia="方正仿宋_GB2312"/>
                <w:color w:val="auto"/>
                <w:kern w:val="0"/>
                <w:sz w:val="24"/>
                <w:highlight w:val="none"/>
              </w:rPr>
            </w:pPr>
          </w:p>
        </w:tc>
        <w:tc>
          <w:tcPr>
            <w:tcW w:w="440" w:type="pct"/>
            <w:tcBorders>
              <w:bottom w:val="single" w:color="auto" w:sz="4" w:space="0"/>
            </w:tcBorders>
          </w:tcPr>
          <w:p w14:paraId="056348B0">
            <w:pPr>
              <w:spacing w:line="440" w:lineRule="exact"/>
              <w:jc w:val="center"/>
              <w:rPr>
                <w:rFonts w:hint="eastAsia" w:ascii="方正仿宋_GB2312" w:hAnsi="华文楷体" w:eastAsia="方正仿宋_GB2312"/>
                <w:color w:val="auto"/>
                <w:kern w:val="0"/>
                <w:sz w:val="24"/>
                <w:highlight w:val="none"/>
              </w:rPr>
            </w:pPr>
          </w:p>
        </w:tc>
        <w:tc>
          <w:tcPr>
            <w:tcW w:w="440" w:type="pct"/>
            <w:tcBorders>
              <w:bottom w:val="single" w:color="auto" w:sz="4" w:space="0"/>
            </w:tcBorders>
          </w:tcPr>
          <w:p w14:paraId="4CE839C4">
            <w:pPr>
              <w:spacing w:line="440" w:lineRule="exact"/>
              <w:jc w:val="center"/>
              <w:rPr>
                <w:rFonts w:hint="eastAsia" w:ascii="方正仿宋_GB2312" w:hAnsi="华文楷体" w:eastAsia="方正仿宋_GB2312"/>
                <w:color w:val="auto"/>
                <w:kern w:val="0"/>
                <w:sz w:val="24"/>
                <w:highlight w:val="none"/>
              </w:rPr>
            </w:pPr>
          </w:p>
        </w:tc>
        <w:tc>
          <w:tcPr>
            <w:tcW w:w="618" w:type="pct"/>
            <w:tcBorders>
              <w:bottom w:val="single" w:color="auto" w:sz="4" w:space="0"/>
            </w:tcBorders>
          </w:tcPr>
          <w:p w14:paraId="03FCE607">
            <w:pPr>
              <w:spacing w:line="440" w:lineRule="exact"/>
              <w:jc w:val="center"/>
              <w:rPr>
                <w:rFonts w:hint="eastAsia"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tcPr>
          <w:p w14:paraId="18115B82">
            <w:pPr>
              <w:spacing w:line="440" w:lineRule="exact"/>
              <w:jc w:val="center"/>
              <w:rPr>
                <w:rFonts w:hint="eastAsia" w:ascii="方正仿宋_GB2312" w:hAnsi="华文楷体" w:eastAsia="方正仿宋_GB2312"/>
                <w:color w:val="auto"/>
                <w:kern w:val="0"/>
                <w:sz w:val="24"/>
                <w:highlight w:val="none"/>
              </w:rPr>
            </w:pPr>
          </w:p>
        </w:tc>
      </w:tr>
      <w:tr w14:paraId="5CC7E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tcPr>
          <w:p w14:paraId="5A41F41E">
            <w:pPr>
              <w:spacing w:line="440" w:lineRule="exact"/>
              <w:jc w:val="center"/>
              <w:rPr>
                <w:rFonts w:hint="eastAsia"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4</w:t>
            </w:r>
          </w:p>
        </w:tc>
        <w:tc>
          <w:tcPr>
            <w:tcW w:w="1036" w:type="pct"/>
            <w:tcBorders>
              <w:bottom w:val="single" w:color="auto" w:sz="4" w:space="0"/>
            </w:tcBorders>
          </w:tcPr>
          <w:p w14:paraId="2F3F0E46">
            <w:pPr>
              <w:spacing w:line="440" w:lineRule="exact"/>
              <w:jc w:val="center"/>
              <w:rPr>
                <w:rFonts w:hint="eastAsia" w:ascii="方正仿宋_GB2312" w:hAnsi="华文楷体" w:eastAsia="方正仿宋_GB2312"/>
                <w:color w:val="auto"/>
                <w:kern w:val="0"/>
                <w:sz w:val="24"/>
                <w:highlight w:val="none"/>
              </w:rPr>
            </w:pPr>
          </w:p>
        </w:tc>
        <w:tc>
          <w:tcPr>
            <w:tcW w:w="488" w:type="pct"/>
            <w:tcBorders>
              <w:bottom w:val="single" w:color="auto" w:sz="4" w:space="0"/>
            </w:tcBorders>
          </w:tcPr>
          <w:p w14:paraId="21135212">
            <w:pPr>
              <w:spacing w:line="440" w:lineRule="exact"/>
              <w:jc w:val="center"/>
              <w:rPr>
                <w:rFonts w:hint="eastAsia" w:ascii="方正仿宋_GB2312" w:hAnsi="华文楷体" w:eastAsia="方正仿宋_GB2312"/>
                <w:color w:val="auto"/>
                <w:kern w:val="0"/>
                <w:sz w:val="24"/>
                <w:highlight w:val="none"/>
              </w:rPr>
            </w:pPr>
          </w:p>
        </w:tc>
        <w:tc>
          <w:tcPr>
            <w:tcW w:w="733" w:type="pct"/>
            <w:tcBorders>
              <w:bottom w:val="single" w:color="auto" w:sz="4" w:space="0"/>
            </w:tcBorders>
          </w:tcPr>
          <w:p w14:paraId="7D4050AE">
            <w:pPr>
              <w:spacing w:line="440" w:lineRule="exact"/>
              <w:jc w:val="center"/>
              <w:rPr>
                <w:rFonts w:hint="eastAsia" w:ascii="方正仿宋_GB2312" w:hAnsi="华文楷体" w:eastAsia="方正仿宋_GB2312"/>
                <w:color w:val="auto"/>
                <w:kern w:val="0"/>
                <w:sz w:val="24"/>
                <w:highlight w:val="none"/>
              </w:rPr>
            </w:pPr>
          </w:p>
        </w:tc>
        <w:tc>
          <w:tcPr>
            <w:tcW w:w="292" w:type="pct"/>
            <w:tcBorders>
              <w:bottom w:val="single" w:color="auto" w:sz="4" w:space="0"/>
            </w:tcBorders>
          </w:tcPr>
          <w:p w14:paraId="276422BE">
            <w:pPr>
              <w:spacing w:line="440" w:lineRule="exact"/>
              <w:jc w:val="center"/>
              <w:rPr>
                <w:rFonts w:hint="eastAsia" w:ascii="方正仿宋_GB2312" w:hAnsi="华文楷体" w:eastAsia="方正仿宋_GB2312"/>
                <w:color w:val="auto"/>
                <w:kern w:val="0"/>
                <w:sz w:val="24"/>
                <w:highlight w:val="none"/>
              </w:rPr>
            </w:pPr>
          </w:p>
        </w:tc>
        <w:tc>
          <w:tcPr>
            <w:tcW w:w="440" w:type="pct"/>
            <w:tcBorders>
              <w:bottom w:val="single" w:color="auto" w:sz="4" w:space="0"/>
            </w:tcBorders>
          </w:tcPr>
          <w:p w14:paraId="47958C7E">
            <w:pPr>
              <w:spacing w:line="440" w:lineRule="exact"/>
              <w:jc w:val="center"/>
              <w:rPr>
                <w:rFonts w:hint="eastAsia" w:ascii="方正仿宋_GB2312" w:hAnsi="华文楷体" w:eastAsia="方正仿宋_GB2312"/>
                <w:color w:val="auto"/>
                <w:kern w:val="0"/>
                <w:sz w:val="24"/>
                <w:highlight w:val="none"/>
              </w:rPr>
            </w:pPr>
          </w:p>
        </w:tc>
        <w:tc>
          <w:tcPr>
            <w:tcW w:w="440" w:type="pct"/>
            <w:tcBorders>
              <w:bottom w:val="single" w:color="auto" w:sz="4" w:space="0"/>
            </w:tcBorders>
          </w:tcPr>
          <w:p w14:paraId="4F3BA3D3">
            <w:pPr>
              <w:spacing w:line="440" w:lineRule="exact"/>
              <w:jc w:val="center"/>
              <w:rPr>
                <w:rFonts w:hint="eastAsia" w:ascii="方正仿宋_GB2312" w:hAnsi="华文楷体" w:eastAsia="方正仿宋_GB2312"/>
                <w:color w:val="auto"/>
                <w:kern w:val="0"/>
                <w:sz w:val="24"/>
                <w:highlight w:val="none"/>
              </w:rPr>
            </w:pPr>
          </w:p>
        </w:tc>
        <w:tc>
          <w:tcPr>
            <w:tcW w:w="618" w:type="pct"/>
            <w:tcBorders>
              <w:bottom w:val="single" w:color="auto" w:sz="4" w:space="0"/>
            </w:tcBorders>
          </w:tcPr>
          <w:p w14:paraId="3E08BEA1">
            <w:pPr>
              <w:spacing w:line="440" w:lineRule="exact"/>
              <w:jc w:val="center"/>
              <w:rPr>
                <w:rFonts w:hint="eastAsia"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tcPr>
          <w:p w14:paraId="7085EC52">
            <w:pPr>
              <w:spacing w:line="440" w:lineRule="exact"/>
              <w:jc w:val="center"/>
              <w:rPr>
                <w:rFonts w:hint="eastAsia" w:ascii="方正仿宋_GB2312" w:hAnsi="华文楷体" w:eastAsia="方正仿宋_GB2312"/>
                <w:color w:val="auto"/>
                <w:kern w:val="0"/>
                <w:sz w:val="24"/>
                <w:highlight w:val="none"/>
              </w:rPr>
            </w:pPr>
          </w:p>
        </w:tc>
      </w:tr>
      <w:tr w14:paraId="5FB5F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8" w:type="pct"/>
            <w:tcBorders>
              <w:left w:val="single" w:color="auto" w:sz="12" w:space="0"/>
              <w:bottom w:val="single" w:color="auto" w:sz="4" w:space="0"/>
            </w:tcBorders>
          </w:tcPr>
          <w:p w14:paraId="7C846217">
            <w:pPr>
              <w:spacing w:line="440" w:lineRule="exact"/>
              <w:jc w:val="center"/>
              <w:rPr>
                <w:rFonts w:hint="eastAsia" w:ascii="方正仿宋_GB2312" w:hAnsi="华文楷体" w:eastAsia="方正仿宋_GB2312"/>
                <w:color w:val="auto"/>
                <w:kern w:val="0"/>
                <w:sz w:val="24"/>
                <w:highlight w:val="none"/>
              </w:rPr>
            </w:pPr>
            <w:r>
              <w:rPr>
                <w:rFonts w:hint="eastAsia" w:ascii="方正仿宋_GB2312" w:hAnsi="华文楷体" w:eastAsia="方正仿宋_GB2312"/>
                <w:color w:val="auto"/>
                <w:kern w:val="0"/>
                <w:sz w:val="24"/>
                <w:highlight w:val="none"/>
              </w:rPr>
              <w:t>5</w:t>
            </w:r>
          </w:p>
        </w:tc>
        <w:tc>
          <w:tcPr>
            <w:tcW w:w="1036" w:type="pct"/>
            <w:tcBorders>
              <w:bottom w:val="single" w:color="auto" w:sz="4" w:space="0"/>
            </w:tcBorders>
          </w:tcPr>
          <w:p w14:paraId="7DB416F8">
            <w:pPr>
              <w:spacing w:line="440" w:lineRule="exact"/>
              <w:jc w:val="center"/>
              <w:rPr>
                <w:rFonts w:hint="eastAsia" w:ascii="方正仿宋_GB2312" w:hAnsi="华文楷体" w:eastAsia="方正仿宋_GB2312"/>
                <w:color w:val="auto"/>
                <w:kern w:val="0"/>
                <w:sz w:val="24"/>
                <w:highlight w:val="none"/>
              </w:rPr>
            </w:pPr>
          </w:p>
        </w:tc>
        <w:tc>
          <w:tcPr>
            <w:tcW w:w="488" w:type="pct"/>
            <w:tcBorders>
              <w:bottom w:val="single" w:color="auto" w:sz="4" w:space="0"/>
            </w:tcBorders>
          </w:tcPr>
          <w:p w14:paraId="00E229CC">
            <w:pPr>
              <w:spacing w:line="440" w:lineRule="exact"/>
              <w:jc w:val="center"/>
              <w:rPr>
                <w:rFonts w:hint="eastAsia" w:ascii="方正仿宋_GB2312" w:hAnsi="华文楷体" w:eastAsia="方正仿宋_GB2312"/>
                <w:color w:val="auto"/>
                <w:kern w:val="0"/>
                <w:sz w:val="24"/>
                <w:highlight w:val="none"/>
              </w:rPr>
            </w:pPr>
          </w:p>
        </w:tc>
        <w:tc>
          <w:tcPr>
            <w:tcW w:w="733" w:type="pct"/>
            <w:tcBorders>
              <w:bottom w:val="single" w:color="auto" w:sz="4" w:space="0"/>
            </w:tcBorders>
          </w:tcPr>
          <w:p w14:paraId="7F6A3AC4">
            <w:pPr>
              <w:spacing w:line="440" w:lineRule="exact"/>
              <w:jc w:val="center"/>
              <w:rPr>
                <w:rFonts w:hint="eastAsia" w:ascii="方正仿宋_GB2312" w:hAnsi="华文楷体" w:eastAsia="方正仿宋_GB2312"/>
                <w:color w:val="auto"/>
                <w:kern w:val="0"/>
                <w:sz w:val="24"/>
                <w:highlight w:val="none"/>
              </w:rPr>
            </w:pPr>
          </w:p>
        </w:tc>
        <w:tc>
          <w:tcPr>
            <w:tcW w:w="292" w:type="pct"/>
            <w:tcBorders>
              <w:bottom w:val="single" w:color="auto" w:sz="4" w:space="0"/>
            </w:tcBorders>
          </w:tcPr>
          <w:p w14:paraId="295D723C">
            <w:pPr>
              <w:spacing w:line="440" w:lineRule="exact"/>
              <w:jc w:val="center"/>
              <w:rPr>
                <w:rFonts w:hint="eastAsia" w:ascii="方正仿宋_GB2312" w:hAnsi="华文楷体" w:eastAsia="方正仿宋_GB2312"/>
                <w:color w:val="auto"/>
                <w:kern w:val="0"/>
                <w:sz w:val="24"/>
                <w:highlight w:val="none"/>
              </w:rPr>
            </w:pPr>
          </w:p>
        </w:tc>
        <w:tc>
          <w:tcPr>
            <w:tcW w:w="440" w:type="pct"/>
            <w:tcBorders>
              <w:bottom w:val="single" w:color="auto" w:sz="4" w:space="0"/>
            </w:tcBorders>
          </w:tcPr>
          <w:p w14:paraId="00F41E93">
            <w:pPr>
              <w:spacing w:line="440" w:lineRule="exact"/>
              <w:jc w:val="center"/>
              <w:rPr>
                <w:rFonts w:hint="eastAsia" w:ascii="方正仿宋_GB2312" w:hAnsi="华文楷体" w:eastAsia="方正仿宋_GB2312"/>
                <w:color w:val="auto"/>
                <w:kern w:val="0"/>
                <w:sz w:val="24"/>
                <w:highlight w:val="none"/>
              </w:rPr>
            </w:pPr>
          </w:p>
        </w:tc>
        <w:tc>
          <w:tcPr>
            <w:tcW w:w="440" w:type="pct"/>
            <w:tcBorders>
              <w:bottom w:val="single" w:color="auto" w:sz="4" w:space="0"/>
            </w:tcBorders>
          </w:tcPr>
          <w:p w14:paraId="3045986A">
            <w:pPr>
              <w:spacing w:line="440" w:lineRule="exact"/>
              <w:jc w:val="center"/>
              <w:rPr>
                <w:rFonts w:hint="eastAsia" w:ascii="方正仿宋_GB2312" w:hAnsi="华文楷体" w:eastAsia="方正仿宋_GB2312"/>
                <w:color w:val="auto"/>
                <w:kern w:val="0"/>
                <w:sz w:val="24"/>
                <w:highlight w:val="none"/>
              </w:rPr>
            </w:pPr>
          </w:p>
        </w:tc>
        <w:tc>
          <w:tcPr>
            <w:tcW w:w="618" w:type="pct"/>
            <w:tcBorders>
              <w:bottom w:val="single" w:color="auto" w:sz="4" w:space="0"/>
            </w:tcBorders>
          </w:tcPr>
          <w:p w14:paraId="78F4D806">
            <w:pPr>
              <w:spacing w:line="440" w:lineRule="exact"/>
              <w:jc w:val="center"/>
              <w:rPr>
                <w:rFonts w:hint="eastAsia" w:ascii="方正仿宋_GB2312" w:hAnsi="华文楷体" w:eastAsia="方正仿宋_GB2312"/>
                <w:color w:val="auto"/>
                <w:kern w:val="0"/>
                <w:sz w:val="24"/>
                <w:highlight w:val="none"/>
              </w:rPr>
            </w:pPr>
          </w:p>
        </w:tc>
        <w:tc>
          <w:tcPr>
            <w:tcW w:w="700" w:type="pct"/>
            <w:tcBorders>
              <w:bottom w:val="single" w:color="auto" w:sz="4" w:space="0"/>
              <w:right w:val="single" w:color="auto" w:sz="12" w:space="0"/>
            </w:tcBorders>
          </w:tcPr>
          <w:p w14:paraId="64104863">
            <w:pPr>
              <w:spacing w:line="440" w:lineRule="exact"/>
              <w:jc w:val="center"/>
              <w:rPr>
                <w:rFonts w:hint="eastAsia" w:ascii="方正仿宋_GB2312" w:hAnsi="华文楷体" w:eastAsia="方正仿宋_GB2312"/>
                <w:color w:val="auto"/>
                <w:kern w:val="0"/>
                <w:sz w:val="24"/>
                <w:highlight w:val="none"/>
              </w:rPr>
            </w:pPr>
          </w:p>
        </w:tc>
      </w:tr>
      <w:tr w14:paraId="3D2A0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07" w:type="pct"/>
            <w:gridSpan w:val="4"/>
            <w:tcBorders>
              <w:top w:val="double" w:color="auto" w:sz="4" w:space="0"/>
              <w:left w:val="single" w:color="auto" w:sz="12" w:space="0"/>
              <w:bottom w:val="single" w:color="auto" w:sz="12" w:space="0"/>
            </w:tcBorders>
          </w:tcPr>
          <w:p w14:paraId="63C20AD8">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合计金额（人民币）</w:t>
            </w:r>
          </w:p>
        </w:tc>
        <w:tc>
          <w:tcPr>
            <w:tcW w:w="2492" w:type="pct"/>
            <w:gridSpan w:val="5"/>
            <w:tcBorders>
              <w:top w:val="double" w:color="auto" w:sz="4" w:space="0"/>
              <w:bottom w:val="single" w:color="auto" w:sz="12" w:space="0"/>
              <w:right w:val="single" w:color="auto" w:sz="12" w:space="0"/>
            </w:tcBorders>
          </w:tcPr>
          <w:p w14:paraId="2626E4F3">
            <w:pPr>
              <w:spacing w:line="440" w:lineRule="exact"/>
              <w:jc w:val="center"/>
              <w:rPr>
                <w:rFonts w:hint="eastAsia" w:ascii="黑体" w:hAnsi="华文楷体" w:eastAsia="黑体" w:cs="Times New Roman"/>
                <w:color w:val="auto"/>
                <w:kern w:val="0"/>
                <w:sz w:val="24"/>
                <w:highlight w:val="none"/>
              </w:rPr>
            </w:pPr>
            <w:r>
              <w:rPr>
                <w:rFonts w:hint="eastAsia" w:ascii="黑体" w:hAnsi="华文楷体" w:eastAsia="黑体" w:cs="Times New Roman"/>
                <w:color w:val="auto"/>
                <w:kern w:val="0"/>
                <w:sz w:val="24"/>
                <w:highlight w:val="none"/>
              </w:rPr>
              <w:t xml:space="preserve">￥           （大写）：                               </w:t>
            </w:r>
          </w:p>
        </w:tc>
      </w:tr>
    </w:tbl>
    <w:p w14:paraId="10820461">
      <w:pPr>
        <w:spacing w:line="440" w:lineRule="exact"/>
        <w:rPr>
          <w:rFonts w:hint="eastAsia" w:ascii="黑体" w:hAnsi="华文楷体" w:eastAsia="黑体"/>
          <w:b/>
          <w:color w:val="auto"/>
          <w:sz w:val="24"/>
          <w:highlight w:val="none"/>
        </w:rPr>
      </w:pPr>
    </w:p>
    <w:p w14:paraId="66EEB3EF">
      <w:pPr>
        <w:spacing w:line="440" w:lineRule="exact"/>
        <w:rPr>
          <w:rFonts w:hint="eastAsia" w:ascii="黑体" w:hAnsi="华文楷体" w:eastAsia="黑体"/>
          <w:b/>
          <w:color w:val="auto"/>
          <w:sz w:val="24"/>
          <w:highlight w:val="none"/>
        </w:rPr>
      </w:pPr>
    </w:p>
    <w:p w14:paraId="6E79C897">
      <w:pPr>
        <w:pStyle w:val="13"/>
        <w:ind w:firstLine="0" w:firstLineChars="0"/>
        <w:rPr>
          <w:color w:val="auto"/>
          <w:highlight w:val="none"/>
        </w:rPr>
      </w:pPr>
    </w:p>
    <w:p w14:paraId="511130DB">
      <w:pPr>
        <w:spacing w:line="440" w:lineRule="exact"/>
        <w:rPr>
          <w:rFonts w:hint="eastAsia" w:ascii="黑体" w:hAnsi="华文楷体" w:eastAsia="黑体"/>
          <w:color w:val="auto"/>
          <w:sz w:val="24"/>
          <w:highlight w:val="none"/>
        </w:rPr>
      </w:pPr>
      <w:r>
        <w:rPr>
          <w:rFonts w:hint="eastAsia" w:ascii="黑体" w:hAnsi="华文楷体" w:eastAsia="黑体"/>
          <w:color w:val="auto"/>
          <w:sz w:val="24"/>
          <w:highlight w:val="none"/>
        </w:rPr>
        <w:t>公司名称（盖章）：          委托代理人（签字）：        报价日期：      年    月   日</w:t>
      </w:r>
    </w:p>
    <w:p w14:paraId="1B8C1FE5">
      <w:pPr>
        <w:rPr>
          <w:rFonts w:hint="eastAsia" w:ascii="黑体" w:hAnsi="华文楷体" w:eastAsia="黑体"/>
          <w:color w:val="auto"/>
          <w:szCs w:val="21"/>
          <w:highlight w:val="none"/>
        </w:rPr>
      </w:pPr>
    </w:p>
    <w:p w14:paraId="69B061F7">
      <w:pPr>
        <w:rPr>
          <w:rFonts w:hint="eastAsia" w:ascii="黑体" w:hAnsi="华文楷体" w:eastAsia="黑体"/>
          <w:color w:val="auto"/>
          <w:szCs w:val="21"/>
          <w:highlight w:val="none"/>
        </w:rPr>
      </w:pPr>
      <w:r>
        <w:rPr>
          <w:rFonts w:hint="eastAsia" w:ascii="黑体" w:hAnsi="华文楷体" w:eastAsia="黑体"/>
          <w:color w:val="auto"/>
          <w:szCs w:val="21"/>
          <w:highlight w:val="none"/>
        </w:rPr>
        <w:t>报价说明：1、报价公司提供的上述产品，应完全满足或者优于我校提出的需求。</w:t>
      </w:r>
    </w:p>
    <w:p w14:paraId="2EAB2F67">
      <w:pPr>
        <w:rPr>
          <w:rFonts w:hint="eastAsia" w:ascii="黑体" w:hAnsi="华文楷体" w:eastAsia="黑体"/>
          <w:color w:val="auto"/>
          <w:szCs w:val="21"/>
          <w:highlight w:val="none"/>
        </w:rPr>
      </w:pPr>
      <w:r>
        <w:rPr>
          <w:rFonts w:hint="eastAsia" w:ascii="黑体" w:hAnsi="华文楷体" w:eastAsia="黑体"/>
          <w:color w:val="auto"/>
          <w:szCs w:val="21"/>
          <w:highlight w:val="none"/>
        </w:rPr>
        <w:t xml:space="preserve">          2、如属非标配产品，其技术指标（特别是优于我校需求的部分）请另行附页说明。</w:t>
      </w:r>
    </w:p>
    <w:p w14:paraId="784640C1">
      <w:pPr>
        <w:rPr>
          <w:rFonts w:hint="eastAsia" w:ascii="黑体" w:hAnsi="华文楷体" w:eastAsia="黑体"/>
          <w:color w:val="auto"/>
          <w:szCs w:val="21"/>
          <w:highlight w:val="none"/>
        </w:rPr>
      </w:pPr>
      <w:r>
        <w:rPr>
          <w:rFonts w:hint="eastAsia" w:ascii="黑体" w:hAnsi="华文楷体" w:eastAsia="黑体"/>
          <w:color w:val="auto"/>
          <w:szCs w:val="21"/>
          <w:highlight w:val="none"/>
        </w:rPr>
        <w:t xml:space="preserve">          3、特殊的售后服务措施、代理证明情况等需要说明的，请另行附页说明。</w:t>
      </w:r>
    </w:p>
    <w:p w14:paraId="3A2F311D">
      <w:pPr>
        <w:rPr>
          <w:rFonts w:hint="eastAsia" w:ascii="黑体" w:hAnsi="华文楷体" w:eastAsia="黑体"/>
          <w:color w:val="auto"/>
          <w:szCs w:val="21"/>
          <w:highlight w:val="none"/>
        </w:rPr>
      </w:pPr>
      <w:r>
        <w:rPr>
          <w:rFonts w:hint="eastAsia" w:ascii="黑体" w:hAnsi="华文楷体" w:eastAsia="黑体"/>
          <w:color w:val="auto"/>
          <w:szCs w:val="21"/>
          <w:highlight w:val="none"/>
        </w:rPr>
        <w:t xml:space="preserve">          4、报价单附页（如有）共</w:t>
      </w:r>
      <w:r>
        <w:rPr>
          <w:rFonts w:hint="eastAsia" w:ascii="黑体" w:hAnsi="华文楷体" w:eastAsia="黑体"/>
          <w:color w:val="auto"/>
          <w:szCs w:val="21"/>
          <w:highlight w:val="none"/>
          <w:u w:val="single"/>
        </w:rPr>
        <w:t xml:space="preserve">      </w:t>
      </w:r>
      <w:r>
        <w:rPr>
          <w:rFonts w:hint="eastAsia" w:ascii="黑体" w:hAnsi="华文楷体" w:eastAsia="黑体"/>
          <w:color w:val="auto"/>
          <w:szCs w:val="21"/>
          <w:highlight w:val="none"/>
        </w:rPr>
        <w:t>页。</w:t>
      </w:r>
    </w:p>
    <w:p w14:paraId="3F7BE8E5">
      <w:pPr>
        <w:rPr>
          <w:rFonts w:hint="eastAsia"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rPr>
        <w:br w:type="page"/>
      </w:r>
    </w:p>
    <w:p w14:paraId="0FA27E59">
      <w:pPr>
        <w:spacing w:after="157" w:afterLines="50"/>
        <w:jc w:val="center"/>
        <w:rPr>
          <w:rFonts w:hint="eastAsia"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rPr>
        <w:t>报价承诺函</w:t>
      </w:r>
    </w:p>
    <w:p w14:paraId="67D5D80C">
      <w:pPr>
        <w:spacing w:after="157" w:afterLines="50"/>
        <w:rPr>
          <w:rFonts w:hint="eastAsia" w:ascii="仿宋" w:hAnsi="仿宋" w:eastAsia="仿宋" w:cs="宋体"/>
          <w:color w:val="auto"/>
          <w:sz w:val="24"/>
          <w:highlight w:val="none"/>
        </w:rPr>
      </w:pPr>
      <w:r>
        <w:rPr>
          <w:rFonts w:hint="eastAsia" w:ascii="仿宋" w:hAnsi="仿宋" w:eastAsia="仿宋" w:cs="宋体"/>
          <w:color w:val="auto"/>
          <w:sz w:val="24"/>
          <w:highlight w:val="none"/>
          <w:lang w:val="zh-CN"/>
        </w:rPr>
        <w:t>致：</w:t>
      </w:r>
      <w:r>
        <w:rPr>
          <w:rFonts w:hint="eastAsia" w:ascii="仿宋" w:hAnsi="仿宋" w:eastAsia="仿宋" w:cs="宋体"/>
          <w:color w:val="auto"/>
          <w:sz w:val="24"/>
          <w:highlight w:val="none"/>
        </w:rPr>
        <w:t>上海海事大学</w:t>
      </w:r>
    </w:p>
    <w:p w14:paraId="11CE3BA6">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lang w:val="zh-CN"/>
        </w:rPr>
        <w:t>我</w:t>
      </w:r>
      <w:r>
        <w:rPr>
          <w:rFonts w:ascii="仿宋" w:hAnsi="仿宋" w:eastAsia="仿宋" w:cs="宋体"/>
          <w:color w:val="auto"/>
          <w:sz w:val="24"/>
          <w:highlight w:val="none"/>
          <w:lang w:val="zh-CN"/>
        </w:rPr>
        <w:t>公司在参加本次</w:t>
      </w:r>
      <w:r>
        <w:rPr>
          <w:rFonts w:hint="eastAsia" w:ascii="仿宋" w:hAnsi="仿宋" w:eastAsia="仿宋" w:cs="宋体"/>
          <w:color w:val="auto"/>
          <w:sz w:val="24"/>
          <w:highlight w:val="none"/>
        </w:rPr>
        <w:t>比选采购</w:t>
      </w:r>
      <w:r>
        <w:rPr>
          <w:rFonts w:ascii="仿宋" w:hAnsi="仿宋" w:eastAsia="仿宋" w:cs="宋体"/>
          <w:color w:val="auto"/>
          <w:sz w:val="24"/>
          <w:highlight w:val="none"/>
          <w:lang w:val="zh-CN"/>
        </w:rPr>
        <w:t>活动中，</w:t>
      </w:r>
      <w:r>
        <w:rPr>
          <w:rFonts w:hint="eastAsia" w:ascii="仿宋" w:hAnsi="仿宋" w:eastAsia="仿宋" w:cs="宋体"/>
          <w:color w:val="auto"/>
          <w:sz w:val="24"/>
          <w:highlight w:val="none"/>
          <w:lang w:val="zh-CN"/>
        </w:rPr>
        <w:t>作出如下</w:t>
      </w:r>
      <w:r>
        <w:rPr>
          <w:rFonts w:ascii="仿宋" w:hAnsi="仿宋" w:eastAsia="仿宋" w:cs="宋体"/>
          <w:color w:val="auto"/>
          <w:sz w:val="24"/>
          <w:highlight w:val="none"/>
          <w:lang w:val="zh-CN"/>
        </w:rPr>
        <w:t>承诺：</w:t>
      </w:r>
    </w:p>
    <w:p w14:paraId="2FD30960">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lang w:val="zh-CN"/>
        </w:rPr>
        <w:t>一、</w:t>
      </w:r>
      <w:r>
        <w:rPr>
          <w:rFonts w:hint="eastAsia" w:ascii="仿宋" w:hAnsi="仿宋" w:eastAsia="仿宋" w:cs="宋体"/>
          <w:color w:val="auto"/>
          <w:sz w:val="24"/>
          <w:highlight w:val="none"/>
        </w:rPr>
        <w:t>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具备独立法人资格，能够独立承担民事责任。</w:t>
      </w:r>
    </w:p>
    <w:p w14:paraId="4E1B78F2">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二、我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财务状况良好，具备履行合同所需资金实力。</w:t>
      </w:r>
    </w:p>
    <w:p w14:paraId="0EFBCA49">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三、我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拥有履行项目所需的专业技术人员和先进的生产设备。</w:t>
      </w:r>
    </w:p>
    <w:p w14:paraId="6C8C1B59">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四、我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依法纳税，并按时缴纳社会保险费。</w:t>
      </w:r>
    </w:p>
    <w:p w14:paraId="56021473">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五、我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在最近三年内无任何违法违规行为，信誉良好。</w:t>
      </w:r>
    </w:p>
    <w:p w14:paraId="28D76801">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六、我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完全符合政府采购法及其他相关法律法规的规定。</w:t>
      </w:r>
    </w:p>
    <w:p w14:paraId="6ABDBB3D">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七</w:t>
      </w:r>
      <w:r>
        <w:rPr>
          <w:rFonts w:hint="eastAsia" w:ascii="仿宋" w:hAnsi="仿宋" w:eastAsia="仿宋" w:cs="宋体"/>
          <w:color w:val="auto"/>
          <w:sz w:val="24"/>
          <w:highlight w:val="none"/>
          <w:lang w:val="zh-CN"/>
        </w:rPr>
        <w:t>、</w:t>
      </w:r>
      <w:r>
        <w:rPr>
          <w:rFonts w:hint="eastAsia" w:ascii="仿宋" w:hAnsi="仿宋" w:eastAsia="仿宋" w:cs="宋体"/>
          <w:color w:val="auto"/>
          <w:sz w:val="24"/>
          <w:highlight w:val="none"/>
        </w:rPr>
        <w:t>我</w:t>
      </w:r>
      <w:r>
        <w:rPr>
          <w:rFonts w:hint="eastAsia" w:ascii="仿宋" w:hAnsi="仿宋" w:eastAsia="仿宋" w:cs="宋体"/>
          <w:color w:val="auto"/>
          <w:sz w:val="24"/>
          <w:highlight w:val="none"/>
          <w:lang w:val="zh-CN"/>
        </w:rPr>
        <w:t>公司提供的相关文件均真实、有效。</w:t>
      </w:r>
    </w:p>
    <w:p w14:paraId="0BC4FAF0">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八、我</w:t>
      </w:r>
      <w:r>
        <w:rPr>
          <w:rFonts w:hint="eastAsia" w:ascii="仿宋" w:hAnsi="仿宋" w:eastAsia="仿宋" w:cs="宋体"/>
          <w:color w:val="auto"/>
          <w:sz w:val="24"/>
          <w:highlight w:val="none"/>
          <w:lang w:val="zh-CN"/>
        </w:rPr>
        <w:t>公司未挂靠、借用资质进行投标等违法违规行为。</w:t>
      </w:r>
    </w:p>
    <w:p w14:paraId="1EDB929F">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九、</w:t>
      </w:r>
      <w:r>
        <w:rPr>
          <w:rFonts w:hint="eastAsia" w:ascii="仿宋" w:hAnsi="仿宋" w:eastAsia="仿宋" w:cs="宋体"/>
          <w:color w:val="auto"/>
          <w:sz w:val="24"/>
          <w:highlight w:val="none"/>
          <w:lang w:val="zh-CN"/>
        </w:rPr>
        <w:t>我公司承诺在参加本</w:t>
      </w:r>
      <w:r>
        <w:rPr>
          <w:rFonts w:hint="eastAsia" w:ascii="仿宋" w:hAnsi="仿宋" w:eastAsia="仿宋" w:cs="宋体"/>
          <w:color w:val="auto"/>
          <w:sz w:val="24"/>
          <w:highlight w:val="none"/>
        </w:rPr>
        <w:t>次</w:t>
      </w:r>
      <w:r>
        <w:rPr>
          <w:rFonts w:hint="eastAsia" w:ascii="仿宋" w:hAnsi="仿宋" w:eastAsia="仿宋" w:cs="宋体"/>
          <w:color w:val="auto"/>
          <w:sz w:val="24"/>
          <w:highlight w:val="none"/>
          <w:lang w:val="zh-CN"/>
        </w:rPr>
        <w:t>采购活动中，</w:t>
      </w:r>
      <w:r>
        <w:rPr>
          <w:rFonts w:hint="eastAsia" w:ascii="仿宋" w:hAnsi="仿宋" w:eastAsia="仿宋" w:cs="宋体"/>
          <w:color w:val="auto"/>
          <w:sz w:val="24"/>
          <w:highlight w:val="none"/>
        </w:rPr>
        <w:t>不存在串标围标行为</w:t>
      </w:r>
      <w:r>
        <w:rPr>
          <w:rFonts w:hint="eastAsia" w:ascii="仿宋" w:hAnsi="仿宋" w:eastAsia="仿宋" w:cs="宋体"/>
          <w:color w:val="auto"/>
          <w:sz w:val="24"/>
          <w:highlight w:val="none"/>
          <w:lang w:val="zh-CN"/>
        </w:rPr>
        <w:t>，</w:t>
      </w:r>
      <w:r>
        <w:rPr>
          <w:rFonts w:hint="eastAsia" w:ascii="仿宋" w:hAnsi="仿宋" w:eastAsia="仿宋" w:cs="宋体"/>
          <w:color w:val="auto"/>
          <w:sz w:val="24"/>
          <w:highlight w:val="none"/>
        </w:rPr>
        <w:t>不存在</w:t>
      </w:r>
      <w:r>
        <w:rPr>
          <w:rFonts w:hint="eastAsia" w:ascii="仿宋" w:hAnsi="仿宋" w:eastAsia="仿宋" w:cs="宋体"/>
          <w:color w:val="auto"/>
          <w:sz w:val="24"/>
          <w:highlight w:val="none"/>
          <w:lang w:val="zh-CN"/>
        </w:rPr>
        <w:t>损害</w:t>
      </w:r>
      <w:r>
        <w:rPr>
          <w:rFonts w:hint="eastAsia" w:ascii="仿宋" w:hAnsi="仿宋" w:eastAsia="仿宋" w:cs="宋体"/>
          <w:color w:val="auto"/>
          <w:sz w:val="24"/>
          <w:highlight w:val="none"/>
        </w:rPr>
        <w:t>校方</w:t>
      </w:r>
      <w:r>
        <w:rPr>
          <w:rFonts w:hint="eastAsia" w:ascii="仿宋" w:hAnsi="仿宋" w:eastAsia="仿宋" w:cs="宋体"/>
          <w:color w:val="auto"/>
          <w:sz w:val="24"/>
          <w:highlight w:val="none"/>
          <w:lang w:val="zh-CN"/>
        </w:rPr>
        <w:t>或者其他</w:t>
      </w:r>
      <w:r>
        <w:rPr>
          <w:rFonts w:hint="eastAsia" w:ascii="仿宋" w:hAnsi="仿宋" w:eastAsia="仿宋" w:cs="宋体"/>
          <w:color w:val="auto"/>
          <w:sz w:val="24"/>
          <w:highlight w:val="none"/>
        </w:rPr>
        <w:t>报价单位</w:t>
      </w:r>
      <w:r>
        <w:rPr>
          <w:rFonts w:hint="eastAsia" w:ascii="仿宋" w:hAnsi="仿宋" w:eastAsia="仿宋" w:cs="宋体"/>
          <w:color w:val="auto"/>
          <w:sz w:val="24"/>
          <w:highlight w:val="none"/>
          <w:lang w:val="zh-CN"/>
        </w:rPr>
        <w:t>利益的行为。</w:t>
      </w:r>
    </w:p>
    <w:p w14:paraId="68949189">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十、</w:t>
      </w:r>
      <w:r>
        <w:rPr>
          <w:rFonts w:hint="eastAsia" w:ascii="仿宋" w:hAnsi="仿宋" w:eastAsia="仿宋" w:cs="宋体"/>
          <w:color w:val="auto"/>
          <w:sz w:val="24"/>
          <w:highlight w:val="none"/>
          <w:lang w:val="zh-CN"/>
        </w:rPr>
        <w:t>我</w:t>
      </w:r>
      <w:r>
        <w:rPr>
          <w:rFonts w:hint="eastAsia" w:ascii="仿宋" w:hAnsi="仿宋" w:eastAsia="仿宋" w:cs="宋体"/>
          <w:color w:val="auto"/>
          <w:sz w:val="24"/>
          <w:highlight w:val="none"/>
        </w:rPr>
        <w:t>公司管理层中</w:t>
      </w:r>
      <w:r>
        <w:rPr>
          <w:rFonts w:hint="eastAsia" w:ascii="仿宋" w:hAnsi="仿宋" w:eastAsia="仿宋" w:cs="宋体"/>
          <w:color w:val="auto"/>
          <w:sz w:val="24"/>
          <w:highlight w:val="none"/>
          <w:lang w:val="zh-CN"/>
        </w:rPr>
        <w:t>没有从</w:t>
      </w:r>
      <w:r>
        <w:rPr>
          <w:rFonts w:hint="eastAsia" w:ascii="仿宋" w:hAnsi="仿宋" w:eastAsia="仿宋" w:cs="宋体"/>
          <w:color w:val="auto"/>
          <w:sz w:val="24"/>
          <w:highlight w:val="none"/>
        </w:rPr>
        <w:t>贵校</w:t>
      </w:r>
      <w:r>
        <w:rPr>
          <w:rFonts w:hint="eastAsia" w:ascii="仿宋" w:hAnsi="仿宋" w:eastAsia="仿宋" w:cs="宋体"/>
          <w:color w:val="auto"/>
          <w:sz w:val="24"/>
          <w:highlight w:val="none"/>
          <w:lang w:val="zh-CN"/>
        </w:rPr>
        <w:t>离职或退休3年以内的人员担任控股股东或实际控股人、董事、监事，也没有聘用从</w:t>
      </w:r>
      <w:r>
        <w:rPr>
          <w:rFonts w:hint="eastAsia" w:ascii="仿宋" w:hAnsi="仿宋" w:eastAsia="仿宋" w:cs="宋体"/>
          <w:color w:val="auto"/>
          <w:sz w:val="24"/>
          <w:highlight w:val="none"/>
        </w:rPr>
        <w:t>贵校</w:t>
      </w:r>
      <w:r>
        <w:rPr>
          <w:rFonts w:hint="eastAsia" w:ascii="仿宋" w:hAnsi="仿宋" w:eastAsia="仿宋" w:cs="宋体"/>
          <w:color w:val="auto"/>
          <w:sz w:val="24"/>
          <w:highlight w:val="none"/>
          <w:lang w:val="zh-CN"/>
        </w:rPr>
        <w:t>离职或退休3年以内的人员。</w:t>
      </w:r>
    </w:p>
    <w:p w14:paraId="26A02251">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我公司保证上述声明真实无误，如有不实，愿承担相应法律责任。</w:t>
      </w:r>
    </w:p>
    <w:p w14:paraId="68514654">
      <w:pPr>
        <w:spacing w:after="157" w:afterLines="50"/>
        <w:rPr>
          <w:rFonts w:hint="eastAsia" w:ascii="仿宋" w:hAnsi="仿宋" w:eastAsia="仿宋" w:cs="宋体"/>
          <w:color w:val="auto"/>
          <w:sz w:val="24"/>
          <w:highlight w:val="none"/>
          <w:lang w:val="zh-CN"/>
        </w:rPr>
      </w:pPr>
    </w:p>
    <w:p w14:paraId="1103FA9B">
      <w:pPr>
        <w:spacing w:after="157" w:afterLines="50"/>
        <w:rPr>
          <w:rFonts w:hint="eastAsia" w:ascii="黑体" w:hAnsi="华文楷体" w:eastAsia="黑体"/>
          <w:b/>
          <w:bCs/>
          <w:color w:val="auto"/>
          <w:sz w:val="32"/>
          <w:szCs w:val="32"/>
          <w:highlight w:val="none"/>
        </w:rPr>
      </w:pPr>
      <w:r>
        <w:rPr>
          <w:rFonts w:hint="eastAsia" w:ascii="黑体" w:hAnsi="华文楷体" w:eastAsia="黑体"/>
          <w:color w:val="auto"/>
          <w:sz w:val="24"/>
          <w:highlight w:val="none"/>
        </w:rPr>
        <w:t>公司名称（盖章）：                              委托代理人（签字）：</w:t>
      </w:r>
    </w:p>
    <w:p w14:paraId="60B1C9F9">
      <w:pPr>
        <w:pStyle w:val="7"/>
        <w:rPr>
          <w:rFonts w:ascii="方正兰亭黑简体" w:hAnsi="方正兰亭黑简体" w:eastAsia="方正兰亭黑简体" w:cs="方正兰亭黑简体"/>
          <w:color w:val="auto"/>
          <w:sz w:val="22"/>
          <w:szCs w:val="28"/>
          <w:highlight w:val="none"/>
        </w:rPr>
      </w:pPr>
    </w:p>
    <w:p w14:paraId="1F9E421B">
      <w:pPr>
        <w:pStyle w:val="7"/>
        <w:rPr>
          <w:rFonts w:ascii="方正兰亭黑简体" w:hAnsi="方正兰亭黑简体" w:eastAsia="方正兰亭黑简体" w:cs="方正兰亭黑简体"/>
          <w:color w:val="auto"/>
          <w:sz w:val="22"/>
          <w:szCs w:val="28"/>
          <w:highlight w:val="none"/>
        </w:rPr>
      </w:pPr>
    </w:p>
    <w:p w14:paraId="155AC7D3">
      <w:pPr>
        <w:jc w:val="left"/>
        <w:rPr>
          <w:rFonts w:ascii="方正兰亭黑简体" w:hAnsi="方正兰亭黑简体" w:eastAsia="方正兰亭黑简体" w:cs="方正兰亭黑简体"/>
          <w:color w:val="auto"/>
          <w:sz w:val="22"/>
          <w:szCs w:val="28"/>
          <w:highlight w:val="none"/>
        </w:rPr>
        <w:sectPr>
          <w:pgSz w:w="11906" w:h="16838"/>
          <w:pgMar w:top="1440" w:right="1083" w:bottom="1440" w:left="1083" w:header="851" w:footer="992" w:gutter="0"/>
          <w:cols w:space="0" w:num="1"/>
          <w:docGrid w:type="lines" w:linePitch="314" w:charSpace="0"/>
        </w:sectPr>
      </w:pPr>
    </w:p>
    <w:p w14:paraId="56B09E1A">
      <w:pPr>
        <w:jc w:val="left"/>
        <w:rPr>
          <w:rFonts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附件2：其他材料</w:t>
      </w:r>
    </w:p>
    <w:p w14:paraId="50AE2AFA">
      <w:pPr>
        <w:pStyle w:val="6"/>
        <w:ind w:left="0" w:leftChars="0"/>
        <w:rPr>
          <w:color w:val="auto"/>
          <w:highlight w:val="none"/>
        </w:rPr>
      </w:pPr>
      <w:r>
        <w:rPr>
          <w:rFonts w:hint="eastAsia" w:ascii="方正兰亭黑简体" w:hAnsi="方正兰亭黑简体" w:eastAsia="方正兰亭黑简体" w:cs="方正兰亭黑简体"/>
          <w:color w:val="auto"/>
          <w:sz w:val="22"/>
          <w:szCs w:val="28"/>
          <w:highlight w:val="none"/>
        </w:rPr>
        <w:t>包括但不限于：</w:t>
      </w:r>
    </w:p>
    <w:p w14:paraId="44B3A95D">
      <w:pPr>
        <w:pStyle w:val="6"/>
        <w:ind w:left="0" w:leftChars="0"/>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1、营业执照扫描件</w:t>
      </w:r>
    </w:p>
    <w:p w14:paraId="3B7527E2">
      <w:pPr>
        <w:pStyle w:val="6"/>
        <w:ind w:left="0" w:leftChars="0"/>
        <w:rPr>
          <w:rFonts w:ascii="方正兰亭黑简体" w:hAnsi="方正兰亭黑简体" w:eastAsia="方正兰亭黑简体" w:cs="方正兰亭黑简体"/>
          <w:color w:val="auto"/>
          <w:sz w:val="22"/>
          <w:szCs w:val="28"/>
          <w:highlight w:val="none"/>
        </w:rPr>
      </w:pPr>
      <w:r>
        <w:rPr>
          <w:rFonts w:ascii="方正兰亭黑简体" w:hAnsi="方正兰亭黑简体" w:eastAsia="方正兰亭黑简体" w:cs="方正兰亭黑简体"/>
          <w:color w:val="auto"/>
          <w:sz w:val="22"/>
          <w:szCs w:val="28"/>
          <w:highlight w:val="none"/>
        </w:rPr>
        <w:t>2、</w:t>
      </w:r>
      <w:r>
        <w:rPr>
          <w:rFonts w:hint="eastAsia" w:ascii="方正兰亭黑简体" w:hAnsi="方正兰亭黑简体" w:eastAsia="方正兰亭黑简体" w:cs="方正兰亭黑简体"/>
          <w:color w:val="auto"/>
          <w:sz w:val="22"/>
          <w:szCs w:val="28"/>
          <w:highlight w:val="none"/>
        </w:rPr>
        <w:t>产品资料（产品参数及性能）</w:t>
      </w:r>
    </w:p>
    <w:p w14:paraId="1887CD70">
      <w:pPr>
        <w:pStyle w:val="6"/>
        <w:ind w:left="0" w:leftChars="0"/>
        <w:rPr>
          <w:rFonts w:ascii="方正兰亭黑简体" w:hAnsi="方正兰亭黑简体" w:eastAsia="方正兰亭黑简体" w:cs="方正兰亭黑简体"/>
          <w:color w:val="auto"/>
          <w:sz w:val="22"/>
          <w:szCs w:val="28"/>
          <w:highlight w:val="none"/>
        </w:rPr>
      </w:pPr>
      <w:r>
        <w:rPr>
          <w:rFonts w:ascii="方正兰亭黑简体" w:hAnsi="方正兰亭黑简体" w:eastAsia="方正兰亭黑简体" w:cs="方正兰亭黑简体"/>
          <w:color w:val="auto"/>
          <w:sz w:val="22"/>
          <w:szCs w:val="28"/>
          <w:highlight w:val="none"/>
        </w:rPr>
        <w:t>3、</w:t>
      </w:r>
      <w:r>
        <w:rPr>
          <w:rFonts w:hint="eastAsia" w:ascii="方正兰亭黑简体" w:hAnsi="方正兰亭黑简体" w:eastAsia="方正兰亭黑简体" w:cs="方正兰亭黑简体"/>
          <w:color w:val="auto"/>
          <w:sz w:val="22"/>
          <w:szCs w:val="28"/>
          <w:highlight w:val="none"/>
        </w:rPr>
        <w:t>实施计划</w:t>
      </w:r>
    </w:p>
    <w:p w14:paraId="2CE10E57">
      <w:pPr>
        <w:pStyle w:val="6"/>
        <w:ind w:left="0" w:leftChars="0"/>
        <w:rPr>
          <w:rFonts w:ascii="方正兰亭黑简体" w:hAnsi="方正兰亭黑简体" w:eastAsia="方正兰亭黑简体" w:cs="方正兰亭黑简体"/>
          <w:color w:val="auto"/>
          <w:sz w:val="22"/>
          <w:szCs w:val="28"/>
          <w:highlight w:val="none"/>
        </w:rPr>
      </w:pPr>
      <w:r>
        <w:rPr>
          <w:rFonts w:ascii="方正兰亭黑简体" w:hAnsi="方正兰亭黑简体" w:eastAsia="方正兰亭黑简体" w:cs="方正兰亭黑简体"/>
          <w:color w:val="auto"/>
          <w:sz w:val="22"/>
          <w:szCs w:val="28"/>
          <w:highlight w:val="none"/>
        </w:rPr>
        <w:t>4、</w:t>
      </w:r>
      <w:r>
        <w:rPr>
          <w:rFonts w:hint="eastAsia" w:ascii="方正兰亭黑简体" w:hAnsi="方正兰亭黑简体" w:eastAsia="方正兰亭黑简体" w:cs="方正兰亭黑简体"/>
          <w:color w:val="auto"/>
          <w:sz w:val="22"/>
          <w:szCs w:val="28"/>
          <w:highlight w:val="none"/>
        </w:rPr>
        <w:t>售后方案</w:t>
      </w:r>
    </w:p>
    <w:p w14:paraId="50EFF27A">
      <w:pPr>
        <w:pStyle w:val="6"/>
        <w:ind w:left="0" w:leftChars="0"/>
        <w:rPr>
          <w:rFonts w:ascii="方正兰亭黑简体" w:hAnsi="方正兰亭黑简体" w:eastAsia="方正兰亭黑简体" w:cs="方正兰亭黑简体"/>
          <w:color w:val="auto"/>
          <w:sz w:val="22"/>
          <w:szCs w:val="28"/>
          <w:highlight w:val="none"/>
        </w:rPr>
      </w:pPr>
      <w:r>
        <w:rPr>
          <w:rFonts w:ascii="方正兰亭黑简体" w:hAnsi="方正兰亭黑简体" w:eastAsia="方正兰亭黑简体" w:cs="方正兰亭黑简体"/>
          <w:color w:val="auto"/>
          <w:sz w:val="22"/>
          <w:szCs w:val="28"/>
          <w:highlight w:val="none"/>
        </w:rPr>
        <w:t>5、</w:t>
      </w:r>
      <w:r>
        <w:rPr>
          <w:rFonts w:hint="eastAsia" w:ascii="方正兰亭黑简体" w:hAnsi="方正兰亭黑简体" w:eastAsia="方正兰亭黑简体" w:cs="方正兰亭黑简体"/>
          <w:color w:val="auto"/>
          <w:sz w:val="22"/>
          <w:szCs w:val="28"/>
          <w:highlight w:val="none"/>
        </w:rPr>
        <w:t>业绩案例</w:t>
      </w:r>
    </w:p>
    <w:p w14:paraId="2036081E">
      <w:pPr>
        <w:pStyle w:val="6"/>
        <w:ind w:left="0" w:leftChars="0"/>
        <w:rPr>
          <w:rFonts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6、其他所必需的相关材料</w:t>
      </w:r>
    </w:p>
    <w:sectPr>
      <w:pgSz w:w="11906" w:h="16838"/>
      <w:pgMar w:top="1440" w:right="1083" w:bottom="1440" w:left="1083" w:header="851" w:footer="992" w:gutter="0"/>
      <w:cols w:space="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27012A1-1DEB-4C89-9067-255D48881DD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Times NR MT Pro Medium">
    <w:panose1 w:val="0201060001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兰亭黑简体">
    <w:panose1 w:val="02000000000000000000"/>
    <w:charset w:val="86"/>
    <w:family w:val="auto"/>
    <w:pitch w:val="default"/>
    <w:sig w:usb0="A00002BF" w:usb1="184F6CFA" w:usb2="00000012" w:usb3="00000000" w:csb0="00040001" w:csb1="00000000"/>
    <w:embedRegular r:id="rId2" w:fontKey="{50975DD7-E665-47C9-B2B0-676883B42B89}"/>
  </w:font>
  <w:font w:name="华文楷体">
    <w:panose1 w:val="02010600040101010101"/>
    <w:charset w:val="86"/>
    <w:family w:val="auto"/>
    <w:pitch w:val="default"/>
    <w:sig w:usb0="A00002BF" w:usb1="78CF7CFB" w:usb2="00000016" w:usb3="00000000" w:csb0="6006009F" w:csb1="DFD70000"/>
    <w:embedRegular r:id="rId3" w:fontKey="{BCAB67DD-4CAA-4E3A-B1E8-4A1E376B3C6F}"/>
  </w:font>
  <w:font w:name="方正仿宋_GB2312">
    <w:panose1 w:val="02000000000000000000"/>
    <w:charset w:val="86"/>
    <w:family w:val="auto"/>
    <w:pitch w:val="default"/>
    <w:sig w:usb0="A00002BF" w:usb1="184F6CFA" w:usb2="00000012" w:usb3="00000000" w:csb0="00040001" w:csb1="00000000"/>
    <w:embedRegular r:id="rId4" w:fontKey="{7035BFA5-BDC4-4451-8134-D79770250F0E}"/>
  </w:font>
  <w:font w:name="仿宋">
    <w:panose1 w:val="02010609060101010101"/>
    <w:charset w:val="86"/>
    <w:family w:val="modern"/>
    <w:pitch w:val="default"/>
    <w:sig w:usb0="800002BF" w:usb1="38CF7CFA" w:usb2="00000016" w:usb3="00000000" w:csb0="00040001" w:csb1="00000000"/>
    <w:embedRegular r:id="rId5" w:fontKey="{41FD40FA-B3C2-474E-9F1E-173C1060C03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9294C">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7437F7">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7437F7">
                    <w:pPr>
                      <w:pStyle w:val="8"/>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14</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722401"/>
    <w:multiLevelType w:val="multilevel"/>
    <w:tmpl w:val="17722401"/>
    <w:lvl w:ilvl="0" w:tentative="0">
      <w:start w:val="1"/>
      <w:numFmt w:val="japaneseCounting"/>
      <w:pStyle w:val="2"/>
      <w:lvlText w:val="%1、"/>
      <w:lvlJc w:val="left"/>
      <w:pPr>
        <w:ind w:left="464" w:hanging="720"/>
      </w:pPr>
      <w:rPr>
        <w:rFonts w:hint="default"/>
      </w:rPr>
    </w:lvl>
    <w:lvl w:ilvl="1" w:tentative="0">
      <w:start w:val="1"/>
      <w:numFmt w:val="decimalEnclosedCircle"/>
      <w:lvlText w:val="%2"/>
      <w:lvlJc w:val="left"/>
      <w:pPr>
        <w:ind w:left="544" w:hanging="360"/>
      </w:pPr>
      <w:rPr>
        <w:rFonts w:hint="default"/>
      </w:rPr>
    </w:lvl>
    <w:lvl w:ilvl="2" w:tentative="0">
      <w:start w:val="1"/>
      <w:numFmt w:val="lowerRoman"/>
      <w:lvlText w:val="%3."/>
      <w:lvlJc w:val="right"/>
      <w:pPr>
        <w:ind w:left="1064" w:hanging="440"/>
      </w:pPr>
    </w:lvl>
    <w:lvl w:ilvl="3" w:tentative="0">
      <w:start w:val="1"/>
      <w:numFmt w:val="decimal"/>
      <w:lvlText w:val="%4."/>
      <w:lvlJc w:val="left"/>
      <w:pPr>
        <w:ind w:left="1504" w:hanging="440"/>
      </w:pPr>
    </w:lvl>
    <w:lvl w:ilvl="4" w:tentative="0">
      <w:start w:val="1"/>
      <w:numFmt w:val="lowerLetter"/>
      <w:lvlText w:val="%5)"/>
      <w:lvlJc w:val="left"/>
      <w:pPr>
        <w:ind w:left="1944" w:hanging="440"/>
      </w:pPr>
    </w:lvl>
    <w:lvl w:ilvl="5" w:tentative="0">
      <w:start w:val="1"/>
      <w:numFmt w:val="lowerRoman"/>
      <w:lvlText w:val="%6."/>
      <w:lvlJc w:val="right"/>
      <w:pPr>
        <w:ind w:left="2384" w:hanging="440"/>
      </w:pPr>
    </w:lvl>
    <w:lvl w:ilvl="6" w:tentative="0">
      <w:start w:val="1"/>
      <w:numFmt w:val="decimal"/>
      <w:lvlText w:val="%7."/>
      <w:lvlJc w:val="left"/>
      <w:pPr>
        <w:ind w:left="2824" w:hanging="440"/>
      </w:pPr>
    </w:lvl>
    <w:lvl w:ilvl="7" w:tentative="0">
      <w:start w:val="1"/>
      <w:numFmt w:val="lowerLetter"/>
      <w:lvlText w:val="%8)"/>
      <w:lvlJc w:val="left"/>
      <w:pPr>
        <w:ind w:left="3264" w:hanging="440"/>
      </w:pPr>
    </w:lvl>
    <w:lvl w:ilvl="8" w:tentative="0">
      <w:start w:val="1"/>
      <w:numFmt w:val="lowerRoman"/>
      <w:lvlText w:val="%9."/>
      <w:lvlJc w:val="right"/>
      <w:pPr>
        <w:ind w:left="3704" w:hanging="440"/>
      </w:pPr>
    </w:lvl>
  </w:abstractNum>
  <w:abstractNum w:abstractNumId="1">
    <w:nsid w:val="6EE46474"/>
    <w:multiLevelType w:val="multilevel"/>
    <w:tmpl w:val="6EE46474"/>
    <w:lvl w:ilvl="0" w:tentative="0">
      <w:start w:val="1"/>
      <w:numFmt w:val="decimal"/>
      <w:lvlText w:val="%1"/>
      <w:lvlJc w:val="left"/>
      <w:pPr>
        <w:ind w:left="425" w:hanging="425"/>
      </w:pPr>
      <w:rPr>
        <w:rFonts w:hint="eastAsia"/>
      </w:rPr>
    </w:lvl>
    <w:lvl w:ilvl="1" w:tentative="0">
      <w:start w:val="1"/>
      <w:numFmt w:val="decimal"/>
      <w:pStyle w:val="3"/>
      <w:lvlText w:val="%1.%2"/>
      <w:lvlJc w:val="left"/>
      <w:pPr>
        <w:ind w:left="992" w:hanging="567"/>
      </w:pPr>
      <w:rPr>
        <w:rFonts w:hint="eastAsia"/>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7"/>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B42"/>
    <w:rsid w:val="00200EA4"/>
    <w:rsid w:val="003E67ED"/>
    <w:rsid w:val="00493EDD"/>
    <w:rsid w:val="00575E0C"/>
    <w:rsid w:val="005F6449"/>
    <w:rsid w:val="00685A09"/>
    <w:rsid w:val="00AD1D97"/>
    <w:rsid w:val="00C703D2"/>
    <w:rsid w:val="00DE6B42"/>
    <w:rsid w:val="00EA6CF7"/>
    <w:rsid w:val="02675436"/>
    <w:rsid w:val="029C08D4"/>
    <w:rsid w:val="035A42B0"/>
    <w:rsid w:val="0875321F"/>
    <w:rsid w:val="09642E33"/>
    <w:rsid w:val="0B7B6E53"/>
    <w:rsid w:val="146C6B60"/>
    <w:rsid w:val="15285D7F"/>
    <w:rsid w:val="157E6317"/>
    <w:rsid w:val="15D04D45"/>
    <w:rsid w:val="1B307278"/>
    <w:rsid w:val="1D2B42FB"/>
    <w:rsid w:val="1DF9272E"/>
    <w:rsid w:val="22AA0589"/>
    <w:rsid w:val="24050543"/>
    <w:rsid w:val="25420F57"/>
    <w:rsid w:val="26C52776"/>
    <w:rsid w:val="2DAA3F84"/>
    <w:rsid w:val="2E691D1D"/>
    <w:rsid w:val="2FB07FD7"/>
    <w:rsid w:val="379231A1"/>
    <w:rsid w:val="3A774F92"/>
    <w:rsid w:val="3CFB52B6"/>
    <w:rsid w:val="3D6469F5"/>
    <w:rsid w:val="3DBA1AA2"/>
    <w:rsid w:val="3E5C4869"/>
    <w:rsid w:val="3FCC680A"/>
    <w:rsid w:val="41007DAA"/>
    <w:rsid w:val="45DB0FAA"/>
    <w:rsid w:val="480A63EB"/>
    <w:rsid w:val="4A2362AE"/>
    <w:rsid w:val="4AFC4A60"/>
    <w:rsid w:val="4CC21E26"/>
    <w:rsid w:val="4EFD134C"/>
    <w:rsid w:val="55CF5109"/>
    <w:rsid w:val="57117CB6"/>
    <w:rsid w:val="573107A3"/>
    <w:rsid w:val="58962837"/>
    <w:rsid w:val="5AEA704B"/>
    <w:rsid w:val="5CB31D19"/>
    <w:rsid w:val="5D66061F"/>
    <w:rsid w:val="5E8720EC"/>
    <w:rsid w:val="5EE9209B"/>
    <w:rsid w:val="62DD78C6"/>
    <w:rsid w:val="63DF4A20"/>
    <w:rsid w:val="684F045C"/>
    <w:rsid w:val="699E1F48"/>
    <w:rsid w:val="6C3138A4"/>
    <w:rsid w:val="6E3767B2"/>
    <w:rsid w:val="6FC06751"/>
    <w:rsid w:val="74FD108C"/>
    <w:rsid w:val="769D2894"/>
    <w:rsid w:val="794117F3"/>
    <w:rsid w:val="7B9E134C"/>
    <w:rsid w:val="7C2C43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numPr>
        <w:ilvl w:val="0"/>
        <w:numId w:val="1"/>
      </w:numPr>
      <w:spacing w:before="120" w:after="80"/>
      <w:ind w:firstLine="0"/>
      <w:outlineLvl w:val="0"/>
    </w:pPr>
    <w:rPr>
      <w:rFonts w:cs="Times NR MT Pro Medium" w:asciiTheme="majorHAnsi" w:hAnsiTheme="majorHAnsi"/>
      <w:b/>
      <w:bCs/>
      <w:sz w:val="28"/>
      <w:szCs w:val="48"/>
    </w:rPr>
  </w:style>
  <w:style w:type="paragraph" w:styleId="3">
    <w:name w:val="heading 2"/>
    <w:basedOn w:val="1"/>
    <w:next w:val="1"/>
    <w:unhideWhenUsed/>
    <w:qFormat/>
    <w:uiPriority w:val="9"/>
    <w:pPr>
      <w:numPr>
        <w:ilvl w:val="1"/>
        <w:numId w:val="2"/>
      </w:numPr>
      <w:spacing w:before="80" w:after="80"/>
      <w:ind w:firstLine="0"/>
      <w:outlineLvl w:val="1"/>
    </w:pPr>
    <w:rPr>
      <w:rFonts w:cs="Times NR MT Pro Medium" w:asciiTheme="majorHAnsi" w:hAnsiTheme="majorHAnsi"/>
      <w:b/>
      <w:bCs/>
      <w:color w:val="000000" w:themeColor="text1"/>
      <w:sz w:val="24"/>
      <w:szCs w:val="40"/>
      <w14:textFill>
        <w14:solidFill>
          <w14:schemeClr w14:val="tx1"/>
        </w14:solidFill>
      </w14:textFill>
    </w:rPr>
  </w:style>
  <w:style w:type="paragraph" w:styleId="4">
    <w:name w:val="heading 3"/>
    <w:basedOn w:val="1"/>
    <w:next w:val="1"/>
    <w:unhideWhenUsed/>
    <w:qFormat/>
    <w:uiPriority w:val="9"/>
    <w:pPr>
      <w:spacing w:before="160" w:after="80"/>
      <w:ind w:left="737"/>
      <w:outlineLvl w:val="2"/>
    </w:pPr>
    <w:rPr>
      <w:rFonts w:cs="Times NR MT Pro Medium" w:asciiTheme="majorHAnsi" w:hAnsiTheme="majorHAnsi"/>
      <w:sz w:val="24"/>
      <w:szCs w:val="32"/>
    </w:rPr>
  </w:style>
  <w:style w:type="character" w:default="1" w:styleId="16">
    <w:name w:val="Default Paragraph Font"/>
    <w:semiHidden/>
    <w:unhideWhenUsed/>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0"/>
    <w:pPr>
      <w:spacing w:after="120"/>
    </w:pPr>
  </w:style>
  <w:style w:type="paragraph" w:styleId="6">
    <w:name w:val="Body Text Indent"/>
    <w:basedOn w:val="1"/>
    <w:qFormat/>
    <w:uiPriority w:val="0"/>
    <w:pPr>
      <w:ind w:left="420" w:leftChars="200"/>
    </w:pPr>
  </w:style>
  <w:style w:type="paragraph" w:styleId="7">
    <w:name w:val="Plain Text"/>
    <w:basedOn w:val="1"/>
    <w:qFormat/>
    <w:uiPriority w:val="0"/>
    <w:rPr>
      <w:rFonts w:ascii="宋体" w:hAnsi="Courier New"/>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unhideWhenUsed/>
    <w:qFormat/>
    <w:uiPriority w:val="39"/>
    <w:rPr>
      <w:rFonts w:ascii="Calibri" w:hAnsi="Calibri" w:eastAsia="宋体" w:cs="Times New Roman"/>
    </w:rPr>
  </w:style>
  <w:style w:type="paragraph" w:styleId="11">
    <w:name w:val="Body Text Indent 3"/>
    <w:basedOn w:val="1"/>
    <w:qFormat/>
    <w:uiPriority w:val="0"/>
    <w:pPr>
      <w:ind w:firstLine="600" w:firstLineChars="200"/>
    </w:pPr>
    <w:rPr>
      <w:color w:val="FF0000"/>
      <w:sz w:val="30"/>
      <w:szCs w:val="20"/>
    </w:r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Body Text First Indent"/>
    <w:basedOn w:val="5"/>
    <w:qFormat/>
    <w:uiPriority w:val="0"/>
    <w:pPr>
      <w:widowControl/>
      <w:ind w:firstLine="420" w:firstLineChars="100"/>
      <w:jc w:val="left"/>
    </w:pPr>
    <w:rPr>
      <w:rFonts w:asci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22"/>
    <w:rPr>
      <w:b/>
      <w:bCs/>
    </w:rPr>
  </w:style>
  <w:style w:type="character" w:styleId="18">
    <w:name w:val="Hyperlink"/>
    <w:basedOn w:val="16"/>
    <w:unhideWhenUsed/>
    <w:qFormat/>
    <w:uiPriority w:val="99"/>
    <w:rPr>
      <w:color w:val="0000FF"/>
      <w:u w:val="single"/>
    </w:rPr>
  </w:style>
  <w:style w:type="paragraph" w:customStyle="1" w:styleId="19">
    <w:name w:val="列表段落1"/>
    <w:basedOn w:val="1"/>
    <w:qFormat/>
    <w:uiPriority w:val="0"/>
    <w:pPr>
      <w:ind w:firstLine="420" w:firstLineChars="200"/>
    </w:pPr>
  </w:style>
  <w:style w:type="paragraph" w:customStyle="1" w:styleId="20">
    <w:name w:val="Default"/>
    <w:qFormat/>
    <w:uiPriority w:val="0"/>
    <w:pPr>
      <w:widowControl w:val="0"/>
      <w:autoSpaceDE w:val="0"/>
      <w:autoSpaceDN w:val="0"/>
      <w:adjustRightInd w:val="0"/>
    </w:pPr>
    <w:rPr>
      <w:rFonts w:ascii="楷体" w:hAnsi="Times New Roman" w:eastAsia="楷体" w:cs="楷体"/>
      <w:color w:val="000000"/>
      <w:sz w:val="24"/>
      <w:szCs w:val="24"/>
      <w:lang w:val="en-US" w:eastAsia="zh-CN" w:bidi="ar-SA"/>
    </w:rPr>
  </w:style>
  <w:style w:type="character" w:customStyle="1" w:styleId="21">
    <w:name w:val="15"/>
    <w:basedOn w:val="16"/>
    <w:qFormat/>
    <w:uiPriority w:val="0"/>
    <w:rPr>
      <w:rFonts w:hint="default" w:ascii="Calibri" w:hAnsi="Calibri" w:cs="Calibri"/>
      <w:b/>
      <w:bCs/>
    </w:rPr>
  </w:style>
  <w:style w:type="paragraph" w:styleId="22">
    <w:name w:val="List Paragraph"/>
    <w:basedOn w:val="1"/>
    <w:qFormat/>
    <w:uiPriority w:val="34"/>
    <w:pPr>
      <w:ind w:left="720"/>
      <w:contextualSpacing/>
    </w:pPr>
  </w:style>
  <w:style w:type="character" w:customStyle="1" w:styleId="23">
    <w:name w:val="楷体 (中文) 楷体"/>
    <w:qFormat/>
    <w:uiPriority w:val="0"/>
    <w:rPr>
      <w:rFonts w:ascii="楷体" w:hAnsi="楷体" w:eastAsia="楷体"/>
      <w:kern w:val="1"/>
      <w:sz w:val="28"/>
    </w:rPr>
  </w:style>
  <w:style w:type="paragraph" w:customStyle="1" w:styleId="24">
    <w:name w:val="正文11"/>
    <w:basedOn w:val="1"/>
    <w:qFormat/>
    <w:uiPriority w:val="0"/>
    <w:pPr>
      <w:ind w:firstLine="560" w:firstLineChars="200"/>
    </w:pPr>
    <w:rPr>
      <w:rFonts w:ascii="宋体" w:hAnsi="宋体" w:eastAsia="宋体" w:cs="Times New Roman"/>
      <w:sz w:val="28"/>
      <w:szCs w:val="28"/>
    </w:rPr>
  </w:style>
  <w:style w:type="paragraph" w:customStyle="1" w:styleId="25">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2f7ca856-2137-494a-befd-fe64440449b4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22E8766</paraID>
      <start>0</start>
      <end>2</end>
      <status>unmodified</status>
      <modifiedWord/>
      <trackRevisions>false</trackRevisions>
    </reviewItem>
    <reviewItem>
      <errorID>0676cdce-adb8-4705-b3f3-605f21934779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6441606B</paraID>
      <start>0</start>
      <end>2</end>
      <status>unmodified</status>
      <modifiedWord/>
      <trackRevisions>false</trackRevisions>
    </reviewItem>
    <reviewItem>
      <errorID>252cc8f5-a4a0-44ec-9a7c-d07e7ee85ba3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3A3BF07A</paraID>
      <start>0</start>
      <end>2</end>
      <status>unmodified</status>
      <modifiedWord/>
      <trackRevisions>false</trackRevisions>
    </reviewItem>
    <reviewItem>
      <errorID>ef9ac55e-b7ad-4ec8-9573-2fade8d4586d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47D79F3C</paraID>
      <start>0</start>
      <end>2</end>
      <status>unmodified</status>
      <modifiedWord/>
      <trackRevisions>false</trackRevisions>
    </reviewItem>
    <reviewItem>
      <errorID>b899da17-045f-4181-8443-e5fc8c723936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6E06AEE6</paraID>
      <start>0</start>
      <end>2</end>
      <status>unmodified</status>
      <modifiedWord/>
      <trackRevisions>false</trackRevisions>
    </reviewItem>
    <reviewItem>
      <errorID>200ddae6-e156-4df5-b6d2-b73f39b0107c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356C3AF2</paraID>
      <start>0</start>
      <end>2</end>
      <status>unmodified</status>
      <modifiedWord/>
      <trackRevisions>false</trackRevisions>
    </reviewItem>
    <reviewItem>
      <errorID>be72439d-d40a-4049-98f3-14e2fc4676b3</errorID>
      <errorWord>，</errorWord>
      <group>L1_Format</group>
      <groupName>格式问题</groupName>
      <ability>L2_HalfPunc</ability>
      <abilityName>全半角检查</abilityName>
      <candidateList>
        <item>,</item>
      </candidateList>
      <explain>文本全半角错误。</explain>
      <paraID>6E6BB651</paraID>
      <start>16</start>
      <end>17</end>
      <status>modified</status>
      <modifiedWord>,</modifiedWord>
      <trackRevisions>false</trackRevisions>
    </reviewItem>
    <reviewItem>
      <errorID>1611bd6d-2cc8-4f48-80bc-a9ec35391e07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26B00A6B</paraID>
      <start>0</start>
      <end>2</end>
      <status>unmodified</status>
      <modifiedWord/>
      <trackRevisions>false</trackRevisions>
    </reviewItem>
    <reviewItem>
      <errorID>37c7019b-dafd-4948-ba4b-00bed5630f65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4BC82F22</paraID>
      <start>0</start>
      <end>2</end>
      <status>unmodified</status>
      <modifiedWord/>
      <trackRevisions>false</trackRevisions>
    </reviewItem>
    <reviewItem>
      <errorID>1f0441ab-f030-492a-a2a4-3c2eac614898</errorID>
      <errorWord>按按</errorWord>
      <group>L1_Word</group>
      <groupName>字词问题</groupName>
      <ability>L2_Typo</ability>
      <abilityName>字词错误</abilityName>
      <candidateList>
        <item>按</item>
      </candidateList>
      <explain>（案）àn❶〈书〉考查；核对：有原文可～。❷（编者、作者等）加按语：编者～。</explain>
      <paraID>4BC82F22</paraID>
      <start>83</start>
      <end>84</end>
      <status>modified</status>
      <modifiedWord>按</modifiedWord>
      <trackRevisions>false</trackRevisions>
    </reviewItem>
    <reviewItem>
      <errorID>6d6aee76-3073-4a73-bd6f-fd0098bd70f2</errorID>
      <errorWord>原价的</errorWord>
      <group>L1_Word</group>
      <groupName>字词问题</groupName>
      <ability>L2_Typo</ability>
      <abilityName>字词错误</abilityName>
      <candidateList>
        <item>原价</item>
      </candidateList>
      <explain/>
      <paraID>4BC82F22</paraID>
      <start>84</start>
      <end>86</end>
      <status>modified</status>
      <modifiedWord>原价</modifiedWord>
      <trackRevisions>false</trackRevisions>
    </reviewItem>
    <reviewItem>
      <errorID>b225e2a1-cacd-4761-b788-6b501db4d990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34F0627</paraID>
      <start>0</start>
      <end>2</end>
      <status>unmodified</status>
      <modifiedWord/>
      <trackRevisions>false</trackRevisions>
    </reviewItem>
    <reviewItem>
      <errorID>f0073c79-2da8-4d38-a7d7-a3443f95c5c1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1272F05B</paraID>
      <start>0</start>
      <end>2</end>
      <status>unmodified</status>
      <modifiedWord/>
      <trackRevisions>false</trackRevisions>
    </reviewItem>
    <reviewItem>
      <errorID>296bf2d8-ea89-4516-b345-8cb1ef284ff0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590EB7B8</paraID>
      <start>0</start>
      <end>2</end>
      <status>unmodified</status>
      <modifiedWord/>
      <trackRevisions>false</trackRevisions>
    </reviewItem>
    <reviewItem>
      <errorID>d9fa8657-88f4-44ec-8aeb-be10b72f385b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117C4525</paraID>
      <start>0</start>
      <end>2</end>
      <status>unmodified</status>
      <modifiedWord/>
      <trackRevisions>false</trackRevisions>
    </reviewItem>
    <reviewItem>
      <errorID>a36e8997-ace7-41a2-9040-fdc7e675e9dc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123C9161</paraID>
      <start>0</start>
      <end>2</end>
      <status>unmodified</status>
      <modifiedWord/>
      <trackRevisions>false</trackRevisions>
    </reviewItem>
    <reviewItem>
      <errorID>351ad31d-6c04-4ead-855a-5480eb51875d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6163A2E2</paraID>
      <start>0</start>
      <end>2</end>
      <status>unmodified</status>
      <modifiedWord/>
      <trackRevisions>false</trackRevisions>
    </reviewItem>
    <reviewItem>
      <errorID>72a91557-d2ec-4f86-89cb-03eac077dc34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75BA9CDB</paraID>
      <start>0</start>
      <end>2</end>
      <status>unmodified</status>
      <modifiedWord/>
      <trackRevisions>false</trackRevisions>
    </reviewItem>
    <reviewItem>
      <errorID>61740d0b-bd8a-4f29-a29a-14ea8548e0b7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1BB2A8EF</paraID>
      <start>0</start>
      <end>2</end>
      <status>unmodified</status>
      <modifiedWord/>
      <trackRevisions>false</trackRevisions>
    </reviewItem>
    <reviewItem>
      <errorID>0bbfcd75-a468-48b4-8874-5094f637264e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32423874</paraID>
      <start>0</start>
      <end>2</end>
      <status>unmodified</status>
      <modifiedWord/>
      <trackRevisions>false</trackRevisions>
    </reviewItem>
    <reviewItem>
      <errorID>63ca67d2-d837-43fb-89f2-4b8f1a7000e4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47143B82</paraID>
      <start>0</start>
      <end>2</end>
      <status>unmodified</status>
      <modifiedWord/>
      <trackRevisions>false</trackRevisions>
    </reviewItem>
    <reviewItem>
      <errorID>89d31d61-a0e5-45fa-9f37-771a351957cb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3644FF0B</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273C8B9-5CAC-44C4-B548-7E56506719A2}">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1014</Words>
  <Characters>1132</Characters>
  <Lines>233</Lines>
  <Paragraphs>275</Paragraphs>
  <TotalTime>64</TotalTime>
  <ScaleCrop>false</ScaleCrop>
  <LinksUpToDate>false</LinksUpToDate>
  <CharactersWithSpaces>1136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2025-04-03T05:09:00Z</dcterms:created>
  <dc:creator>HP</dc:creator>
  <cp:lastModifiedBy>仲杰</cp:lastModifiedBy>
  <dcterms:modified xsi:type="dcterms:W3CDTF">2026-10-28T00:56:03Z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eyJoZGlkIjoiMjQzMjJjYTEzYzEzMjVjOGIxYWQwMTc0ZTUwZGE2YjIiLCJ1c2VySWQiOiIyOTgyOTgyOTEifQ==</vt:lpwstr>
  </property>
  <property fmtid="{D5CDD505-2E9C-101B-9397-08002B2CF9AE}" pid="4" name="ICV">
    <vt:lpwstr>2BFD31D5F3FB4B709DBC969892577809_12</vt:lpwstr>
  </property>
</Properties>
</file>