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校园交通智能化管理项目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HFBX2026022</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HFBX2026022；</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校园交通智能化管理项目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26</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lang w:val="en-US" w:eastAsia="zh-CN"/>
        </w:rPr>
        <w:t>本项目建设需对上海海事大学现有的校园电动自行车进行系统化本地管理，尤其是对车辆信息核查、违章管控功能以及如何应对突发情况提出解决方案。（具体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交付地址：上海市海港大道1550号。</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交付时间：合同签订后30个自然日内完成供货及调试交付。</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付款方式：项目整体验收通过后</w:t>
      </w:r>
      <w:r>
        <w:rPr>
          <w:rFonts w:hint="eastAsia" w:ascii="方正兰亭黑简体" w:hAnsi="方正兰亭黑简体" w:eastAsia="方正兰亭黑简体" w:cs="方正兰亭黑简体"/>
          <w:color w:val="auto"/>
          <w:sz w:val="22"/>
          <w:szCs w:val="28"/>
          <w:highlight w:val="none"/>
          <w:lang w:val="en-US" w:eastAsia="zh-CN"/>
        </w:rPr>
        <w:t>的</w:t>
      </w:r>
      <w:r>
        <w:rPr>
          <w:rFonts w:hint="eastAsia" w:ascii="方正兰亭黑简体" w:hAnsi="方正兰亭黑简体" w:eastAsia="方正兰亭黑简体" w:cs="方正兰亭黑简体"/>
          <w:color w:val="auto"/>
          <w:sz w:val="22"/>
          <w:szCs w:val="28"/>
          <w:highlight w:val="none"/>
        </w:rPr>
        <w:t>10个工作日内，甲方收到发票一次性支付项目全部金额100%。合同内全部款项均以“银行转账”方式予以支付。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w:t>
      </w:r>
      <w:bookmarkStart w:id="6" w:name="_GoBack"/>
      <w:bookmarkEnd w:id="6"/>
      <w:r>
        <w:rPr>
          <w:rFonts w:hint="eastAsia" w:ascii="方正兰亭黑简体" w:hAnsi="方正兰亭黑简体" w:eastAsia="方正兰亭黑简体" w:cs="方正兰亭黑简体"/>
          <w:color w:val="auto"/>
          <w:sz w:val="22"/>
          <w:szCs w:val="28"/>
          <w:highlight w:val="none"/>
          <w:lang w:val="en-US" w:eastAsia="zh-CN"/>
        </w:rPr>
        <w:t>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21</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周二</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刘老师021-38284508</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03EF3672">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一、项目简介</w:t>
      </w:r>
    </w:p>
    <w:p w14:paraId="565DEFA9">
      <w:pPr>
        <w:spacing w:line="360" w:lineRule="auto"/>
        <w:ind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近年来，随着学校师生规模持续增长，校内机动车与电动自行车保有量大幅提升，校园交通流量快速攀升，原有交通管理模式已难以适配校园安全运行需求：一是电动自行车乱停乱放、违规穿行等问题频发，占用消防通道、干扰机动车正常通行，存在较大安全隐患；二是机动车超速行驶</w:t>
      </w:r>
      <w:r>
        <w:rPr>
          <w:rFonts w:hint="eastAsia" w:ascii="Times New Roman" w:hAnsi="Times New Roman" w:eastAsia="方正兰亭黑简体" w:cs="Times New Roman"/>
          <w:color w:val="auto"/>
          <w:sz w:val="22"/>
          <w:szCs w:val="22"/>
          <w:highlight w:val="none"/>
          <w:lang w:eastAsia="zh-CN"/>
        </w:rPr>
        <w:t>等</w:t>
      </w:r>
      <w:r>
        <w:rPr>
          <w:rFonts w:hint="default" w:ascii="Times New Roman" w:hAnsi="Times New Roman" w:eastAsia="方正兰亭黑简体" w:cs="Times New Roman"/>
          <w:color w:val="auto"/>
          <w:sz w:val="22"/>
          <w:szCs w:val="22"/>
          <w:highlight w:val="none"/>
        </w:rPr>
        <w:t>现象突出，校园出入口及重点路段交通秩序混乱，无法满足校园安全管理与师生出行安全需求；</w:t>
      </w:r>
    </w:p>
    <w:p w14:paraId="6CC01476">
      <w:pPr>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本项目以“安全优先、智能高效、兼容升级、服务师生”为核心目标，升级电动自行车测速违停与机动车测速两大板块，重点建设内容如下：</w:t>
      </w:r>
    </w:p>
    <w:p w14:paraId="1FDDEC8E">
      <w:pPr>
        <w:spacing w:line="360" w:lineRule="auto"/>
        <w:jc w:val="left"/>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rPr>
        <w:t>电动自行车测速区域：5号门入校西侧</w:t>
      </w:r>
      <w:r>
        <w:rPr>
          <w:rFonts w:hint="eastAsia" w:ascii="Times New Roman" w:hAnsi="Times New Roman" w:eastAsia="方正兰亭黑简体" w:cs="Times New Roman"/>
          <w:color w:val="auto"/>
          <w:sz w:val="22"/>
          <w:szCs w:val="22"/>
          <w:highlight w:val="none"/>
          <w:lang w:eastAsia="zh-CN"/>
        </w:rPr>
        <w:t>主干道</w:t>
      </w:r>
      <w:r>
        <w:rPr>
          <w:rFonts w:hint="default" w:ascii="Times New Roman" w:hAnsi="Times New Roman" w:eastAsia="方正兰亭黑简体" w:cs="Times New Roman"/>
          <w:color w:val="auto"/>
          <w:sz w:val="22"/>
          <w:szCs w:val="22"/>
          <w:highlight w:val="none"/>
        </w:rPr>
        <w:t>及5号门入校南侧主干道；</w:t>
      </w:r>
    </w:p>
    <w:p w14:paraId="1FC8B677">
      <w:pPr>
        <w:spacing w:line="360" w:lineRule="auto"/>
        <w:jc w:val="left"/>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2</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电动自行车违停区域：泰山楼门口重点区域；</w:t>
      </w:r>
    </w:p>
    <w:p w14:paraId="720CB384">
      <w:pPr>
        <w:spacing w:line="360" w:lineRule="auto"/>
        <w:jc w:val="left"/>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3</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电动自行车“随手拍”上报管控平台软件系统；</w:t>
      </w:r>
    </w:p>
    <w:p w14:paraId="7F9DCD3C">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4</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3号门入校分支道路4套测速点位（配2块显示屏）、4号门入校主干道路1套测速点位（配1块显示屏）图书馆主干道路1套测速点位体育游泳馆主干道2套测速点位</w:t>
      </w:r>
      <w:r>
        <w:rPr>
          <w:rFonts w:hint="eastAsia" w:ascii="Times New Roman" w:hAnsi="Times New Roman" w:eastAsia="方正兰亭黑简体" w:cs="Times New Roman"/>
          <w:color w:val="auto"/>
          <w:sz w:val="22"/>
          <w:szCs w:val="22"/>
          <w:highlight w:val="none"/>
          <w:lang w:eastAsia="zh-CN"/>
        </w:rPr>
        <w:t>。</w:t>
      </w:r>
    </w:p>
    <w:p w14:paraId="7DE6D34A">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二、货物清单及规格参数</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1"/>
        <w:gridCol w:w="1677"/>
        <w:gridCol w:w="510"/>
        <w:gridCol w:w="570"/>
        <w:gridCol w:w="6664"/>
      </w:tblGrid>
      <w:tr w14:paraId="3F88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7D900C02">
            <w:pPr>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sz w:val="20"/>
                <w:szCs w:val="20"/>
                <w:highlight w:val="none"/>
              </w:rPr>
              <w:t>序号</w:t>
            </w:r>
          </w:p>
        </w:tc>
        <w:tc>
          <w:tcPr>
            <w:tcW w:w="1677" w:type="dxa"/>
            <w:vAlign w:val="center"/>
          </w:tcPr>
          <w:p w14:paraId="3E4654E1">
            <w:pPr>
              <w:widowControl/>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sz w:val="20"/>
                <w:szCs w:val="20"/>
                <w:highlight w:val="none"/>
              </w:rPr>
              <w:t>名称</w:t>
            </w:r>
          </w:p>
        </w:tc>
        <w:tc>
          <w:tcPr>
            <w:tcW w:w="510" w:type="dxa"/>
            <w:vAlign w:val="center"/>
          </w:tcPr>
          <w:p w14:paraId="18C0592B">
            <w:pPr>
              <w:widowControl/>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sz w:val="20"/>
                <w:szCs w:val="20"/>
                <w:highlight w:val="none"/>
              </w:rPr>
              <w:t>单位</w:t>
            </w:r>
          </w:p>
        </w:tc>
        <w:tc>
          <w:tcPr>
            <w:tcW w:w="570" w:type="dxa"/>
            <w:vAlign w:val="center"/>
          </w:tcPr>
          <w:p w14:paraId="14DCCB81">
            <w:pPr>
              <w:widowControl/>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sz w:val="20"/>
                <w:szCs w:val="20"/>
                <w:highlight w:val="none"/>
              </w:rPr>
              <w:t>数量</w:t>
            </w:r>
          </w:p>
        </w:tc>
        <w:tc>
          <w:tcPr>
            <w:tcW w:w="6664" w:type="dxa"/>
            <w:vAlign w:val="center"/>
          </w:tcPr>
          <w:p w14:paraId="5375C4DA">
            <w:pPr>
              <w:widowControl/>
              <w:spacing w:line="360" w:lineRule="auto"/>
              <w:jc w:val="center"/>
              <w:rPr>
                <w:rFonts w:hint="default" w:ascii="Times New Roman" w:hAnsi="Times New Roman" w:eastAsia="方正兰亭黑简体" w:cs="Times New Roman"/>
                <w:b/>
                <w:bCs/>
                <w:color w:val="auto"/>
                <w:sz w:val="20"/>
                <w:szCs w:val="20"/>
                <w:highlight w:val="none"/>
              </w:rPr>
            </w:pPr>
            <w:r>
              <w:rPr>
                <w:rFonts w:hint="default" w:ascii="Times New Roman" w:hAnsi="Times New Roman" w:eastAsia="方正兰亭黑简体" w:cs="Times New Roman"/>
                <w:b/>
                <w:bCs/>
                <w:color w:val="auto"/>
                <w:sz w:val="20"/>
                <w:szCs w:val="20"/>
                <w:highlight w:val="none"/>
              </w:rPr>
              <w:t>主要规格</w:t>
            </w:r>
          </w:p>
        </w:tc>
      </w:tr>
      <w:tr w14:paraId="49DA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7DEF8C0B">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w:t>
            </w:r>
          </w:p>
        </w:tc>
        <w:tc>
          <w:tcPr>
            <w:tcW w:w="1677" w:type="dxa"/>
            <w:vAlign w:val="center"/>
          </w:tcPr>
          <w:p w14:paraId="27DFD86A">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RFID高频读卡器</w:t>
            </w:r>
          </w:p>
        </w:tc>
        <w:tc>
          <w:tcPr>
            <w:tcW w:w="510" w:type="dxa"/>
            <w:vAlign w:val="center"/>
          </w:tcPr>
          <w:p w14:paraId="5A208F7B">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台</w:t>
            </w:r>
          </w:p>
        </w:tc>
        <w:tc>
          <w:tcPr>
            <w:tcW w:w="570" w:type="dxa"/>
            <w:vAlign w:val="center"/>
          </w:tcPr>
          <w:p w14:paraId="59847C04">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9</w:t>
            </w:r>
          </w:p>
        </w:tc>
        <w:tc>
          <w:tcPr>
            <w:tcW w:w="6664" w:type="dxa"/>
          </w:tcPr>
          <w:p w14:paraId="77490163">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1.读卡距离：1.5m</w:t>
            </w:r>
            <w:r>
              <w:rPr>
                <w:rFonts w:hint="default" w:ascii="Times New Roman" w:hAnsi="Times New Roman" w:eastAsia="方正兰亭黑简体" w:cs="Times New Roman"/>
                <w:color w:val="auto"/>
                <w:sz w:val="20"/>
                <w:szCs w:val="20"/>
                <w:highlight w:val="none"/>
                <w:shd w:val="clear" w:color="auto" w:fill="F7F8FA"/>
              </w:rPr>
              <w:t>～</w:t>
            </w:r>
            <w:r>
              <w:rPr>
                <w:rFonts w:hint="default" w:ascii="Times New Roman" w:hAnsi="Times New Roman" w:eastAsia="方正兰亭黑简体" w:cs="Times New Roman"/>
                <w:color w:val="auto"/>
                <w:sz w:val="20"/>
                <w:szCs w:val="20"/>
                <w:highlight w:val="none"/>
              </w:rPr>
              <w:t>7.0m，可根据实际现场环境可调节；</w:t>
            </w:r>
          </w:p>
          <w:p w14:paraId="0BC0FB06">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支持卡片类型：满足ISO18000-6B/6C协议标准卡片；</w:t>
            </w:r>
          </w:p>
          <w:p w14:paraId="02C07E90">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2.频率范围：支持860~868MHz或902</w:t>
            </w:r>
            <w:r>
              <w:rPr>
                <w:rFonts w:hint="default" w:ascii="Times New Roman" w:hAnsi="Times New Roman" w:eastAsia="方正兰亭黑简体" w:cs="Times New Roman"/>
                <w:color w:val="auto"/>
                <w:sz w:val="20"/>
                <w:szCs w:val="20"/>
                <w:highlight w:val="none"/>
                <w:shd w:val="clear" w:color="auto" w:fill="F7F8FA"/>
              </w:rPr>
              <w:t>～</w:t>
            </w:r>
            <w:r>
              <w:rPr>
                <w:rFonts w:hint="default" w:ascii="Times New Roman" w:hAnsi="Times New Roman" w:eastAsia="方正兰亭黑简体" w:cs="Times New Roman"/>
                <w:color w:val="auto"/>
                <w:sz w:val="20"/>
                <w:szCs w:val="20"/>
                <w:highlight w:val="none"/>
              </w:rPr>
              <w:t>928MHz；</w:t>
            </w:r>
          </w:p>
          <w:p w14:paraId="66A904DE">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3.电源：输入220V，输出9V/3A；</w:t>
            </w:r>
          </w:p>
        </w:tc>
      </w:tr>
      <w:tr w14:paraId="720A6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2C83F3E7">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w:t>
            </w:r>
          </w:p>
        </w:tc>
        <w:tc>
          <w:tcPr>
            <w:tcW w:w="1677" w:type="dxa"/>
            <w:vAlign w:val="center"/>
          </w:tcPr>
          <w:p w14:paraId="586701E1">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立柱及支架</w:t>
            </w:r>
          </w:p>
        </w:tc>
        <w:tc>
          <w:tcPr>
            <w:tcW w:w="510" w:type="dxa"/>
            <w:vAlign w:val="center"/>
          </w:tcPr>
          <w:p w14:paraId="7DB132AE">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根</w:t>
            </w:r>
          </w:p>
        </w:tc>
        <w:tc>
          <w:tcPr>
            <w:tcW w:w="570" w:type="dxa"/>
            <w:vAlign w:val="center"/>
          </w:tcPr>
          <w:p w14:paraId="7CFCA0CB">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9</w:t>
            </w:r>
          </w:p>
        </w:tc>
        <w:tc>
          <w:tcPr>
            <w:tcW w:w="6664" w:type="dxa"/>
            <w:vAlign w:val="center"/>
          </w:tcPr>
          <w:p w14:paraId="5F056EFA">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 高度：3.0m±5cm，有效承载高度≥2.8m</w:t>
            </w:r>
          </w:p>
          <w:p w14:paraId="6E7F4515">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 规格：圆管≥114mm×4mm</w:t>
            </w:r>
          </w:p>
          <w:p w14:paraId="083E1CF1">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 材质：Q235B/Q355B钢材，满足对应强度要求</w:t>
            </w:r>
          </w:p>
          <w:p w14:paraId="21B518A1">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4. 性能：承重≥50kg，顶端带密封帽及接口</w:t>
            </w:r>
            <w:r>
              <w:rPr>
                <w:rFonts w:hint="eastAsia" w:ascii="Times New Roman" w:hAnsi="Times New Roman" w:eastAsia="方正兰亭黑简体" w:cs="Times New Roman"/>
                <w:color w:val="auto"/>
                <w:sz w:val="20"/>
                <w:szCs w:val="20"/>
                <w:highlight w:val="none"/>
                <w:lang w:eastAsia="zh-CN"/>
              </w:rPr>
              <w:t>；</w:t>
            </w:r>
          </w:p>
          <w:p w14:paraId="412D9729">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5.</w:t>
            </w:r>
            <w:r>
              <w:rPr>
                <w:rFonts w:hint="default" w:ascii="Times New Roman" w:hAnsi="Times New Roman" w:eastAsia="方正兰亭黑简体" w:cs="Times New Roman"/>
                <w:color w:val="auto"/>
                <w:kern w:val="0"/>
                <w:sz w:val="20"/>
                <w:szCs w:val="20"/>
                <w:highlight w:val="none"/>
              </w:rPr>
              <w:t xml:space="preserve"> </w:t>
            </w:r>
            <w:r>
              <w:rPr>
                <w:rFonts w:hint="default" w:ascii="Times New Roman" w:hAnsi="Times New Roman" w:eastAsia="方正兰亭黑简体" w:cs="Times New Roman"/>
                <w:color w:val="auto"/>
                <w:sz w:val="20"/>
                <w:szCs w:val="20"/>
                <w:highlight w:val="none"/>
              </w:rPr>
              <w:t>调节：上下±10cm、左右±15°，适配RFID读卡器</w:t>
            </w:r>
          </w:p>
        </w:tc>
      </w:tr>
      <w:tr w14:paraId="78111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0D234F55">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w:t>
            </w:r>
          </w:p>
        </w:tc>
        <w:tc>
          <w:tcPr>
            <w:tcW w:w="1677" w:type="dxa"/>
            <w:vAlign w:val="center"/>
          </w:tcPr>
          <w:p w14:paraId="240B96E9">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网络交换机</w:t>
            </w:r>
          </w:p>
        </w:tc>
        <w:tc>
          <w:tcPr>
            <w:tcW w:w="510" w:type="dxa"/>
            <w:vAlign w:val="center"/>
          </w:tcPr>
          <w:p w14:paraId="3DEF4BB2">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台</w:t>
            </w:r>
          </w:p>
        </w:tc>
        <w:tc>
          <w:tcPr>
            <w:tcW w:w="570" w:type="dxa"/>
            <w:vAlign w:val="center"/>
          </w:tcPr>
          <w:p w14:paraId="5BE1F2EF">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w:t>
            </w:r>
          </w:p>
        </w:tc>
        <w:tc>
          <w:tcPr>
            <w:tcW w:w="6664" w:type="dxa"/>
          </w:tcPr>
          <w:p w14:paraId="4FA76B61">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1.≥8个10/100/1000M 自适应RJ45端口</w:t>
            </w:r>
          </w:p>
          <w:p w14:paraId="0791DB84">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2.支持VLAN开关可控功能</w:t>
            </w:r>
          </w:p>
          <w:p w14:paraId="666F38BE">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3.支持环路监测功能，及时反馈环路故障</w:t>
            </w:r>
          </w:p>
          <w:p w14:paraId="6A335D66">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4.支持IEEE802.3X全双工流控与Backpressure半双工流控</w:t>
            </w:r>
          </w:p>
          <w:p w14:paraId="7B408C43">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5.支持端口自动翻转（Auto MDI/MDIX）功能</w:t>
            </w:r>
          </w:p>
        </w:tc>
      </w:tr>
      <w:tr w14:paraId="646B9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14970899">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4</w:t>
            </w:r>
          </w:p>
        </w:tc>
        <w:tc>
          <w:tcPr>
            <w:tcW w:w="1677" w:type="dxa"/>
            <w:vAlign w:val="center"/>
          </w:tcPr>
          <w:p w14:paraId="5EF3523C">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光模块</w:t>
            </w:r>
          </w:p>
        </w:tc>
        <w:tc>
          <w:tcPr>
            <w:tcW w:w="510" w:type="dxa"/>
            <w:vAlign w:val="center"/>
          </w:tcPr>
          <w:p w14:paraId="53290BA5">
            <w:pPr>
              <w:widowControl/>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对</w:t>
            </w:r>
          </w:p>
        </w:tc>
        <w:tc>
          <w:tcPr>
            <w:tcW w:w="570" w:type="dxa"/>
            <w:vAlign w:val="center"/>
          </w:tcPr>
          <w:p w14:paraId="10A4D390">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w:t>
            </w:r>
          </w:p>
        </w:tc>
        <w:tc>
          <w:tcPr>
            <w:tcW w:w="6664" w:type="dxa"/>
            <w:vAlign w:val="center"/>
          </w:tcPr>
          <w:p w14:paraId="7675AAFB">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 速率：千兆（1000Mbps），全双工模式</w:t>
            </w:r>
          </w:p>
          <w:p w14:paraId="1B2D490F">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 接口：SFP封装，SC接口</w:t>
            </w:r>
          </w:p>
          <w:p w14:paraId="33589140">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 传输距离：单模≥10km</w:t>
            </w:r>
          </w:p>
          <w:p w14:paraId="61D8F7C3">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4. 兼容性：兼容主流网络设备，支持热插拔</w:t>
            </w:r>
          </w:p>
        </w:tc>
      </w:tr>
      <w:tr w14:paraId="15133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6CF225DB">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5</w:t>
            </w:r>
          </w:p>
        </w:tc>
        <w:tc>
          <w:tcPr>
            <w:tcW w:w="1677" w:type="dxa"/>
            <w:vAlign w:val="center"/>
          </w:tcPr>
          <w:p w14:paraId="2A24433C">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单车道超速抓拍相机</w:t>
            </w:r>
          </w:p>
        </w:tc>
        <w:tc>
          <w:tcPr>
            <w:tcW w:w="510" w:type="dxa"/>
            <w:vAlign w:val="center"/>
          </w:tcPr>
          <w:p w14:paraId="06F3812E">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套</w:t>
            </w:r>
          </w:p>
        </w:tc>
        <w:tc>
          <w:tcPr>
            <w:tcW w:w="570" w:type="dxa"/>
            <w:vAlign w:val="center"/>
          </w:tcPr>
          <w:p w14:paraId="3B11FD6A">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8</w:t>
            </w:r>
          </w:p>
        </w:tc>
        <w:tc>
          <w:tcPr>
            <w:tcW w:w="6664" w:type="dxa"/>
          </w:tcPr>
          <w:p w14:paraId="39FCBD6C">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1.帧率：≥25fps；</w:t>
            </w:r>
          </w:p>
          <w:p w14:paraId="1C336F4A">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2.支持：集成多车道闯红灯检测、车辆识别、车牌识别等算法；</w:t>
            </w:r>
          </w:p>
          <w:p w14:paraId="4F985D92">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3.支持快速中断当前帧，同步触发信号及打开闪光灯；</w:t>
            </w:r>
          </w:p>
          <w:p w14:paraId="1B6115B1">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 xml:space="preserve">4.支持 JPEG 流和 H.265 流多码流同时输出，支持 BNC 模拟视频输出； </w:t>
            </w:r>
          </w:p>
          <w:p w14:paraId="31C7F548">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5.支持双网口物理隔离，RJ-45 100M/1000M 自适应；</w:t>
            </w:r>
          </w:p>
          <w:p w14:paraId="1DEDC059">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6.设备支持 SIP、RTP/RTSP、TCP/IP、NTP 等协议；</w:t>
            </w:r>
          </w:p>
          <w:p w14:paraId="0DDDC95B">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7.设备≥4路触发输入，兼容 5V和12V电平逻辑；</w:t>
            </w:r>
          </w:p>
          <w:p w14:paraId="4BE0C045">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8. ≥6路闪光灯触发输出，9.支持轮闪功能；</w:t>
            </w:r>
          </w:p>
          <w:p w14:paraId="76CAE1AE">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10.支持自定义 OSD 叠加；</w:t>
            </w:r>
          </w:p>
          <w:p w14:paraId="08BA443C">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11.支持RS232和RS485接口，可以接入雷达等测速设备，支持多种车检器协议；</w:t>
            </w:r>
          </w:p>
          <w:p w14:paraId="6252D0D2">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12.设备支持外置TF卡接口，支持64G及以上；</w:t>
            </w:r>
          </w:p>
          <w:p w14:paraId="77D9C6DC">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13.像素：≥300万像素高清摄像机</w:t>
            </w:r>
          </w:p>
          <w:p w14:paraId="0F32DB75">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14.触发方式：支持IO触发/RS485 触发/RS232 触发/雷达触发</w:t>
            </w:r>
          </w:p>
        </w:tc>
      </w:tr>
      <w:tr w14:paraId="658A3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6170C513">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6</w:t>
            </w:r>
          </w:p>
        </w:tc>
        <w:tc>
          <w:tcPr>
            <w:tcW w:w="1677" w:type="dxa"/>
            <w:vAlign w:val="center"/>
          </w:tcPr>
          <w:p w14:paraId="344A3AC0">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单车道定位测速雷达</w:t>
            </w:r>
          </w:p>
        </w:tc>
        <w:tc>
          <w:tcPr>
            <w:tcW w:w="510" w:type="dxa"/>
            <w:vAlign w:val="center"/>
          </w:tcPr>
          <w:p w14:paraId="632895B5">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套</w:t>
            </w:r>
          </w:p>
        </w:tc>
        <w:tc>
          <w:tcPr>
            <w:tcW w:w="570" w:type="dxa"/>
            <w:vAlign w:val="center"/>
          </w:tcPr>
          <w:p w14:paraId="687241A5">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8</w:t>
            </w:r>
          </w:p>
        </w:tc>
        <w:tc>
          <w:tcPr>
            <w:tcW w:w="6664" w:type="dxa"/>
          </w:tcPr>
          <w:p w14:paraId="69D90276">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 xml:space="preserve">1.车辆捕获位置±0.5m 之内，一致性大于99%； </w:t>
            </w:r>
          </w:p>
          <w:p w14:paraId="3E93421B">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 xml:space="preserve">2.支持自动识别车辆行驶方向：来向、去向、双向； </w:t>
            </w:r>
          </w:p>
          <w:p w14:paraId="6F750AA5">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3.具备支持RS485、RS232、Wi-Fi通讯功能，配置参数便捷；</w:t>
            </w:r>
          </w:p>
          <w:p w14:paraId="1951BFB8">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4.测距范围：15</w:t>
            </w:r>
            <w:r>
              <w:rPr>
                <w:rFonts w:hint="eastAsia" w:ascii="Times New Roman" w:hAnsi="Times New Roman" w:eastAsia="方正兰亭黑简体" w:cs="Times New Roman"/>
                <w:color w:val="auto"/>
                <w:sz w:val="20"/>
                <w:szCs w:val="20"/>
                <w:highlight w:val="none"/>
                <w:lang w:eastAsia="zh-CN"/>
              </w:rPr>
              <w:t>—</w:t>
            </w:r>
            <w:r>
              <w:rPr>
                <w:rFonts w:hint="default" w:ascii="Times New Roman" w:hAnsi="Times New Roman" w:eastAsia="方正兰亭黑简体" w:cs="Times New Roman"/>
                <w:color w:val="auto"/>
                <w:sz w:val="20"/>
                <w:szCs w:val="20"/>
                <w:highlight w:val="none"/>
              </w:rPr>
              <w:t>30m</w:t>
            </w:r>
          </w:p>
          <w:p w14:paraId="0BE3CF00">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5.抓拍率：&gt;99%</w:t>
            </w:r>
          </w:p>
          <w:p w14:paraId="348200F9">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6.测速范围：（2～300）km/h</w:t>
            </w:r>
          </w:p>
          <w:p w14:paraId="4399FBE3">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7.测速精度：±1km/h</w:t>
            </w:r>
          </w:p>
          <w:p w14:paraId="3F3EE96E">
            <w:pPr>
              <w:widowControl/>
              <w:spacing w:line="360" w:lineRule="auto"/>
              <w:jc w:val="left"/>
              <w:textAlignment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8.响应时间：20ms</w:t>
            </w:r>
          </w:p>
          <w:p w14:paraId="2EA5F67B">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9.防护等级：IP66</w:t>
            </w:r>
          </w:p>
        </w:tc>
      </w:tr>
      <w:tr w14:paraId="503F0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4A6BF3F1">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7</w:t>
            </w:r>
          </w:p>
        </w:tc>
        <w:tc>
          <w:tcPr>
            <w:tcW w:w="1677" w:type="dxa"/>
            <w:vAlign w:val="center"/>
          </w:tcPr>
          <w:p w14:paraId="28D91E93">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kern w:val="0"/>
                <w:sz w:val="20"/>
                <w:szCs w:val="20"/>
                <w:highlight w:val="none"/>
                <w:lang w:bidi="ar"/>
              </w:rPr>
              <w:t>车道频闪补光灯</w:t>
            </w:r>
          </w:p>
        </w:tc>
        <w:tc>
          <w:tcPr>
            <w:tcW w:w="510" w:type="dxa"/>
            <w:vAlign w:val="center"/>
          </w:tcPr>
          <w:p w14:paraId="4750A46B">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套</w:t>
            </w:r>
          </w:p>
        </w:tc>
        <w:tc>
          <w:tcPr>
            <w:tcW w:w="570" w:type="dxa"/>
            <w:vAlign w:val="center"/>
          </w:tcPr>
          <w:p w14:paraId="45FE133A">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8</w:t>
            </w:r>
          </w:p>
        </w:tc>
        <w:tc>
          <w:tcPr>
            <w:tcW w:w="6664" w:type="dxa"/>
          </w:tcPr>
          <w:p w14:paraId="5078DDF7">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1.防水等级：IP66</w:t>
            </w:r>
          </w:p>
          <w:p w14:paraId="54CF5700">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2.色温：4,300-5,300K</w:t>
            </w:r>
          </w:p>
          <w:p w14:paraId="300D1FE4">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3.发光角度：</w:t>
            </w:r>
            <w:r>
              <w:rPr>
                <w:rFonts w:hint="default" w:ascii="Times New Roman" w:hAnsi="Times New Roman" w:eastAsia="方正兰亭黑简体" w:cs="Times New Roman"/>
                <w:color w:val="auto"/>
                <w:sz w:val="20"/>
                <w:szCs w:val="20"/>
                <w:highlight w:val="none"/>
              </w:rPr>
              <w:t>≥</w:t>
            </w:r>
            <w:r>
              <w:rPr>
                <w:rFonts w:hint="default" w:ascii="Times New Roman" w:hAnsi="Times New Roman" w:eastAsia="方正兰亭黑简体" w:cs="Times New Roman"/>
                <w:color w:val="auto"/>
                <w:sz w:val="20"/>
                <w:szCs w:val="20"/>
                <w:highlight w:val="none"/>
              </w:rPr>
              <w:t>22°</w:t>
            </w:r>
          </w:p>
          <w:p w14:paraId="78D0DE46">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4.电源电压：AC220V，平均功率≤50W</w:t>
            </w:r>
          </w:p>
          <w:p w14:paraId="4DEC03F0">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5.工作温度：-25℃~70℃，</w:t>
            </w:r>
          </w:p>
        </w:tc>
      </w:tr>
      <w:tr w14:paraId="2439D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48FDDBC5">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8</w:t>
            </w:r>
          </w:p>
        </w:tc>
        <w:tc>
          <w:tcPr>
            <w:tcW w:w="1677" w:type="dxa"/>
            <w:vAlign w:val="center"/>
          </w:tcPr>
          <w:p w14:paraId="4ABC3486">
            <w:pPr>
              <w:widowControl/>
              <w:spacing w:line="360" w:lineRule="auto"/>
              <w:jc w:val="center"/>
              <w:rPr>
                <w:rFonts w:hint="default" w:ascii="Times New Roman" w:hAnsi="Times New Roman" w:eastAsia="方正兰亭黑简体" w:cs="Times New Roman"/>
                <w:color w:val="auto"/>
                <w:kern w:val="0"/>
                <w:sz w:val="20"/>
                <w:szCs w:val="20"/>
                <w:highlight w:val="none"/>
                <w:lang w:bidi="ar"/>
              </w:rPr>
            </w:pPr>
            <w:r>
              <w:rPr>
                <w:rFonts w:hint="default" w:ascii="Times New Roman" w:hAnsi="Times New Roman" w:eastAsia="方正兰亭黑简体" w:cs="Times New Roman"/>
                <w:color w:val="auto"/>
                <w:kern w:val="0"/>
                <w:sz w:val="20"/>
                <w:szCs w:val="20"/>
                <w:highlight w:val="none"/>
                <w:lang w:bidi="ar"/>
              </w:rPr>
              <w:t>测速显示屏（4行LED显示）</w:t>
            </w:r>
          </w:p>
        </w:tc>
        <w:tc>
          <w:tcPr>
            <w:tcW w:w="510" w:type="dxa"/>
            <w:vAlign w:val="center"/>
          </w:tcPr>
          <w:p w14:paraId="5C25C144">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台</w:t>
            </w:r>
          </w:p>
        </w:tc>
        <w:tc>
          <w:tcPr>
            <w:tcW w:w="570" w:type="dxa"/>
            <w:vAlign w:val="center"/>
          </w:tcPr>
          <w:p w14:paraId="3A2E9DB1">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w:t>
            </w:r>
          </w:p>
        </w:tc>
        <w:tc>
          <w:tcPr>
            <w:tcW w:w="6664" w:type="dxa"/>
          </w:tcPr>
          <w:p w14:paraId="5E8ECCF5">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1.户外P10显示单元，红绿双色</w:t>
            </w:r>
          </w:p>
          <w:p w14:paraId="1381E11C">
            <w:pPr>
              <w:spacing w:line="360" w:lineRule="auto"/>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显示区域规格：不低于960MM*640MM</w:t>
            </w:r>
          </w:p>
          <w:p w14:paraId="312A4659">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2.显示内容：支持测速过车信息显示，包含：识别车牌、车速、交通提示语、北京时间等字段内容展示</w:t>
            </w:r>
          </w:p>
        </w:tc>
      </w:tr>
      <w:tr w14:paraId="7755D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Align w:val="center"/>
          </w:tcPr>
          <w:p w14:paraId="0898B658">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9</w:t>
            </w:r>
          </w:p>
        </w:tc>
        <w:tc>
          <w:tcPr>
            <w:tcW w:w="1677" w:type="dxa"/>
            <w:vAlign w:val="center"/>
          </w:tcPr>
          <w:p w14:paraId="659801AB">
            <w:pPr>
              <w:widowControl/>
              <w:spacing w:line="360" w:lineRule="auto"/>
              <w:jc w:val="center"/>
              <w:rPr>
                <w:rFonts w:hint="default" w:ascii="Times New Roman" w:hAnsi="Times New Roman" w:eastAsia="方正兰亭黑简体" w:cs="Times New Roman"/>
                <w:color w:val="auto"/>
                <w:kern w:val="0"/>
                <w:sz w:val="20"/>
                <w:szCs w:val="20"/>
                <w:highlight w:val="none"/>
                <w:lang w:bidi="ar"/>
              </w:rPr>
            </w:pPr>
            <w:r>
              <w:rPr>
                <w:rFonts w:hint="default" w:ascii="Times New Roman" w:hAnsi="Times New Roman" w:eastAsia="方正兰亭黑简体" w:cs="Times New Roman"/>
                <w:color w:val="auto"/>
                <w:kern w:val="0"/>
                <w:sz w:val="20"/>
                <w:szCs w:val="20"/>
                <w:highlight w:val="none"/>
                <w:lang w:bidi="ar"/>
              </w:rPr>
              <w:t>电动自行车管理系统</w:t>
            </w:r>
          </w:p>
        </w:tc>
        <w:tc>
          <w:tcPr>
            <w:tcW w:w="510" w:type="dxa"/>
            <w:vAlign w:val="center"/>
          </w:tcPr>
          <w:p w14:paraId="6C20170D">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套</w:t>
            </w:r>
          </w:p>
        </w:tc>
        <w:tc>
          <w:tcPr>
            <w:tcW w:w="570" w:type="dxa"/>
            <w:vAlign w:val="center"/>
          </w:tcPr>
          <w:p w14:paraId="26214370">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w:t>
            </w:r>
          </w:p>
        </w:tc>
        <w:tc>
          <w:tcPr>
            <w:tcW w:w="6664" w:type="dxa"/>
          </w:tcPr>
          <w:p w14:paraId="209667F0">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包含：</w:t>
            </w:r>
          </w:p>
          <w:p w14:paraId="321A3F6D">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车辆信息核查功能</w:t>
            </w:r>
          </w:p>
          <w:p w14:paraId="40ADCEE7">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随手拍违停上报管控功能</w:t>
            </w:r>
          </w:p>
          <w:p w14:paraId="7F35F587">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区间测速管理功能</w:t>
            </w:r>
            <w:r>
              <w:rPr>
                <w:rFonts w:hint="default" w:ascii="Times New Roman" w:hAnsi="Times New Roman" w:eastAsia="方正兰亭黑简体" w:cs="Times New Roman"/>
                <w:color w:val="auto"/>
                <w:sz w:val="20"/>
                <w:szCs w:val="20"/>
                <w:highlight w:val="none"/>
              </w:rPr>
              <w:br w:type="textWrapping"/>
            </w:r>
            <w:r>
              <w:rPr>
                <w:rFonts w:hint="default" w:ascii="Times New Roman" w:hAnsi="Times New Roman" w:eastAsia="方正兰亭黑简体" w:cs="Times New Roman"/>
                <w:color w:val="auto"/>
                <w:sz w:val="20"/>
                <w:szCs w:val="20"/>
                <w:highlight w:val="none"/>
              </w:rPr>
              <w:t>后台管控与数据统计功能</w:t>
            </w:r>
          </w:p>
          <w:p w14:paraId="1B88C436">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微信公众号部署</w:t>
            </w:r>
          </w:p>
          <w:p w14:paraId="6524E0F3">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系统平台接入</w:t>
            </w:r>
          </w:p>
        </w:tc>
      </w:tr>
    </w:tbl>
    <w:p w14:paraId="75A7C11C">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三、技术要求</w:t>
      </w:r>
    </w:p>
    <w:p w14:paraId="0DD01E0A">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电动自行车管理系统功能要求</w:t>
      </w:r>
    </w:p>
    <w:p w14:paraId="59A5A54C">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本项目建设需对上海海事大学现有的校园电动自行车进行系统化本地管理，尤其是对车辆信息核查、违章管控功能以及如何应对突发情况提出解决方案。具体功能要求如下：</w:t>
      </w:r>
    </w:p>
    <w:p w14:paraId="0F661829">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（一）车辆信息核查功能</w:t>
      </w:r>
    </w:p>
    <w:p w14:paraId="4AF65985">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1</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多方式查询：支持通过扫描车辆RFID标签二维码、输入车牌号等方式；</w:t>
      </w:r>
    </w:p>
    <w:p w14:paraId="555D8403">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2</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信息展示：快速显示车辆注册登记信息（车主姓名、学号/工号、注册时间、绑定状态）、通行权限、充电权限、历史违停记录等；</w:t>
      </w:r>
    </w:p>
    <w:p w14:paraId="1E262FB1">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3</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信息核验：支持安保人员现场核对车辆信息与实际车辆是否一致，标记核验结果（一致/不一致）。</w:t>
      </w:r>
    </w:p>
    <w:p w14:paraId="73697E89">
      <w:pPr>
        <w:spacing w:line="360" w:lineRule="auto"/>
        <w:rPr>
          <w:rFonts w:hint="eastAsia" w:ascii="方正兰亭黑简体" w:hAnsi="方正兰亭黑简体" w:eastAsia="方正兰亭黑简体" w:cs="方正兰亭黑简体"/>
          <w:color w:val="auto"/>
          <w:sz w:val="22"/>
          <w:szCs w:val="22"/>
          <w:highlight w:val="none"/>
        </w:rPr>
      </w:pPr>
      <w:bookmarkStart w:id="4" w:name="OLE_LINK10"/>
      <w:r>
        <w:rPr>
          <w:rFonts w:hint="eastAsia" w:ascii="方正兰亭黑简体" w:hAnsi="方正兰亭黑简体" w:eastAsia="方正兰亭黑简体" w:cs="方正兰亭黑简体"/>
          <w:color w:val="auto"/>
          <w:sz w:val="22"/>
          <w:szCs w:val="22"/>
          <w:highlight w:val="none"/>
        </w:rPr>
        <w:t>（二）随手拍违停上报管控功能</w:t>
      </w:r>
    </w:p>
    <w:p w14:paraId="086E3E74">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1</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违停信息采集：支持拍照/上传图片、填写违停地点、违停类型（如占用消防通道、主干道、禁停区域等）、备注说明；</w:t>
      </w:r>
    </w:p>
    <w:p w14:paraId="48C9BBD8">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2</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关联车辆信息：核查车辆信息后，可直接关联至违停记录，无需重复输入；</w:t>
      </w:r>
    </w:p>
    <w:p w14:paraId="0B7B31B4">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3</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上报流程：提交后自动流转至后台管控系统，生成违停处理单；</w:t>
      </w:r>
    </w:p>
    <w:p w14:paraId="42529157">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4</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处理进度跟踪：支持查看违停记录的处理状态（待处理、处理中、已通知、已解决），可上传处理结果。</w:t>
      </w:r>
    </w:p>
    <w:bookmarkEnd w:id="4"/>
    <w:p w14:paraId="1E271234">
      <w:pPr>
        <w:spacing w:line="360" w:lineRule="auto"/>
        <w:rPr>
          <w:rFonts w:hint="eastAsia" w:ascii="方正兰亭黑简体" w:hAnsi="方正兰亭黑简体" w:eastAsia="方正兰亭黑简体" w:cs="方正兰亭黑简体"/>
          <w:color w:val="auto"/>
          <w:sz w:val="22"/>
          <w:szCs w:val="22"/>
          <w:highlight w:val="none"/>
        </w:rPr>
      </w:pPr>
      <w:bookmarkStart w:id="5" w:name="OLE_LINK11"/>
      <w:r>
        <w:rPr>
          <w:rFonts w:hint="eastAsia" w:ascii="方正兰亭黑简体" w:hAnsi="方正兰亭黑简体" w:eastAsia="方正兰亭黑简体" w:cs="方正兰亭黑简体"/>
          <w:color w:val="auto"/>
          <w:sz w:val="22"/>
          <w:szCs w:val="22"/>
          <w:highlight w:val="none"/>
        </w:rPr>
        <w:t>（三）区间测速管理功能</w:t>
      </w:r>
    </w:p>
    <w:bookmarkEnd w:id="5"/>
    <w:p w14:paraId="0C7D85C6">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1</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解析RFID标签信息数据，校验人员信息数据关联、过滤无效/重复数据，输出结构化数据。</w:t>
      </w:r>
    </w:p>
    <w:p w14:paraId="45224774">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2</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关联区间起点/终点有效数据，精准计算车辆平均速度，实现超速分级判定（参数可配置）。</w:t>
      </w:r>
    </w:p>
    <w:p w14:paraId="33F7CECE">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3</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融合各类数据，提供通行量、超速率等多维度统计，实现异常预警，支撑管理决策。</w:t>
      </w:r>
    </w:p>
    <w:p w14:paraId="3F845387">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（四）后台管控与数据统计功能</w:t>
      </w:r>
    </w:p>
    <w:p w14:paraId="7A53D53C">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1</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数据接收与展示：实时接收随手拍上报的违停信息，集中展示；</w:t>
      </w:r>
    </w:p>
    <w:p w14:paraId="0C84FBCF">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2</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处理单管理：支持对违停处理单进行分配、审核、标记处理结果、回复反馈；</w:t>
      </w:r>
    </w:p>
    <w:p w14:paraId="62C82CCF">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3</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通知推送：支持通过短信/公众号消息通知车主违停信息及处理要求；</w:t>
      </w:r>
    </w:p>
    <w:p w14:paraId="07283739">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4</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数据统计分析：按时间（日/周/月/年）、区域、违停类型、上报来源统计违停数据，生成报表（可导出）；</w:t>
      </w:r>
    </w:p>
    <w:p w14:paraId="2D74B015">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lang w:val="en-US" w:eastAsia="zh-CN"/>
        </w:rPr>
        <w:t>5</w:t>
      </w:r>
      <w:r>
        <w:rPr>
          <w:rFonts w:hint="eastAsia" w:ascii="方正兰亭黑简体" w:hAnsi="方正兰亭黑简体" w:eastAsia="方正兰亭黑简体" w:cs="方正兰亭黑简体"/>
          <w:color w:val="auto"/>
          <w:sz w:val="22"/>
          <w:szCs w:val="22"/>
          <w:highlight w:val="none"/>
          <w:lang w:eastAsia="zh-CN"/>
        </w:rPr>
        <w:t>）</w:t>
      </w:r>
      <w:r>
        <w:rPr>
          <w:rFonts w:hint="eastAsia" w:ascii="方正兰亭黑简体" w:hAnsi="方正兰亭黑简体" w:eastAsia="方正兰亭黑简体" w:cs="方正兰亭黑简体"/>
          <w:color w:val="auto"/>
          <w:sz w:val="22"/>
          <w:szCs w:val="22"/>
          <w:highlight w:val="none"/>
        </w:rPr>
        <w:t>系统管理：支持管理员维护校内区域信息、违停类型、用户权限、数据备份与导出。</w:t>
      </w:r>
    </w:p>
    <w:p w14:paraId="5C3A89D4">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（五）微信公众号部署</w:t>
      </w:r>
    </w:p>
    <w:p w14:paraId="5F50EF32">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基于校方微信公众号部署相关应用系统</w:t>
      </w:r>
    </w:p>
    <w:p w14:paraId="242717E1">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（六）系统平台接入</w:t>
      </w:r>
    </w:p>
    <w:p w14:paraId="52C3E776">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★针对本次</w:t>
      </w:r>
      <w:r>
        <w:rPr>
          <w:rFonts w:hint="eastAsia" w:ascii="方正兰亭黑简体" w:hAnsi="方正兰亭黑简体" w:eastAsia="方正兰亭黑简体" w:cs="方正兰亭黑简体"/>
          <w:color w:val="auto"/>
          <w:sz w:val="22"/>
          <w:szCs w:val="22"/>
          <w:highlight w:val="none"/>
          <w:lang w:eastAsia="zh-CN"/>
        </w:rPr>
        <w:t>项目涉及</w:t>
      </w:r>
      <w:r>
        <w:rPr>
          <w:rFonts w:hint="eastAsia" w:ascii="方正兰亭黑简体" w:hAnsi="方正兰亭黑简体" w:eastAsia="方正兰亭黑简体" w:cs="方正兰亭黑简体"/>
          <w:color w:val="auto"/>
          <w:sz w:val="22"/>
          <w:szCs w:val="22"/>
          <w:highlight w:val="none"/>
        </w:rPr>
        <w:t>电动自行车RFID系统设备及机动车超速设备，投标人须承诺免费接入现有的校园智慧交通系统平台管理进行综合管理，具体对接要求如下：</w:t>
      </w:r>
    </w:p>
    <w:p w14:paraId="4974BC5A">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投标人应承诺，中标后的10个工作日内将配合招标人和原系统厂商对招标人现有“校园电动自行车系统”“校园违章管理系统”进行对接测试（对接要求详见“对接测试附表”），若测试不通过则招标人有权取消中标资格，并按照评标报告推荐的中标候选人名单排序，确定下一候选人为中标供应商。</w:t>
      </w:r>
    </w:p>
    <w:p w14:paraId="65A9AD56">
      <w:pPr>
        <w:spacing w:line="36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《对接测试表》</w:t>
      </w:r>
    </w:p>
    <w:tbl>
      <w:tblPr>
        <w:tblStyle w:val="16"/>
        <w:tblW w:w="8387" w:type="dxa"/>
        <w:jc w:val="center"/>
        <w:tblLayout w:type="fixed"/>
        <w:tblCellMar>
          <w:top w:w="0" w:type="dxa"/>
          <w:left w:w="108" w:type="dxa"/>
          <w:bottom w:w="0" w:type="dxa"/>
          <w:right w:w="108" w:type="dxa"/>
        </w:tblCellMar>
      </w:tblPr>
      <w:tblGrid>
        <w:gridCol w:w="5297"/>
        <w:gridCol w:w="1560"/>
        <w:gridCol w:w="1530"/>
      </w:tblGrid>
      <w:tr w14:paraId="0B833F79">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396B9B07">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一、校园电动自行车系统</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70272CC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测试通过</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9ED312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测试未通过</w:t>
            </w:r>
          </w:p>
        </w:tc>
      </w:tr>
      <w:tr w14:paraId="7D40B857">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0BBBFAB0">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新增黑/白名单输出（1S内）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458CF91F">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C3DE32B">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79A5621B">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36ECEC00">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获取电动自行车校内名单数据截图（1S内）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3A26825C">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263CC66">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48E89396">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46B2FCA8">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获取车辆分类信息截图（1S内）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5B939112">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73149CA">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712BDD27">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0465D48C">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变量车辆信息库同步（5S内）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5197BF86">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59B4827">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317B6DD4">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3AD00AF8">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获取设备信息（1S内）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5A4191DA">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0853628">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22804331">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67313AED">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获取设备IP网络信息状态（1S内）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66AE78ED">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E620C57">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07390939">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2D9E839F">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获取设备在线离线状态及设备故障信息（3S内）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352C35EA">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C1D32F6">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2DB4A566">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44C87F6D">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获取电动自行车信息库字段（1S内）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5ACD45B3">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FF7BA59">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35437AED">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063A1552">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获取电动自行车RFID卡号信息数据（1S内）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7D50A767">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A33189A">
            <w:pPr>
              <w:spacing w:line="360" w:lineRule="auto"/>
              <w:jc w:val="center"/>
              <w:rPr>
                <w:rFonts w:hint="eastAsia" w:ascii="方正兰亭黑简体" w:hAnsi="方正兰亭黑简体" w:eastAsia="方正兰亭黑简体" w:cs="方正兰亭黑简体"/>
                <w:color w:val="auto"/>
                <w:sz w:val="20"/>
                <w:szCs w:val="20"/>
                <w:highlight w:val="none"/>
              </w:rPr>
            </w:pPr>
          </w:p>
        </w:tc>
      </w:tr>
      <w:tr w14:paraId="7A842F99">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78CFABAA">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二、校园机动车违章系统</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51F9833B">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测试通过</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C2C4C9E">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测试未通过</w:t>
            </w:r>
          </w:p>
        </w:tc>
      </w:tr>
      <w:tr w14:paraId="4273D846">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3C22F77E">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获取机动车超速信息数据截图（1S内）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D80CE">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251D">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4E5692C9">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713CD051">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获取违章数据信息（1S内）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099ED">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E0585">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323EEDFE">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6A4A1032">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新增违章管控数据（1S内）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C2C93">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D826">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43CA89C4">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333CE7FD">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获取违章设备信息（1S内）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CB006">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9AB3A">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713CDB9E">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4C13F8CC">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获取设备IP网络信息状态（1S内）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C86B9">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92E29">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7A0F2AFC">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46C23F00">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获取设备在线离线状态及设备故障信息（3S内）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7AD8E">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9F029">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6C9D09BB">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32F0FA70">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获取鉴权认证（1S内）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45BF3">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85B22">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423CE6EB">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5F8B37BA">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获取鉴权参数（1S内）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5D0E1">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B40AC">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7572DFEE">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35739672">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获取机动车违章信息库字段（1S内）</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5B6C">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0711">
            <w:pPr>
              <w:spacing w:line="360" w:lineRule="auto"/>
              <w:jc w:val="center"/>
              <w:rPr>
                <w:rFonts w:hint="eastAsia" w:ascii="方正兰亭黑简体" w:hAnsi="方正兰亭黑简体" w:eastAsia="方正兰亭黑简体" w:cs="方正兰亭黑简体"/>
                <w:color w:val="auto"/>
                <w:kern w:val="2"/>
                <w:sz w:val="20"/>
                <w:szCs w:val="20"/>
                <w:highlight w:val="none"/>
                <w:lang w:val="en-US" w:eastAsia="zh-CN" w:bidi="ar-SA"/>
              </w:rPr>
            </w:pPr>
          </w:p>
        </w:tc>
      </w:tr>
      <w:tr w14:paraId="39F0B29D">
        <w:tblPrEx>
          <w:tblCellMar>
            <w:top w:w="0" w:type="dxa"/>
            <w:left w:w="108" w:type="dxa"/>
            <w:bottom w:w="0" w:type="dxa"/>
            <w:right w:w="108" w:type="dxa"/>
          </w:tblCellMar>
        </w:tblPrEx>
        <w:trPr>
          <w:trHeight w:val="312" w:hRule="atLeast"/>
          <w:jc w:val="center"/>
        </w:trPr>
        <w:tc>
          <w:tcPr>
            <w:tcW w:w="5297" w:type="dxa"/>
            <w:tcBorders>
              <w:top w:val="single" w:color="000000" w:sz="4" w:space="0"/>
              <w:left w:val="single" w:color="000000" w:sz="4" w:space="0"/>
              <w:bottom w:val="single" w:color="000000" w:sz="4" w:space="0"/>
              <w:right w:val="single" w:color="000000" w:sz="4" w:space="0"/>
            </w:tcBorders>
            <w:noWrap/>
            <w:vAlign w:val="center"/>
          </w:tcPr>
          <w:p w14:paraId="5305959C">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获取违章超速比率数据（1S内）</w:t>
            </w: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18496E19">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4116230">
            <w:pPr>
              <w:spacing w:line="360" w:lineRule="auto"/>
              <w:jc w:val="center"/>
              <w:rPr>
                <w:rFonts w:hint="eastAsia" w:ascii="方正兰亭黑简体" w:hAnsi="方正兰亭黑简体" w:eastAsia="方正兰亭黑简体" w:cs="方正兰亭黑简体"/>
                <w:color w:val="auto"/>
                <w:sz w:val="20"/>
                <w:szCs w:val="20"/>
                <w:highlight w:val="none"/>
              </w:rPr>
            </w:pPr>
          </w:p>
        </w:tc>
      </w:tr>
    </w:tbl>
    <w:p w14:paraId="228AB952">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四、应遵循的相关国家标准、行业标准、地方标准等标准、规范</w:t>
      </w:r>
    </w:p>
    <w:p w14:paraId="34864545">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《智能建筑设计标准》（GB50314-2015） </w:t>
      </w:r>
    </w:p>
    <w:p w14:paraId="1E1C2AC1">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《汽车库、修车库、停车场设计防火规范》（GB50067-2014）</w:t>
      </w:r>
    </w:p>
    <w:p w14:paraId="39A0FAEA">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《停车库（场）安全管理系统技术要求》GAT 761-2008</w:t>
      </w:r>
    </w:p>
    <w:p w14:paraId="0DE47212">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《民用建筑电气设计规范》（JGJ16-2008）</w:t>
      </w:r>
    </w:p>
    <w:p w14:paraId="0FF8C467">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《安全防范工程程序与要求》（GA/T75-94）</w:t>
      </w:r>
    </w:p>
    <w:p w14:paraId="55936F2B">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《综合布线系统工程验收规范》GB 50312-2007</w:t>
      </w:r>
    </w:p>
    <w:p w14:paraId="141CB6F7">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《综合布线系统工程设计规范》GB 50311-2007</w:t>
      </w:r>
    </w:p>
    <w:p w14:paraId="7044F635">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《计算机软件开发规范》[GB8566-88] </w:t>
      </w:r>
    </w:p>
    <w:p w14:paraId="20A640B3">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《IEEE802.3 10/100Basr-T以太网规范》</w:t>
      </w:r>
    </w:p>
    <w:p w14:paraId="34E97200">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五</w:t>
      </w:r>
      <w:r>
        <w:rPr>
          <w:rFonts w:hint="default" w:ascii="Times New Roman" w:hAnsi="Times New Roman" w:eastAsia="方正兰亭黑简体" w:cs="Times New Roman"/>
          <w:b/>
          <w:bCs/>
          <w:color w:val="auto"/>
          <w:sz w:val="22"/>
          <w:szCs w:val="22"/>
          <w:highlight w:val="none"/>
          <w:lang w:val="en-US" w:eastAsia="zh-CN"/>
        </w:rPr>
        <w:t>、</w:t>
      </w:r>
      <w:r>
        <w:rPr>
          <w:rFonts w:hint="eastAsia" w:ascii="Times New Roman" w:hAnsi="Times New Roman" w:eastAsia="方正兰亭黑简体" w:cs="Times New Roman"/>
          <w:b/>
          <w:bCs/>
          <w:color w:val="auto"/>
          <w:sz w:val="22"/>
          <w:szCs w:val="22"/>
          <w:highlight w:val="none"/>
          <w:lang w:val="en-US" w:eastAsia="zh-CN"/>
        </w:rPr>
        <w:t>其他要求</w:t>
      </w:r>
    </w:p>
    <w:p w14:paraId="5C1C3585">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val="en-US" w:eastAsia="zh-CN"/>
        </w:rPr>
        <w:t>1、</w:t>
      </w:r>
      <w:r>
        <w:rPr>
          <w:rFonts w:hint="eastAsia" w:ascii="方正兰亭黑简体" w:hAnsi="方正兰亭黑简体" w:eastAsia="方正兰亭黑简体" w:cs="方正兰亭黑简体"/>
          <w:color w:val="auto"/>
          <w:sz w:val="22"/>
          <w:szCs w:val="22"/>
          <w:highlight w:val="none"/>
        </w:rPr>
        <w:t>产品验收合格后的36个月为产品质量保证期。成交单位应在产品质量保证期内提供7×24小时的维修服务响应，并无偿提供维修服务。产品质量保证期结束后五年内，成交单位应继续提供7×24小时的维修服务响应，并以最优惠价格提供维修服务。</w:t>
      </w:r>
    </w:p>
    <w:p w14:paraId="413E130C">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val="en-US" w:eastAsia="zh-CN"/>
        </w:rPr>
        <w:t>2、</w:t>
      </w:r>
      <w:r>
        <w:rPr>
          <w:rFonts w:hint="eastAsia" w:ascii="方正兰亭黑简体" w:hAnsi="方正兰亭黑简体" w:eastAsia="方正兰亭黑简体" w:cs="方正兰亭黑简体"/>
          <w:color w:val="auto"/>
          <w:sz w:val="22"/>
          <w:szCs w:val="22"/>
          <w:highlight w:val="none"/>
        </w:rPr>
        <w:t>成交单位的售后服务响应时间为接到报修后30分钟内响应，如不能及时远程解决故障的需在60分钟内到达现场进行故障修复，2小时内需修复故障恢复使用，具有本地化服务能力的优先考虑。</w:t>
      </w:r>
    </w:p>
    <w:p w14:paraId="309B23DF">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val="en-US" w:eastAsia="zh-CN"/>
        </w:rPr>
        <w:t>3、</w:t>
      </w:r>
      <w:r>
        <w:rPr>
          <w:rFonts w:hint="eastAsia" w:ascii="方正兰亭黑简体" w:hAnsi="方正兰亭黑简体" w:eastAsia="方正兰亭黑简体" w:cs="方正兰亭黑简体"/>
          <w:color w:val="auto"/>
          <w:sz w:val="22"/>
          <w:szCs w:val="22"/>
          <w:highlight w:val="none"/>
        </w:rPr>
        <w:t>为满足设备长期稳定运行需求，升级更新方面，应遵循 “兼容适配、效能提升” 原则，优先采用原厂认证的升级方案，提前开展兼容性测试与风险评估，明确升级流程，确保升级过程不影响核心业务运转；同步建立升级档案，详细记录版本信息、升级内容及效果反馈，为后续优化提供依据。</w:t>
      </w:r>
    </w:p>
    <w:p w14:paraId="072685F7">
      <w:pPr>
        <w:spacing w:line="360" w:lineRule="auto"/>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4、备品备件管理需实现 “精准储备、高效调配”，结合设备运行周期与故障概率，制定分级储备清单，核心部件实行冗余存储，常规备件按合理库存周转量动态补充；建立备件全生命周期追溯机制，规范入库验收、存储保养、领用登记等流程，定期核查备件完好性，搭建快速调配通道，确保突发故障时备件12小时内到位，最大限度缩短时间。同时定期复盘备件使用数据，持续优化管理策略，</w:t>
      </w:r>
    </w:p>
    <w:p w14:paraId="48DD7894">
      <w:pPr>
        <w:spacing w:line="360" w:lineRule="auto"/>
        <w:rPr>
          <w:rFonts w:hint="default"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lang w:val="en-US" w:eastAsia="zh-CN"/>
        </w:rPr>
        <w:t>5、为采购方免费培训使用仪器的工作人员，培训内容包括仪器的基本原理、安装、调试、操作使用和日常保养维修等</w:t>
      </w:r>
    </w:p>
    <w:p w14:paraId="70625C22">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六、履约验收</w:t>
      </w:r>
    </w:p>
    <w:p w14:paraId="4D7BD71F">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验收主体：项目用户单位</w:t>
      </w:r>
    </w:p>
    <w:p w14:paraId="704B49C0">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验收时间：合同履行达到验收条件且厂商发出项目验收建议后7个工作日内启动验收。</w:t>
      </w:r>
    </w:p>
    <w:p w14:paraId="14D0BF3A">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验收方式：一次性整体验收</w:t>
      </w:r>
    </w:p>
    <w:p w14:paraId="41CF95C1">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验收程序：</w:t>
      </w:r>
    </w:p>
    <w:p w14:paraId="28385F2F">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1、成立验收小组，由项目用户单位代表、专家等</w:t>
      </w:r>
      <w:r>
        <w:rPr>
          <w:rFonts w:hint="eastAsia" w:ascii="方正兰亭黑简体" w:hAnsi="方正兰亭黑简体" w:eastAsia="方正兰亭黑简体" w:cs="方正兰亭黑简体"/>
          <w:color w:val="auto"/>
          <w:sz w:val="22"/>
          <w:szCs w:val="22"/>
          <w:highlight w:val="none"/>
          <w:lang w:eastAsia="zh-CN"/>
        </w:rPr>
        <w:t>至少3人</w:t>
      </w:r>
      <w:r>
        <w:rPr>
          <w:rFonts w:hint="eastAsia" w:ascii="方正兰亭黑简体" w:hAnsi="方正兰亭黑简体" w:eastAsia="方正兰亭黑简体" w:cs="方正兰亭黑简体"/>
          <w:color w:val="auto"/>
          <w:sz w:val="22"/>
          <w:szCs w:val="22"/>
          <w:highlight w:val="none"/>
        </w:rPr>
        <w:t xml:space="preserve">单数组成； </w:t>
      </w:r>
    </w:p>
    <w:p w14:paraId="15A8678B">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2、厂商、项目用户单位分别汇报合同履约执行情况并提供相关文件资料。</w:t>
      </w:r>
    </w:p>
    <w:p w14:paraId="45AA0407">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3、验收小组根据招标（采购）文件、投标（响应）文件、政府采购合同等进行核对、验收，并形成验收意见。</w:t>
      </w:r>
    </w:p>
    <w:p w14:paraId="110F50AF">
      <w:pPr>
        <w:spacing w:line="360" w:lineRule="auto"/>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验收内容：验收内容包括每一项技术和商务要求的履约情况。</w:t>
      </w:r>
    </w:p>
    <w:p w14:paraId="460ECABB">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验收标准：验收标准应当符合采购合同约定，未进行相应约定的，应当符合国家强制性规定、政策要求、安全标准、行业或企业有关标准等。包括所有客观、量化指标，以及用户使用体验、服务效果满意度等。</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6"/>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53" w:type="dxa"/>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1734" w:type="dxa"/>
            <w:noWrap w:val="0"/>
            <w:vAlign w:val="center"/>
          </w:tcPr>
          <w:p w14:paraId="68D5C94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04EA5CE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713" w:type="dxa"/>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6830" w:type="dxa"/>
            <w:noWrap w:val="0"/>
            <w:vAlign w:val="center"/>
          </w:tcPr>
          <w:p w14:paraId="23395AC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5C1AD265">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9930" w:type="dxa"/>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53" w:type="dxa"/>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1734" w:type="dxa"/>
            <w:noWrap w:val="0"/>
            <w:vAlign w:val="center"/>
          </w:tcPr>
          <w:p w14:paraId="541D3827">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4DE47E3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713" w:type="dxa"/>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6830" w:type="dxa"/>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53" w:type="dxa"/>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1734" w:type="dxa"/>
            <w:noWrap w:val="0"/>
            <w:vAlign w:val="center"/>
          </w:tcPr>
          <w:p w14:paraId="0A408394">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45D7DC2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713" w:type="dxa"/>
            <w:noWrap w:val="0"/>
            <w:vAlign w:val="center"/>
          </w:tcPr>
          <w:p w14:paraId="70332D36">
            <w:pPr>
              <w:spacing w:line="360" w:lineRule="auto"/>
              <w:jc w:val="center"/>
              <w:rPr>
                <w:rFonts w:hint="default" w:ascii="方正兰亭黑简体" w:hAnsi="方正兰亭黑简体" w:eastAsia="方正兰亭黑简体" w:cs="方正兰亭黑简体"/>
                <w:color w:val="auto"/>
                <w:sz w:val="20"/>
                <w:szCs w:val="20"/>
                <w:highlight w:val="none"/>
                <w:lang w:val="en-US"/>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6830" w:type="dxa"/>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53" w:type="dxa"/>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1734" w:type="dxa"/>
            <w:tcBorders>
              <w:top w:val="single" w:color="auto" w:sz="6" w:space="0"/>
              <w:left w:val="single" w:color="auto" w:sz="6" w:space="0"/>
              <w:bottom w:val="single" w:color="auto" w:sz="6" w:space="0"/>
              <w:right w:val="single" w:color="auto" w:sz="6" w:space="0"/>
            </w:tcBorders>
            <w:noWrap w:val="0"/>
            <w:vAlign w:val="center"/>
          </w:tcPr>
          <w:p w14:paraId="633F2239">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039DAF2F">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713" w:type="dxa"/>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6830" w:type="dxa"/>
            <w:noWrap w:val="0"/>
            <w:vAlign w:val="center"/>
          </w:tcPr>
          <w:p w14:paraId="572D35D1">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78FFF05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268251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3DD6894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53" w:type="dxa"/>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1734" w:type="dxa"/>
            <w:noWrap w:val="0"/>
            <w:vAlign w:val="center"/>
          </w:tcPr>
          <w:p w14:paraId="0CBCB7E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5CD02292">
            <w:pPr>
              <w:pStyle w:val="15"/>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713" w:type="dxa"/>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6830" w:type="dxa"/>
            <w:noWrap w:val="0"/>
            <w:vAlign w:val="center"/>
          </w:tcPr>
          <w:p w14:paraId="77A969B0">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6EE59B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7BF1E548">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1D95817A">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4C24D5C0">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项目编号：HFBX2026022</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20"/>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5"/>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9"/>
        <w:rPr>
          <w:rFonts w:hint="default" w:ascii="方正兰亭黑简体" w:hAnsi="方正兰亭黑简体" w:eastAsia="方正兰亭黑简体" w:cs="方正兰亭黑简体"/>
          <w:color w:val="auto"/>
          <w:sz w:val="22"/>
          <w:szCs w:val="28"/>
          <w:highlight w:val="none"/>
          <w:lang w:val="en-US" w:eastAsia="zh-CN"/>
        </w:rPr>
      </w:pPr>
    </w:p>
    <w:p w14:paraId="3F5F1DB4">
      <w:pPr>
        <w:pStyle w:val="9"/>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7"/>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7"/>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7"/>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7"/>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B8FF15-A9D8-4345-B12D-0B5D4014AB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50312742-02C8-420B-95AF-0239149BAD1A}"/>
  </w:font>
  <w:font w:name="华文楷体">
    <w:panose1 w:val="02010600040101010101"/>
    <w:charset w:val="86"/>
    <w:family w:val="auto"/>
    <w:pitch w:val="default"/>
    <w:sig w:usb0="A00002BF" w:usb1="78CF7CFB" w:usb2="00000016" w:usb3="00000000" w:csb0="6006009F" w:csb1="DFD70000"/>
    <w:embedRegular r:id="rId3" w:fontKey="{6E8224A5-ABA8-4A8B-A474-DF47081B674F}"/>
  </w:font>
  <w:font w:name="方正仿宋_GB2312">
    <w:panose1 w:val="02000000000000000000"/>
    <w:charset w:val="86"/>
    <w:family w:val="auto"/>
    <w:pitch w:val="default"/>
    <w:sig w:usb0="A00002BF" w:usb1="184F6CFA" w:usb2="00000012" w:usb3="00000000" w:csb0="00040001" w:csb1="00000000"/>
    <w:embedRegular r:id="rId4" w:fontKey="{FCAA2B22-8675-4CC8-AF61-C95C3EA9683C}"/>
  </w:font>
  <w:font w:name="仿宋">
    <w:panose1 w:val="02010609060101010101"/>
    <w:charset w:val="86"/>
    <w:family w:val="modern"/>
    <w:pitch w:val="default"/>
    <w:sig w:usb0="800002BF" w:usb1="38CF7CFA" w:usb2="00000016" w:usb3="00000000" w:csb0="00040001" w:csb1="00000000"/>
    <w:embedRegular r:id="rId5" w:fontKey="{CD30B7D1-1B8A-4028-AE86-A9D9AE1054C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B7B6E53"/>
    <w:rsid w:val="146C6B60"/>
    <w:rsid w:val="15285D7F"/>
    <w:rsid w:val="157E6317"/>
    <w:rsid w:val="15D04D45"/>
    <w:rsid w:val="16E951E1"/>
    <w:rsid w:val="16EA46F2"/>
    <w:rsid w:val="1B307278"/>
    <w:rsid w:val="1DF9272E"/>
    <w:rsid w:val="22AA0589"/>
    <w:rsid w:val="24050543"/>
    <w:rsid w:val="2DAA3F84"/>
    <w:rsid w:val="2E691D1D"/>
    <w:rsid w:val="2FB07FD7"/>
    <w:rsid w:val="3A774F92"/>
    <w:rsid w:val="3CFB52B6"/>
    <w:rsid w:val="3D6469F5"/>
    <w:rsid w:val="3DBA1AA2"/>
    <w:rsid w:val="3DC62522"/>
    <w:rsid w:val="3E5C4869"/>
    <w:rsid w:val="3FCC680A"/>
    <w:rsid w:val="41007DAA"/>
    <w:rsid w:val="45DB0FAA"/>
    <w:rsid w:val="480A63EB"/>
    <w:rsid w:val="4A2362AE"/>
    <w:rsid w:val="4AFC4A60"/>
    <w:rsid w:val="4CC21E26"/>
    <w:rsid w:val="4EFD134C"/>
    <w:rsid w:val="55CF5109"/>
    <w:rsid w:val="56DA6F5F"/>
    <w:rsid w:val="57117CB6"/>
    <w:rsid w:val="573107A3"/>
    <w:rsid w:val="5AEA704B"/>
    <w:rsid w:val="5CB31D19"/>
    <w:rsid w:val="5D66061F"/>
    <w:rsid w:val="5E8720EC"/>
    <w:rsid w:val="5EE9209B"/>
    <w:rsid w:val="62DD78C6"/>
    <w:rsid w:val="63DF4A20"/>
    <w:rsid w:val="64CE760B"/>
    <w:rsid w:val="67076ADD"/>
    <w:rsid w:val="684F045C"/>
    <w:rsid w:val="699E1F48"/>
    <w:rsid w:val="6C3138A4"/>
    <w:rsid w:val="6E3767B2"/>
    <w:rsid w:val="6FC06751"/>
    <w:rsid w:val="769D2894"/>
    <w:rsid w:val="794117F3"/>
    <w:rsid w:val="7993773F"/>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paragraph" w:styleId="5">
    <w:name w:val="heading 4"/>
    <w:basedOn w:val="1"/>
    <w:next w:val="1"/>
    <w:qFormat/>
    <w:uiPriority w:val="0"/>
    <w:pPr>
      <w:keepNext/>
      <w:keepLines/>
      <w:outlineLvl w:val="3"/>
    </w:pPr>
    <w:rPr>
      <w:rFonts w:ascii="Arial" w:hAnsi="Arial"/>
      <w:b/>
      <w:bCs/>
      <w:sz w:val="24"/>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after="120"/>
    </w:pPr>
  </w:style>
  <w:style w:type="paragraph" w:styleId="7">
    <w:name w:val="Body Text Indent"/>
    <w:basedOn w:val="1"/>
    <w:qFormat/>
    <w:uiPriority w:val="0"/>
    <w:pPr>
      <w:ind w:left="420" w:leftChars="200"/>
    </w:pPr>
  </w:style>
  <w:style w:type="paragraph" w:styleId="8">
    <w:name w:val="Block Text"/>
    <w:basedOn w:val="1"/>
    <w:qFormat/>
    <w:uiPriority w:val="0"/>
    <w:pPr>
      <w:spacing w:line="360" w:lineRule="auto"/>
      <w:ind w:left="-105" w:leftChars="-50" w:right="-407" w:rightChars="-194"/>
    </w:pPr>
    <w:rPr>
      <w:rFonts w:ascii="宋体" w:hAnsi="Times New Roman" w:eastAsia="宋体" w:cs="Times New Roman"/>
      <w:sz w:val="24"/>
      <w:szCs w:val="24"/>
    </w:rPr>
  </w:style>
  <w:style w:type="paragraph" w:styleId="9">
    <w:name w:val="Plain Text"/>
    <w:basedOn w:val="1"/>
    <w:qFormat/>
    <w:uiPriority w:val="0"/>
    <w:rPr>
      <w:rFonts w:ascii="宋体" w:hAnsi="Courier New"/>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unhideWhenUsed/>
    <w:qFormat/>
    <w:uiPriority w:val="39"/>
    <w:rPr>
      <w:rFonts w:ascii="Calibri" w:hAnsi="Calibri" w:eastAsia="宋体" w:cs="Times New Roman"/>
    </w:rPr>
  </w:style>
  <w:style w:type="paragraph" w:styleId="13">
    <w:name w:val="Body Text Indent 3"/>
    <w:basedOn w:val="1"/>
    <w:qFormat/>
    <w:uiPriority w:val="0"/>
    <w:pPr>
      <w:ind w:firstLine="600" w:firstLineChars="200"/>
    </w:pPr>
    <w:rPr>
      <w:color w:val="FF0000"/>
      <w:sz w:val="30"/>
      <w:szCs w:val="20"/>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w:basedOn w:val="6"/>
    <w:qFormat/>
    <w:uiPriority w:val="0"/>
    <w:pPr>
      <w:widowControl/>
      <w:spacing w:after="120"/>
      <w:ind w:firstLine="420" w:firstLineChars="100"/>
      <w:jc w:val="left"/>
    </w:pPr>
    <w:rPr>
      <w:rFonts w:ascii="Times New Roman"/>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Hyperlink"/>
    <w:basedOn w:val="18"/>
    <w:unhideWhenUsed/>
    <w:qFormat/>
    <w:uiPriority w:val="99"/>
    <w:rPr>
      <w:color w:val="0000FF"/>
      <w:u w:val="single"/>
    </w:rPr>
  </w:style>
  <w:style w:type="paragraph" w:customStyle="1" w:styleId="21">
    <w:name w:val="列表段落1"/>
    <w:basedOn w:val="1"/>
    <w:qFormat/>
    <w:uiPriority w:val="0"/>
    <w:pPr>
      <w:ind w:firstLine="420" w:firstLineChars="200"/>
    </w:pPr>
  </w:style>
  <w:style w:type="paragraph" w:customStyle="1" w:styleId="22">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3">
    <w:name w:val="15"/>
    <w:basedOn w:val="18"/>
    <w:qFormat/>
    <w:uiPriority w:val="0"/>
    <w:rPr>
      <w:rFonts w:hint="default" w:ascii="Calibri" w:hAnsi="Calibri" w:cs="Calibri"/>
      <w:b/>
      <w:bCs/>
    </w:rPr>
  </w:style>
  <w:style w:type="paragraph" w:styleId="24">
    <w:name w:val="List Paragraph"/>
    <w:basedOn w:val="1"/>
    <w:qFormat/>
    <w:uiPriority w:val="34"/>
    <w:pPr>
      <w:ind w:left="720"/>
      <w:contextualSpacing/>
    </w:pPr>
  </w:style>
  <w:style w:type="character" w:customStyle="1" w:styleId="25">
    <w:name w:val="楷体 (中文) 楷体"/>
    <w:qFormat/>
    <w:uiPriority w:val="0"/>
    <w:rPr>
      <w:rFonts w:ascii="楷体" w:hAnsi="楷体" w:eastAsia="楷体"/>
      <w:kern w:val="1"/>
      <w:sz w:val="28"/>
    </w:rPr>
  </w:style>
  <w:style w:type="paragraph" w:customStyle="1" w:styleId="26">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8f60621e-a885-44f5-b0d1-b2604181cdcf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7c10de51-3d8d-4202-a4c0-62410b3cc0b1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51e63f6e-0532-4dca-8369-ea71e151531f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11da0fd4-0389-45e0-bc85-b6cf30564867</errorID>
      <errorWord>、等</errorWord>
      <group>L1_Punc</group>
      <groupName>标点问题</groupName>
      <ability>L2_Punc</ability>
      <abilityName>标点符号检查</abilityName>
      <candidateList>
        <item>等</item>
      </candidateList>
      <explain>“及”“和”“等”连词前不宜使用顿号，建议删除（或使用逗号）。</explain>
      <paraID>565DEFA9</paraID>
      <start>126</start>
      <end>127</end>
      <status>modified</status>
      <modifiedWord>等</modifiedWord>
      <trackRevisions>false</trackRevisions>
    </reviewItem>
    <reviewItem>
      <errorID>50a8fbf4-d01e-4a40-b589-80c07f6ef226</errorID>
      <errorWord>主干道主干道</errorWord>
      <group>L1_Word</group>
      <groupName>字词问题</groupName>
      <ability>L2_Typo</ability>
      <abilityName>字词错误</abilityName>
      <candidateList>
        <item>主干道</item>
      </candidateList>
      <explain/>
      <paraID>1FDDEC8E</paraID>
      <start>20</start>
      <end>23</end>
      <status>modified</status>
      <modifiedWord>主干道</modifiedWord>
      <trackRevisions>false</trackRevisions>
    </reviewItem>
    <reviewItem>
      <errorID>753df726-19b1-4ed1-a3b4-da0f6ab5caa9</errorID>
      <errorWord>;</errorWord>
      <group>L1_Format</group>
      <groupName>格式问题</groupName>
      <ability>L2_HalfPunc</ability>
      <abilityName>全半角检查</abilityName>
      <candidateList>
        <item>；</item>
      </candidateList>
      <explain>文本全半角错误。</explain>
      <paraID>21B518A1</paraID>
      <start>23</start>
      <end>24</end>
      <status>modified</status>
      <modifiedWord>；</modifiedWord>
      <trackRevisions>false</trackRevisions>
    </reviewItem>
    <reviewItem>
      <errorID>323a5d13-7399-431f-8e45-d729f0d8befe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1951BFB8</paraID>
      <start>9</start>
      <end>10</end>
      <status>modified</status>
      <modifiedWord>—</modifiedWord>
      <trackRevisions>false</trackRevisions>
    </reviewItem>
    <reviewItem>
      <errorID>787f859c-1fd2-4090-a32a-db3a0340f188</errorID>
      <errorWord>：&gt;</errorWord>
      <group>L1_Punc</group>
      <groupName>标点问题</groupName>
      <ability>L2_Punc</ability>
      <abilityName>标点符号检查</abilityName>
      <candidateList>
        <item>：</item>
      </candidateList>
      <explain/>
      <paraID> BE3CF00</paraID>
      <start>5</start>
      <end>7</end>
      <status>unmodified</status>
      <modifiedWord/>
      <trackRevisions>false</trackRevisions>
    </reviewItem>
    <reviewItem>
      <errorID>31794b88-5039-4c1b-ab54-60f717d26f54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DD01E0A</paraID>
      <start>0</start>
      <end>2</end>
      <status>unmodified</status>
      <modifiedWord/>
      <trackRevisions>false</trackRevisions>
    </reviewItem>
    <reviewItem>
      <errorID>b0f7c6cf-4390-4a08-a356-cc87f8105def</errorID>
      <errorWord>项目的</errorWord>
      <group>L1_Word</group>
      <groupName>字词问题</groupName>
      <ability>L2_Typo</ability>
      <abilityName>字词错误</abilityName>
      <candidateList>
        <item>项目</item>
      </candidateList>
      <explain>〈名〉事物分成的门类：服务～｜体育～｜建设～。</explain>
      <paraID>52C3E776</paraID>
      <start>5</start>
      <end>7</end>
      <status>modified</status>
      <modifiedWord>项目</modifiedWord>
      <trackRevisions>false</trackRevisions>
    </reviewItem>
    <reviewItem>
      <errorID>2573d078-b771-4e63-8a91-11b02d0cba56</errorID>
      <errorWord>涉及到</errorWord>
      <group>L1_Grammar</group>
      <groupName>语法问题</groupName>
      <ability>L2_Grammar</ability>
      <abilityName>语法错误</abilityName>
      <candidateList>
        <item>涉及</item>
      </candidateList>
      <explain>〈动〉牵涉到；关联到：案子～好几个人｜这个问题～面很广。</explain>
      <paraID>52C3E776</paraID>
      <start>7</start>
      <end>9</end>
      <status>modified</status>
      <modifiedWord>涉及</modifiedWord>
      <trackRevisions>false</trackRevisions>
    </reviewItem>
    <reviewItem>
      <errorID>e3b99ddf-2579-4f0e-9bce-2bec95eb5e04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5C1C3585</paraID>
      <start>0</start>
      <end>2</end>
      <status>unmodified</status>
      <modifiedWord/>
      <trackRevisions>false</trackRevisions>
    </reviewItem>
    <reviewItem>
      <errorID>63d8588c-b07a-4c5f-b39d-ab8d32d28dab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413E130C</paraID>
      <start>0</start>
      <end>2</end>
      <status>unmodified</status>
      <modifiedWord/>
      <trackRevisions>false</trackRevisions>
    </reviewItem>
    <reviewItem>
      <errorID>b8f9b1e3-6870-4594-b2a7-a82f231810e0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309B23DF</paraID>
      <start>0</start>
      <end>2</end>
      <status>unmodified</status>
      <modifiedWord/>
      <trackRevisions>false</trackRevisions>
    </reviewItem>
    <reviewItem>
      <errorID>a39e3365-b89c-45f7-9d91-6f16d9b30656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72685F7</paraID>
      <start>0</start>
      <end>2</end>
      <status>unmodified</status>
      <modifiedWord/>
      <trackRevisions>false</trackRevisions>
    </reviewItem>
    <reviewItem>
      <errorID>32a464d6-7c04-49ef-a0a8-8c8edebcd74d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48DD7894</paraID>
      <start>0</start>
      <end>2</end>
      <status>unmodified</status>
      <modifiedWord/>
      <trackRevisions>false</trackRevisions>
    </reviewItem>
    <reviewItem>
      <errorID>44110b23-e06d-4e20-ba0f-1339ee9df355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28385F2F</paraID>
      <start>0</start>
      <end>2</end>
      <status>unmodified</status>
      <modifiedWord/>
      <trackRevisions>false</trackRevisions>
    </reviewItem>
    <reviewItem>
      <errorID>b65bbc51-f690-49c0-afd5-50f2baf3e868</errorID>
      <errorWord>至少3人以上</errorWord>
      <group>L1_Grammar</group>
      <groupName>语法问题</groupName>
      <ability>L2_Grammar</ability>
      <abilityName>语法错误</abilityName>
      <candidateList>
        <item>至少3人</item>
      </candidateList>
      <explain/>
      <paraID>28385F2F</paraID>
      <start>22</start>
      <end>26</end>
      <status>modified</status>
      <modifiedWord>至少3人</modifiedWord>
      <trackRevisions>false</trackRevisions>
    </reviewItem>
    <reviewItem>
      <errorID>d2da23df-161c-4a59-baf4-b72ecab3fd0c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15A8678B</paraID>
      <start>0</start>
      <end>2</end>
      <status>unmodified</status>
      <modifiedWord/>
      <trackRevisions>false</trackRevisions>
    </reviewItem>
    <reviewItem>
      <errorID>b17d3203-ec1b-48f1-be50-40e90c2c7992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45AA0407</paraID>
      <start>0</start>
      <end>2</end>
      <status>unmodified</status>
      <modifiedWord/>
      <trackRevisions>false</trackRevisions>
    </reviewItem>
    <reviewItem>
      <errorID>42583d20-54bc-48ef-a53f-a6a5dbd66bb6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7b19700b-6ae9-4bbc-bdbd-faf96ad47546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96a40490-22a8-4f5f-af3b-54503e249d74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3583aef3-39e6-41b7-af86-3e48f8e3be3e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f5b79588-e809-4bf5-b74a-88561384c0a2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4ef51947-ad85-45ff-bf94-7b6ffb0e41b8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ba57da28-3de5-4b1f-990d-99c0f0dc64f4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9f26defd-6f34-4539-8f53-35186f9b0b4c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c851ea-d5bb-4c9f-bfb9-05e76a050632}">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2111</Words>
  <Characters>2577</Characters>
  <Lines>0</Lines>
  <Paragraphs>0</Paragraphs>
  <TotalTime>2</TotalTime>
  <ScaleCrop>false</ScaleCrop>
  <LinksUpToDate>false</LinksUpToDate>
  <CharactersWithSpaces>2610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2026-04-16T07:26:40Z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