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sz w:val="36"/>
          <w:szCs w:val="36"/>
        </w:rPr>
      </w:pPr>
      <w:r>
        <w:rPr>
          <w:rFonts w:hint="eastAsia"/>
          <w:b/>
          <w:sz w:val="36"/>
          <w:szCs w:val="36"/>
        </w:rPr>
        <w:t>上海海事大学</w:t>
      </w:r>
    </w:p>
    <w:p>
      <w:pPr>
        <w:spacing w:line="360" w:lineRule="auto"/>
        <w:jc w:val="center"/>
        <w:rPr>
          <w:b/>
          <w:sz w:val="36"/>
          <w:szCs w:val="36"/>
        </w:rPr>
      </w:pPr>
      <w:r>
        <w:rPr>
          <w:rFonts w:hint="eastAsia"/>
          <w:b/>
          <w:sz w:val="36"/>
          <w:szCs w:val="36"/>
        </w:rPr>
        <w:t>数据资产管理与应用平台租赁需求</w:t>
      </w:r>
    </w:p>
    <w:p>
      <w:pPr>
        <w:pStyle w:val="3"/>
        <w:spacing w:after="0"/>
        <w:ind w:firstLine="562" w:firstLineChars="200"/>
        <w:rPr>
          <w:sz w:val="28"/>
          <w:szCs w:val="28"/>
        </w:rPr>
      </w:pPr>
      <w:r>
        <w:rPr>
          <w:rFonts w:hint="eastAsia"/>
          <w:sz w:val="28"/>
          <w:szCs w:val="28"/>
        </w:rPr>
        <w:t>一、项目背景</w:t>
      </w:r>
    </w:p>
    <w:p>
      <w:pPr>
        <w:ind w:firstLine="560" w:firstLineChars="200"/>
        <w:rPr>
          <w:rFonts w:ascii="仿宋" w:hAnsi="仿宋" w:eastAsia="仿宋"/>
          <w:sz w:val="28"/>
          <w:szCs w:val="28"/>
        </w:rPr>
      </w:pPr>
      <w:r>
        <w:rPr>
          <w:rFonts w:hint="eastAsia" w:ascii="仿宋" w:hAnsi="仿宋" w:eastAsia="仿宋"/>
          <w:sz w:val="28"/>
          <w:szCs w:val="28"/>
        </w:rPr>
        <w:t>为深化学校</w:t>
      </w:r>
      <w:r>
        <w:rPr>
          <w:rFonts w:ascii="仿宋" w:hAnsi="仿宋" w:eastAsia="仿宋"/>
          <w:sz w:val="28"/>
          <w:szCs w:val="28"/>
        </w:rPr>
        <w:t>数据治理工作，</w:t>
      </w:r>
      <w:r>
        <w:rPr>
          <w:rFonts w:hint="eastAsia" w:ascii="仿宋" w:hAnsi="仿宋" w:eastAsia="仿宋"/>
          <w:sz w:val="28"/>
          <w:szCs w:val="28"/>
        </w:rPr>
        <w:t>完善</w:t>
      </w:r>
      <w:r>
        <w:rPr>
          <w:rFonts w:ascii="仿宋" w:hAnsi="仿宋" w:eastAsia="仿宋"/>
          <w:sz w:val="28"/>
          <w:szCs w:val="28"/>
        </w:rPr>
        <w:t>数据共享交换，丰富数据应用场景，</w:t>
      </w:r>
      <w:r>
        <w:rPr>
          <w:rFonts w:hint="eastAsia" w:ascii="仿宋" w:hAnsi="仿宋" w:eastAsia="仿宋"/>
          <w:sz w:val="28"/>
          <w:szCs w:val="28"/>
        </w:rPr>
        <w:t>学校拟租用一套数据资产管理</w:t>
      </w:r>
      <w:r>
        <w:rPr>
          <w:rFonts w:ascii="仿宋" w:hAnsi="仿宋" w:eastAsia="仿宋"/>
          <w:sz w:val="28"/>
          <w:szCs w:val="28"/>
        </w:rPr>
        <w:t>与应用平台，</w:t>
      </w:r>
      <w:r>
        <w:rPr>
          <w:rFonts w:hint="eastAsia" w:ascii="仿宋" w:hAnsi="仿宋" w:eastAsia="仿宋"/>
          <w:sz w:val="28"/>
          <w:szCs w:val="28"/>
        </w:rPr>
        <w:t>并基于</w:t>
      </w:r>
      <w:r>
        <w:rPr>
          <w:rFonts w:ascii="仿宋" w:hAnsi="仿宋" w:eastAsia="仿宋"/>
          <w:sz w:val="28"/>
          <w:szCs w:val="28"/>
        </w:rPr>
        <w:t>该平台</w:t>
      </w:r>
      <w:r>
        <w:rPr>
          <w:rFonts w:hint="eastAsia" w:ascii="仿宋" w:hAnsi="仿宋" w:eastAsia="仿宋"/>
          <w:sz w:val="28"/>
          <w:szCs w:val="28"/>
        </w:rPr>
        <w:t>开展深化数据治理</w:t>
      </w:r>
      <w:r>
        <w:rPr>
          <w:rFonts w:ascii="仿宋" w:hAnsi="仿宋" w:eastAsia="仿宋"/>
          <w:sz w:val="28"/>
          <w:szCs w:val="28"/>
        </w:rPr>
        <w:t>工作</w:t>
      </w:r>
      <w:r>
        <w:rPr>
          <w:rFonts w:hint="eastAsia" w:ascii="仿宋" w:hAnsi="仿宋" w:eastAsia="仿宋"/>
          <w:sz w:val="28"/>
          <w:szCs w:val="28"/>
        </w:rPr>
        <w:t>，实现以下预期目标：</w:t>
      </w:r>
    </w:p>
    <w:p>
      <w:pPr>
        <w:ind w:firstLine="560" w:firstLineChars="200"/>
        <w:rPr>
          <w:rFonts w:ascii="仿宋" w:hAnsi="仿宋" w:eastAsia="仿宋"/>
          <w:sz w:val="28"/>
          <w:szCs w:val="28"/>
        </w:rPr>
      </w:pPr>
      <w:r>
        <w:rPr>
          <w:rFonts w:hint="eastAsia" w:ascii="仿宋" w:hAnsi="仿宋" w:eastAsia="仿宋"/>
          <w:sz w:val="28"/>
          <w:szCs w:val="28"/>
        </w:rPr>
        <w:t>1、提升整体数据管理水平，持续开展数据治理</w:t>
      </w:r>
    </w:p>
    <w:p>
      <w:pPr>
        <w:ind w:firstLine="560" w:firstLineChars="200"/>
        <w:rPr>
          <w:rFonts w:ascii="仿宋" w:hAnsi="仿宋" w:eastAsia="仿宋"/>
          <w:sz w:val="28"/>
          <w:szCs w:val="28"/>
        </w:rPr>
      </w:pPr>
      <w:r>
        <w:rPr>
          <w:rFonts w:hint="eastAsia" w:ascii="仿宋" w:hAnsi="仿宋" w:eastAsia="仿宋"/>
          <w:sz w:val="28"/>
          <w:szCs w:val="28"/>
        </w:rPr>
        <w:t>丰富现有数据采集手段、拓宽数据来源，不断完善和补充学校数据资源。对数据资产进行整合、细分主题，形成数据资源中心，对校级业务数据的数据存储、数据标准、数据清洗、数据质量、数据安全进行统一管理。</w:t>
      </w:r>
    </w:p>
    <w:p>
      <w:pPr>
        <w:ind w:firstLine="560" w:firstLineChars="200"/>
        <w:rPr>
          <w:rFonts w:ascii="仿宋" w:hAnsi="仿宋" w:eastAsia="仿宋"/>
          <w:sz w:val="28"/>
          <w:szCs w:val="28"/>
        </w:rPr>
      </w:pPr>
      <w:r>
        <w:rPr>
          <w:rFonts w:hint="eastAsia" w:ascii="仿宋" w:hAnsi="仿宋" w:eastAsia="仿宋"/>
          <w:sz w:val="28"/>
          <w:szCs w:val="28"/>
        </w:rPr>
        <w:t>2、推动数据资产共享开放，持续提供能力开放</w:t>
      </w:r>
    </w:p>
    <w:p>
      <w:pPr>
        <w:ind w:firstLine="560" w:firstLineChars="200"/>
        <w:rPr>
          <w:rFonts w:ascii="仿宋" w:hAnsi="仿宋" w:eastAsia="仿宋"/>
          <w:sz w:val="28"/>
          <w:szCs w:val="28"/>
        </w:rPr>
      </w:pPr>
      <w:r>
        <w:rPr>
          <w:rFonts w:hint="eastAsia" w:ascii="仿宋" w:hAnsi="仿宋" w:eastAsia="仿宋"/>
          <w:sz w:val="28"/>
          <w:szCs w:val="28"/>
        </w:rPr>
        <w:t>实现全校数据资源的统一分类、编目，通过数据脱敏、数据加密等技术，在确保数据安全的基础上，面向学校教师、学生、职能部门提供数据开放服务，提供线上一站式服务中心。</w:t>
      </w:r>
    </w:p>
    <w:p>
      <w:pPr>
        <w:ind w:firstLine="560" w:firstLineChars="200"/>
        <w:rPr>
          <w:rFonts w:ascii="仿宋" w:hAnsi="仿宋" w:eastAsia="仿宋"/>
          <w:sz w:val="28"/>
          <w:szCs w:val="28"/>
        </w:rPr>
      </w:pPr>
      <w:r>
        <w:rPr>
          <w:rFonts w:hint="eastAsia" w:ascii="仿宋" w:hAnsi="仿宋" w:eastAsia="仿宋"/>
          <w:sz w:val="28"/>
          <w:szCs w:val="28"/>
        </w:rPr>
        <w:t>3、深化校园数字应用场景，提升数据决策能力</w:t>
      </w:r>
    </w:p>
    <w:p>
      <w:pPr>
        <w:ind w:firstLine="560" w:firstLineChars="200"/>
        <w:rPr>
          <w:rFonts w:ascii="仿宋" w:hAnsi="仿宋" w:eastAsia="仿宋"/>
          <w:sz w:val="28"/>
          <w:szCs w:val="28"/>
        </w:rPr>
      </w:pPr>
      <w:r>
        <w:rPr>
          <w:rFonts w:hint="eastAsia" w:ascii="仿宋" w:hAnsi="仿宋" w:eastAsia="仿宋"/>
          <w:sz w:val="28"/>
          <w:szCs w:val="28"/>
        </w:rPr>
        <w:t>实现数据可视化敏捷开发的能力，基于平台构建领导驾驶舱、主题分析、数据报告、自助分析等一系列应用场景，为不同角色用户在其主管领域内的业务决策提供支持。</w:t>
      </w:r>
    </w:p>
    <w:p>
      <w:pPr>
        <w:pStyle w:val="3"/>
        <w:spacing w:after="0"/>
        <w:ind w:firstLine="562" w:firstLineChars="200"/>
        <w:rPr>
          <w:sz w:val="28"/>
          <w:szCs w:val="28"/>
        </w:rPr>
      </w:pPr>
      <w:r>
        <w:rPr>
          <w:rFonts w:hint="eastAsia"/>
          <w:sz w:val="28"/>
          <w:szCs w:val="28"/>
        </w:rPr>
        <w:t>二、平台功能要求</w:t>
      </w:r>
    </w:p>
    <w:p>
      <w:pPr>
        <w:ind w:firstLine="560" w:firstLineChars="200"/>
        <w:rPr>
          <w:rFonts w:ascii="仿宋" w:hAnsi="仿宋" w:eastAsia="仿宋"/>
          <w:sz w:val="28"/>
          <w:szCs w:val="28"/>
        </w:rPr>
      </w:pPr>
      <w:r>
        <w:rPr>
          <w:rFonts w:hint="eastAsia" w:ascii="仿宋" w:hAnsi="仿宋" w:eastAsia="仿宋"/>
          <w:sz w:val="28"/>
          <w:szCs w:val="28"/>
        </w:rPr>
        <w:t>平台由数据采集层、数据治理层、数据服务层和制度流程规范等四个不同的模块组成。</w:t>
      </w:r>
    </w:p>
    <w:p>
      <w:pPr>
        <w:pStyle w:val="13"/>
        <w:numPr>
          <w:ilvl w:val="0"/>
          <w:numId w:val="1"/>
        </w:numPr>
        <w:adjustRightInd w:val="0"/>
        <w:ind w:firstLineChars="0"/>
        <w:rPr>
          <w:rFonts w:ascii="仿宋" w:hAnsi="仿宋" w:eastAsia="仿宋"/>
          <w:sz w:val="28"/>
          <w:szCs w:val="28"/>
        </w:rPr>
      </w:pPr>
      <w:r>
        <w:rPr>
          <w:rFonts w:hint="eastAsia" w:ascii="仿宋" w:hAnsi="仿宋" w:eastAsia="仿宋"/>
          <w:sz w:val="28"/>
          <w:szCs w:val="28"/>
        </w:rPr>
        <w:t>数据采集层通过ETL和服务总线的结合，组成数据交换的联邦体，对外统一提供数据交换的能力。</w:t>
      </w:r>
    </w:p>
    <w:p>
      <w:pPr>
        <w:pStyle w:val="13"/>
        <w:numPr>
          <w:ilvl w:val="0"/>
          <w:numId w:val="1"/>
        </w:numPr>
        <w:adjustRightInd w:val="0"/>
        <w:ind w:firstLineChars="0"/>
        <w:rPr>
          <w:rFonts w:ascii="仿宋" w:hAnsi="仿宋" w:eastAsia="仿宋"/>
          <w:sz w:val="28"/>
          <w:szCs w:val="28"/>
        </w:rPr>
      </w:pPr>
      <w:r>
        <w:rPr>
          <w:rFonts w:hint="eastAsia" w:ascii="仿宋" w:hAnsi="仿宋" w:eastAsia="仿宋"/>
          <w:sz w:val="28"/>
          <w:szCs w:val="28"/>
        </w:rPr>
        <w:t>数据治理层主要旨在通过对数据进行治理，形成数据资产，并实现对资产编目的功能，对存量数据进行业务化的分类，形成体系化的数据资产，为服务化和数据的深化应用打下坚实的基础。</w:t>
      </w:r>
    </w:p>
    <w:p>
      <w:pPr>
        <w:pStyle w:val="13"/>
        <w:numPr>
          <w:ilvl w:val="0"/>
          <w:numId w:val="1"/>
        </w:numPr>
        <w:adjustRightInd w:val="0"/>
        <w:ind w:firstLineChars="0"/>
        <w:rPr>
          <w:rFonts w:ascii="仿宋" w:hAnsi="仿宋" w:eastAsia="仿宋"/>
          <w:sz w:val="28"/>
          <w:szCs w:val="28"/>
        </w:rPr>
      </w:pPr>
      <w:r>
        <w:rPr>
          <w:rFonts w:hint="eastAsia" w:ascii="仿宋" w:hAnsi="仿宋" w:eastAsia="仿宋"/>
          <w:sz w:val="28"/>
          <w:szCs w:val="28"/>
        </w:rPr>
        <w:t>数据服务层以数据资产为基础，为数据资产的共享和应用提供一个完整的技术工具。</w:t>
      </w:r>
    </w:p>
    <w:p>
      <w:pPr>
        <w:pStyle w:val="13"/>
        <w:numPr>
          <w:ilvl w:val="0"/>
          <w:numId w:val="1"/>
        </w:numPr>
        <w:adjustRightInd w:val="0"/>
        <w:ind w:firstLineChars="0"/>
        <w:rPr>
          <w:rFonts w:ascii="仿宋" w:hAnsi="仿宋" w:eastAsia="仿宋"/>
          <w:sz w:val="28"/>
          <w:szCs w:val="28"/>
        </w:rPr>
      </w:pPr>
      <w:r>
        <w:rPr>
          <w:rFonts w:hint="eastAsia" w:ascii="仿宋" w:hAnsi="仿宋" w:eastAsia="仿宋"/>
          <w:sz w:val="28"/>
          <w:szCs w:val="28"/>
        </w:rPr>
        <w:t>制度流程规范则是用于指导未来数据应用服务平台的建设，涵盖数据应用服务平台本身的建设和未来数据应用的全生命周期。</w:t>
      </w:r>
    </w:p>
    <w:p>
      <w:pPr>
        <w:adjustRightInd w:val="0"/>
        <w:ind w:firstLine="560" w:firstLineChars="200"/>
        <w:rPr>
          <w:rFonts w:ascii="仿宋" w:hAnsi="仿宋" w:eastAsia="仿宋"/>
          <w:sz w:val="28"/>
          <w:szCs w:val="28"/>
        </w:rPr>
      </w:pPr>
      <w:r>
        <w:rPr>
          <w:rFonts w:hint="eastAsia" w:ascii="仿宋" w:hAnsi="仿宋" w:eastAsia="仿宋"/>
          <w:sz w:val="28"/>
          <w:szCs w:val="28"/>
        </w:rPr>
        <w:t>投标产品应包括但不限于以下功能：</w:t>
      </w:r>
    </w:p>
    <w:p>
      <w:pPr>
        <w:ind w:firstLine="562" w:firstLineChars="200"/>
        <w:rPr>
          <w:rFonts w:ascii="仿宋" w:hAnsi="仿宋" w:eastAsia="仿宋"/>
          <w:b/>
          <w:sz w:val="28"/>
          <w:szCs w:val="28"/>
        </w:rPr>
      </w:pPr>
      <w:r>
        <w:rPr>
          <w:rFonts w:hint="eastAsia" w:ascii="仿宋" w:hAnsi="仿宋" w:eastAsia="仿宋"/>
          <w:b/>
          <w:sz w:val="28"/>
          <w:szCs w:val="28"/>
        </w:rPr>
        <w:t>1</w:t>
      </w:r>
      <w:r>
        <w:rPr>
          <w:rFonts w:ascii="仿宋" w:hAnsi="仿宋" w:eastAsia="仿宋"/>
          <w:b/>
          <w:sz w:val="28"/>
          <w:szCs w:val="28"/>
        </w:rPr>
        <w:t>、</w:t>
      </w:r>
      <w:r>
        <w:rPr>
          <w:rFonts w:hint="eastAsia" w:ascii="仿宋" w:hAnsi="仿宋" w:eastAsia="仿宋"/>
          <w:b/>
          <w:sz w:val="28"/>
          <w:szCs w:val="28"/>
        </w:rPr>
        <w:t>数据治理工具子系统</w:t>
      </w:r>
    </w:p>
    <w:p>
      <w:pPr>
        <w:ind w:firstLine="560" w:firstLineChars="200"/>
        <w:rPr>
          <w:rFonts w:ascii="仿宋" w:hAnsi="仿宋" w:eastAsia="仿宋"/>
          <w:sz w:val="28"/>
          <w:szCs w:val="28"/>
        </w:rPr>
      </w:pPr>
      <w:r>
        <w:rPr>
          <w:rFonts w:hint="eastAsia" w:ascii="仿宋" w:hAnsi="仿宋" w:eastAsia="仿宋"/>
          <w:sz w:val="28"/>
          <w:szCs w:val="28"/>
        </w:rPr>
        <w:t>（1）异构数据链接工具</w:t>
      </w:r>
    </w:p>
    <w:p>
      <w:pPr>
        <w:ind w:firstLine="560" w:firstLineChars="200"/>
        <w:rPr>
          <w:rFonts w:ascii="仿宋" w:hAnsi="仿宋" w:eastAsia="仿宋"/>
          <w:sz w:val="28"/>
          <w:szCs w:val="28"/>
        </w:rPr>
      </w:pPr>
      <w:r>
        <w:rPr>
          <w:rFonts w:hint="eastAsia" w:ascii="仿宋" w:hAnsi="仿宋" w:eastAsia="仿宋"/>
          <w:sz w:val="28"/>
          <w:szCs w:val="28"/>
        </w:rPr>
        <w:t>支持对业务系统的数据库数据进行统一集成，支持数据源健康度检查。为更好地适应未来的发展，不仅需要适配常用数据库，如Oracle、MySQL、SQL</w:t>
      </w:r>
      <w:r>
        <w:rPr>
          <w:rFonts w:ascii="仿宋" w:hAnsi="仿宋" w:eastAsia="仿宋"/>
          <w:sz w:val="28"/>
          <w:szCs w:val="28"/>
        </w:rPr>
        <w:t xml:space="preserve"> </w:t>
      </w:r>
      <w:r>
        <w:rPr>
          <w:rFonts w:hint="eastAsia" w:ascii="仿宋" w:hAnsi="仿宋" w:eastAsia="仿宋"/>
          <w:sz w:val="28"/>
          <w:szCs w:val="28"/>
        </w:rPr>
        <w:t>Server、PostgreSQL等，还需要对国产化数据进行支持，如达梦、openGuass、Kingbase等数据库。</w:t>
      </w:r>
    </w:p>
    <w:p>
      <w:pPr>
        <w:ind w:firstLine="560" w:firstLineChars="200"/>
        <w:rPr>
          <w:rFonts w:ascii="仿宋" w:hAnsi="仿宋" w:eastAsia="仿宋"/>
          <w:sz w:val="28"/>
          <w:szCs w:val="28"/>
        </w:rPr>
      </w:pPr>
      <w:r>
        <w:rPr>
          <w:rFonts w:hint="eastAsia" w:ascii="仿宋" w:hAnsi="仿宋" w:eastAsia="仿宋"/>
          <w:sz w:val="28"/>
          <w:szCs w:val="28"/>
        </w:rPr>
        <w:t>（2）离线数据集成工具</w:t>
      </w:r>
    </w:p>
    <w:p>
      <w:pPr>
        <w:ind w:firstLine="560" w:firstLineChars="200"/>
        <w:rPr>
          <w:rFonts w:ascii="仿宋" w:hAnsi="仿宋" w:eastAsia="仿宋"/>
          <w:sz w:val="28"/>
          <w:szCs w:val="28"/>
        </w:rPr>
      </w:pPr>
      <w:r>
        <w:rPr>
          <w:rFonts w:hint="eastAsia" w:ascii="仿宋" w:hAnsi="仿宋" w:eastAsia="仿宋"/>
          <w:sz w:val="28"/>
          <w:szCs w:val="28"/>
        </w:rPr>
        <w:t>支持对离线数据进行集成，可通过简单页面拖拉拽方式进行采集任务的配置。离线数据集成支持单表采集；支持组合多个数据库的多张表进行数据采集；支持整库采集。采集任务支持按需选择全量或增量同步数据，支持配置采集任务并发数量。</w:t>
      </w:r>
    </w:p>
    <w:p>
      <w:pPr>
        <w:ind w:firstLine="560" w:firstLineChars="200"/>
        <w:rPr>
          <w:rFonts w:ascii="仿宋" w:hAnsi="仿宋" w:eastAsia="仿宋"/>
          <w:sz w:val="28"/>
          <w:szCs w:val="28"/>
        </w:rPr>
      </w:pPr>
      <w:r>
        <w:rPr>
          <w:rFonts w:hint="eastAsia" w:ascii="仿宋" w:hAnsi="仿宋" w:eastAsia="仿宋"/>
          <w:sz w:val="28"/>
          <w:szCs w:val="28"/>
        </w:rPr>
        <w:sym w:font="Wingdings 3" w:char="F070"/>
      </w:r>
      <w:r>
        <w:rPr>
          <w:rFonts w:hint="eastAsia" w:ascii="仿宋" w:hAnsi="仿宋" w:eastAsia="仿宋"/>
          <w:sz w:val="28"/>
          <w:szCs w:val="28"/>
        </w:rPr>
        <w:t>支持自定义选择表字段进行数据加密存储的配置，支持以国密SM4算法对加密字段进行加密存储。</w:t>
      </w:r>
    </w:p>
    <w:p>
      <w:pPr>
        <w:ind w:firstLine="560" w:firstLineChars="200"/>
        <w:rPr>
          <w:rFonts w:ascii="仿宋" w:hAnsi="仿宋" w:eastAsia="仿宋"/>
          <w:sz w:val="28"/>
          <w:szCs w:val="28"/>
        </w:rPr>
      </w:pPr>
      <w:r>
        <w:rPr>
          <w:rFonts w:hint="eastAsia" w:ascii="仿宋" w:hAnsi="仿宋" w:eastAsia="仿宋"/>
          <w:sz w:val="28"/>
          <w:szCs w:val="28"/>
        </w:rPr>
        <w:t>（3）数据清洗工具</w:t>
      </w:r>
    </w:p>
    <w:p>
      <w:pPr>
        <w:ind w:firstLine="560" w:firstLineChars="200"/>
        <w:rPr>
          <w:rFonts w:ascii="仿宋" w:hAnsi="仿宋" w:eastAsia="仿宋"/>
          <w:sz w:val="28"/>
          <w:szCs w:val="28"/>
        </w:rPr>
      </w:pPr>
      <w:r>
        <w:rPr>
          <w:rFonts w:hint="eastAsia" w:ascii="仿宋" w:hAnsi="仿宋" w:eastAsia="仿宋"/>
          <w:sz w:val="28"/>
          <w:szCs w:val="28"/>
        </w:rPr>
        <w:t>数据清洗工具即提供数据清洗功能，将数据湖中的数据进行标准化后存储到标准层中，结合元数据、数据模型生成主数据，以建立数据仓库。数据清洗工具需支持以拖拽的形式选择数据湖中的表，支持多表关联，支持为字段设置别名，支持自定义选择查询字段；为满足更复杂的场景需求，需支持通过自定义SQL从数据湖中进行取数。</w:t>
      </w:r>
    </w:p>
    <w:p>
      <w:pPr>
        <w:ind w:firstLine="560" w:firstLineChars="200"/>
        <w:rPr>
          <w:rFonts w:ascii="仿宋" w:hAnsi="仿宋" w:eastAsia="仿宋"/>
          <w:sz w:val="28"/>
          <w:szCs w:val="28"/>
        </w:rPr>
      </w:pPr>
      <w:r>
        <w:rPr>
          <w:rFonts w:hint="eastAsia" w:ascii="仿宋" w:hAnsi="仿宋" w:eastAsia="仿宋"/>
          <w:sz w:val="28"/>
          <w:szCs w:val="28"/>
        </w:rPr>
        <w:t>（4）元数据同步工具</w:t>
      </w:r>
    </w:p>
    <w:p>
      <w:pPr>
        <w:ind w:firstLine="560" w:firstLineChars="200"/>
        <w:rPr>
          <w:rFonts w:ascii="仿宋" w:hAnsi="仿宋" w:eastAsia="仿宋"/>
          <w:sz w:val="28"/>
          <w:szCs w:val="28"/>
        </w:rPr>
      </w:pPr>
      <w:r>
        <w:rPr>
          <w:rFonts w:hint="eastAsia" w:ascii="仿宋" w:hAnsi="仿宋" w:eastAsia="仿宋"/>
          <w:sz w:val="28"/>
          <w:szCs w:val="28"/>
        </w:rPr>
        <w:t>利用元数据同步工具对学校现有的“公共数据库”进行元数据的同步，能够对“公共数据库”的数据库信息、表信息、视图信息、字段信息、用户信息、权限信息等与数据治理工具子系统进行双向同步。支持以实时或定时的方式进行同步，且同步记录可查；支持进行版本管理、版本回滚等功能。</w:t>
      </w:r>
    </w:p>
    <w:p>
      <w:pPr>
        <w:ind w:firstLine="560" w:firstLineChars="200"/>
        <w:rPr>
          <w:rFonts w:ascii="仿宋" w:hAnsi="仿宋" w:eastAsia="仿宋"/>
          <w:sz w:val="28"/>
          <w:szCs w:val="28"/>
        </w:rPr>
      </w:pPr>
      <w:r>
        <w:rPr>
          <w:rFonts w:hint="eastAsia" w:ascii="仿宋" w:hAnsi="仿宋" w:eastAsia="仿宋"/>
          <w:sz w:val="28"/>
          <w:szCs w:val="28"/>
        </w:rPr>
        <w:t>（5）数据标准管理</w:t>
      </w:r>
    </w:p>
    <w:p>
      <w:pPr>
        <w:ind w:firstLine="560" w:firstLineChars="200"/>
        <w:rPr>
          <w:rFonts w:ascii="仿宋" w:hAnsi="仿宋" w:eastAsia="仿宋"/>
          <w:sz w:val="28"/>
          <w:szCs w:val="28"/>
        </w:rPr>
      </w:pPr>
      <w:r>
        <w:rPr>
          <w:rFonts w:hint="eastAsia" w:ascii="仿宋" w:hAnsi="仿宋" w:eastAsia="仿宋"/>
          <w:sz w:val="28"/>
          <w:szCs w:val="28"/>
        </w:rPr>
        <w:t>数据标准是建立的一套符合学校自身实际情况的，涵盖数据定义、操作、应用规范等多层次的标准化体系。为数据平台功能所涉及的各个环节，提供统一的标准规范，以保证信息的高效汇集和交换。提供完善的标准版本管理，标准信息的增删改查，标准的发布、停用、合并、拆分等功能，以管理标准全生命周期。</w:t>
      </w:r>
    </w:p>
    <w:p>
      <w:pPr>
        <w:pStyle w:val="2"/>
        <w:ind w:firstLine="560" w:firstLineChars="200"/>
        <w:rPr>
          <w:rFonts w:ascii="仿宋" w:hAnsi="仿宋" w:eastAsia="仿宋"/>
          <w:sz w:val="28"/>
          <w:szCs w:val="28"/>
        </w:rPr>
      </w:pPr>
      <w:r>
        <w:rPr>
          <w:rFonts w:hint="eastAsia" w:ascii="仿宋" w:hAnsi="仿宋" w:eastAsia="仿宋"/>
          <w:sz w:val="28"/>
          <w:szCs w:val="28"/>
        </w:rPr>
        <w:sym w:font="Wingdings 3" w:char="F070"/>
      </w:r>
      <w:r>
        <w:rPr>
          <w:rFonts w:hint="eastAsia" w:ascii="仿宋" w:hAnsi="仿宋" w:eastAsia="仿宋"/>
          <w:sz w:val="28"/>
          <w:szCs w:val="28"/>
        </w:rPr>
        <w:t>支持数据标准、代码标准按业务、部门多维度的UC权责管理，提供Excel表格形式UC矩阵导出。</w:t>
      </w:r>
    </w:p>
    <w:p>
      <w:pPr>
        <w:ind w:firstLine="560" w:firstLineChars="200"/>
        <w:rPr>
          <w:rFonts w:ascii="仿宋" w:hAnsi="仿宋" w:eastAsia="仿宋"/>
          <w:sz w:val="28"/>
          <w:szCs w:val="28"/>
        </w:rPr>
      </w:pPr>
      <w:r>
        <w:rPr>
          <w:rFonts w:hint="eastAsia" w:ascii="仿宋" w:hAnsi="仿宋" w:eastAsia="仿宋"/>
          <w:sz w:val="28"/>
          <w:szCs w:val="28"/>
        </w:rPr>
        <w:t>（6）数据质量管理</w:t>
      </w:r>
    </w:p>
    <w:p>
      <w:pPr>
        <w:ind w:firstLine="560" w:firstLineChars="200"/>
        <w:rPr>
          <w:rFonts w:ascii="仿宋" w:hAnsi="仿宋" w:eastAsia="仿宋"/>
          <w:sz w:val="28"/>
          <w:szCs w:val="28"/>
        </w:rPr>
      </w:pPr>
      <w:r>
        <w:rPr>
          <w:rFonts w:hint="eastAsia" w:ascii="仿宋" w:hAnsi="仿宋" w:eastAsia="仿宋"/>
          <w:sz w:val="28"/>
          <w:szCs w:val="28"/>
        </w:rPr>
        <w:t>数据质量管理模块是基于数据指标、质量检核、问题发现和问题监控追踪的完善的数据质量管理体系。督促业务部门承担数据质量把关责任，确保源头数据真实、准确、完整、及时。数据质量管理模块包括系统预置的质量规则管理模块、数据质量信息的查询、问题数据下发监控、数据质量问题的跟踪审计、数据问题的反馈纠正。</w:t>
      </w:r>
    </w:p>
    <w:p>
      <w:pPr>
        <w:ind w:firstLine="560" w:firstLineChars="200"/>
        <w:rPr>
          <w:rFonts w:ascii="仿宋" w:hAnsi="仿宋" w:eastAsia="仿宋"/>
          <w:sz w:val="28"/>
          <w:szCs w:val="28"/>
        </w:rPr>
      </w:pPr>
      <w:r>
        <w:rPr>
          <w:rFonts w:hint="eastAsia" w:ascii="仿宋" w:hAnsi="仿宋" w:eastAsia="仿宋"/>
          <w:sz w:val="28"/>
          <w:szCs w:val="28"/>
        </w:rPr>
        <w:sym w:font="Wingdings 3" w:char="F070"/>
      </w:r>
      <w:r>
        <w:rPr>
          <w:rFonts w:hint="eastAsia" w:ascii="仿宋" w:hAnsi="仿宋" w:eastAsia="仿宋"/>
          <w:sz w:val="28"/>
          <w:szCs w:val="28"/>
        </w:rPr>
        <w:t>提供规范检查、重复数据检查、记录缺失检查、引用完整性检查、结果集对比、SQL检查、业务逻辑检查、空值检查、值域检查等检查规则。</w:t>
      </w:r>
    </w:p>
    <w:p>
      <w:pPr>
        <w:ind w:firstLine="560" w:firstLineChars="200"/>
        <w:rPr>
          <w:rFonts w:ascii="仿宋" w:hAnsi="仿宋" w:eastAsia="仿宋"/>
          <w:sz w:val="28"/>
          <w:szCs w:val="28"/>
        </w:rPr>
      </w:pPr>
      <w:r>
        <w:rPr>
          <w:rFonts w:hint="eastAsia" w:ascii="仿宋" w:hAnsi="仿宋" w:eastAsia="仿宋"/>
          <w:sz w:val="28"/>
          <w:szCs w:val="28"/>
        </w:rPr>
        <w:t>（7）数据资产管理</w:t>
      </w:r>
    </w:p>
    <w:p>
      <w:pPr>
        <w:ind w:firstLine="560" w:firstLineChars="200"/>
        <w:rPr>
          <w:rFonts w:ascii="仿宋" w:hAnsi="仿宋" w:eastAsia="仿宋"/>
          <w:sz w:val="28"/>
          <w:szCs w:val="28"/>
        </w:rPr>
      </w:pPr>
      <w:r>
        <w:rPr>
          <w:rFonts w:hint="eastAsia" w:ascii="仿宋" w:hAnsi="仿宋" w:eastAsia="仿宋"/>
          <w:sz w:val="28"/>
          <w:szCs w:val="28"/>
        </w:rPr>
        <w:t>数据资产管理的主要包括统一数据管理、全文检索查询、历史数据归档管理、在线数据维护、数据授权与审批等。基于全量数据库的内容可对外输出数据接口，为数据开放平台便捷地输出API服务。</w:t>
      </w:r>
    </w:p>
    <w:p>
      <w:pPr>
        <w:ind w:firstLine="560" w:firstLineChars="200"/>
        <w:rPr>
          <w:rFonts w:ascii="仿宋" w:hAnsi="仿宋" w:eastAsia="仿宋"/>
          <w:sz w:val="28"/>
          <w:szCs w:val="28"/>
        </w:rPr>
      </w:pPr>
      <w:r>
        <w:rPr>
          <w:rFonts w:hint="eastAsia" w:ascii="仿宋" w:hAnsi="仿宋" w:eastAsia="仿宋"/>
          <w:sz w:val="28"/>
          <w:szCs w:val="28"/>
        </w:rPr>
        <w:t>（8）元数据管理</w:t>
      </w:r>
    </w:p>
    <w:p>
      <w:pPr>
        <w:ind w:firstLine="560" w:firstLineChars="200"/>
        <w:rPr>
          <w:rFonts w:ascii="仿宋" w:hAnsi="仿宋" w:eastAsia="仿宋"/>
          <w:sz w:val="28"/>
          <w:szCs w:val="28"/>
        </w:rPr>
      </w:pPr>
      <w:r>
        <w:rPr>
          <w:rFonts w:hint="eastAsia" w:ascii="仿宋" w:hAnsi="仿宋" w:eastAsia="仿宋"/>
          <w:sz w:val="28"/>
          <w:szCs w:val="28"/>
        </w:rPr>
        <w:t>元数据管理用于盘点管理校内数据资产信息，实现数据地图、数据血缘，驱动数据治理过程。元数据管理模块的主要功能包括：元数据的浏览与检索、元数据的统一管理、元数据地图展示。</w:t>
      </w:r>
    </w:p>
    <w:p>
      <w:pPr>
        <w:ind w:firstLine="562" w:firstLineChars="200"/>
        <w:rPr>
          <w:rFonts w:ascii="仿宋" w:hAnsi="仿宋" w:eastAsia="仿宋"/>
          <w:b/>
          <w:sz w:val="28"/>
          <w:szCs w:val="28"/>
        </w:rPr>
      </w:pPr>
      <w:r>
        <w:rPr>
          <w:rFonts w:ascii="仿宋" w:hAnsi="仿宋" w:eastAsia="仿宋"/>
          <w:b/>
          <w:sz w:val="28"/>
          <w:szCs w:val="28"/>
        </w:rPr>
        <w:t>2</w:t>
      </w:r>
      <w:r>
        <w:rPr>
          <w:rFonts w:hint="eastAsia" w:ascii="仿宋" w:hAnsi="仿宋" w:eastAsia="仿宋"/>
          <w:b/>
          <w:sz w:val="28"/>
          <w:szCs w:val="28"/>
        </w:rPr>
        <w:t>、数据开放平台子系统</w:t>
      </w:r>
    </w:p>
    <w:p>
      <w:pPr>
        <w:ind w:firstLine="560" w:firstLineChars="200"/>
        <w:rPr>
          <w:rFonts w:ascii="仿宋" w:hAnsi="仿宋" w:eastAsia="仿宋"/>
          <w:sz w:val="28"/>
          <w:szCs w:val="28"/>
        </w:rPr>
      </w:pPr>
      <w:r>
        <w:rPr>
          <w:rFonts w:hint="eastAsia" w:ascii="仿宋" w:hAnsi="仿宋" w:eastAsia="仿宋"/>
          <w:sz w:val="28"/>
          <w:szCs w:val="28"/>
        </w:rPr>
        <w:t>（1）数据资源目录</w:t>
      </w:r>
    </w:p>
    <w:p>
      <w:pPr>
        <w:ind w:firstLine="560" w:firstLineChars="200"/>
        <w:rPr>
          <w:rFonts w:ascii="仿宋" w:hAnsi="仿宋" w:eastAsia="仿宋"/>
          <w:sz w:val="28"/>
          <w:szCs w:val="28"/>
        </w:rPr>
      </w:pPr>
      <w:r>
        <w:rPr>
          <w:rFonts w:hint="eastAsia" w:ascii="仿宋" w:hAnsi="仿宋" w:eastAsia="仿宋"/>
          <w:sz w:val="28"/>
          <w:szCs w:val="28"/>
        </w:rPr>
        <w:t>基于数据资源目录，结合学校对应的数据管理办法，在数据编目、发布、挂载的基础上，提供数据UC矩阵能够落地到系统，权责划分能够定位到部门、精准到每个数据项的管理人员，真正实现数据责任、权限、问题清单一目了然。</w:t>
      </w:r>
    </w:p>
    <w:p>
      <w:pPr>
        <w:ind w:firstLine="560" w:firstLineChars="200"/>
        <w:rPr>
          <w:rFonts w:ascii="仿宋" w:hAnsi="仿宋" w:eastAsia="仿宋"/>
          <w:sz w:val="28"/>
          <w:szCs w:val="28"/>
        </w:rPr>
      </w:pPr>
      <w:r>
        <w:rPr>
          <w:rFonts w:hint="eastAsia" w:ascii="仿宋" w:hAnsi="仿宋" w:eastAsia="仿宋"/>
          <w:sz w:val="28"/>
          <w:szCs w:val="28"/>
        </w:rPr>
        <w:t>（2）接口管理与发布</w:t>
      </w:r>
    </w:p>
    <w:p>
      <w:pPr>
        <w:ind w:firstLine="560" w:firstLineChars="200"/>
        <w:rPr>
          <w:rFonts w:ascii="仿宋" w:hAnsi="仿宋" w:eastAsia="仿宋"/>
          <w:sz w:val="28"/>
          <w:szCs w:val="28"/>
        </w:rPr>
      </w:pPr>
      <w:r>
        <w:rPr>
          <w:rFonts w:hint="eastAsia" w:ascii="仿宋" w:hAnsi="仿宋" w:eastAsia="仿宋"/>
          <w:sz w:val="28"/>
          <w:szCs w:val="28"/>
        </w:rPr>
        <w:t>系统支持数据管理员在平台上对接学校数据中心、业务系统库，将不同类别数据源以统一的API接口方式对外开放使用，统一管理API分类和数据集市的内容，数据管理员发布的接口类型包含但不限WSDL、REST、文本文件、应用分析类等类型。</w:t>
      </w:r>
    </w:p>
    <w:p>
      <w:pPr>
        <w:pStyle w:val="2"/>
        <w:ind w:firstLine="420"/>
        <w:rPr>
          <w:rFonts w:ascii="仿宋" w:hAnsi="仿宋" w:eastAsia="仿宋"/>
          <w:sz w:val="28"/>
          <w:szCs w:val="28"/>
        </w:rPr>
      </w:pPr>
      <w:r>
        <w:rPr>
          <w:rFonts w:hint="eastAsia" w:ascii="仿宋" w:hAnsi="仿宋" w:eastAsia="仿宋"/>
          <w:sz w:val="28"/>
          <w:szCs w:val="28"/>
        </w:rPr>
        <w:sym w:font="Wingdings 3" w:char="F070"/>
      </w:r>
      <w:r>
        <w:rPr>
          <w:rFonts w:hint="eastAsia" w:ascii="仿宋" w:hAnsi="仿宋" w:eastAsia="仿宋"/>
          <w:sz w:val="28"/>
          <w:szCs w:val="28"/>
        </w:rPr>
        <w:t>具备API调用规则限制的自定义，提供API安全限制功能，支持API接口的访问控制列表、访问次数限制、调用频率限制、是否限制访问的IP地址、调用频率等。</w:t>
      </w:r>
    </w:p>
    <w:p>
      <w:pPr>
        <w:ind w:firstLine="560" w:firstLineChars="200"/>
        <w:rPr>
          <w:rFonts w:ascii="仿宋" w:hAnsi="仿宋" w:eastAsia="仿宋"/>
          <w:sz w:val="28"/>
          <w:szCs w:val="28"/>
        </w:rPr>
      </w:pPr>
      <w:r>
        <w:rPr>
          <w:rFonts w:hint="eastAsia" w:ascii="仿宋" w:hAnsi="仿宋" w:eastAsia="仿宋"/>
          <w:sz w:val="28"/>
          <w:szCs w:val="28"/>
        </w:rPr>
        <w:t>（3</w:t>
      </w:r>
      <w:r>
        <w:rPr>
          <w:rFonts w:ascii="仿宋" w:hAnsi="仿宋" w:eastAsia="仿宋"/>
          <w:sz w:val="28"/>
          <w:szCs w:val="28"/>
        </w:rPr>
        <w:t>）</w:t>
      </w:r>
      <w:r>
        <w:rPr>
          <w:rFonts w:hint="eastAsia" w:ascii="仿宋" w:hAnsi="仿宋" w:eastAsia="仿宋"/>
          <w:sz w:val="28"/>
          <w:szCs w:val="28"/>
        </w:rPr>
        <w:t>接口数据申请</w:t>
      </w:r>
    </w:p>
    <w:p>
      <w:pPr>
        <w:ind w:firstLine="560" w:firstLineChars="200"/>
        <w:rPr>
          <w:rFonts w:ascii="仿宋" w:hAnsi="仿宋" w:eastAsia="仿宋"/>
          <w:sz w:val="28"/>
          <w:szCs w:val="28"/>
        </w:rPr>
      </w:pPr>
      <w:r>
        <w:rPr>
          <w:rFonts w:hint="eastAsia" w:ascii="仿宋" w:hAnsi="仿宋" w:eastAsia="仿宋"/>
          <w:sz w:val="28"/>
          <w:szCs w:val="28"/>
        </w:rPr>
        <w:t>对于数据使用场景具备良好的支持，提供友好的图形化操作界面，避免原有直接在数据库管理界面操作带来的操作复杂、维护困难等问题。支持多种数据供应的方式，包括API接口、数据库视图输出、文件数据下载、在线数据订阅等类型。</w:t>
      </w:r>
    </w:p>
    <w:p>
      <w:pPr>
        <w:ind w:firstLine="560" w:firstLineChars="200"/>
        <w:rPr>
          <w:rFonts w:ascii="仿宋" w:hAnsi="仿宋" w:eastAsia="仿宋"/>
          <w:sz w:val="28"/>
          <w:szCs w:val="28"/>
        </w:rPr>
      </w:pPr>
      <w:r>
        <w:rPr>
          <w:rFonts w:hint="eastAsia" w:ascii="仿宋" w:hAnsi="仿宋" w:eastAsia="仿宋"/>
          <w:sz w:val="28"/>
          <w:szCs w:val="28"/>
        </w:rPr>
        <w:t>（4）接口审核管理</w:t>
      </w:r>
    </w:p>
    <w:p>
      <w:pPr>
        <w:ind w:firstLine="560" w:firstLineChars="200"/>
        <w:rPr>
          <w:rFonts w:ascii="仿宋" w:hAnsi="仿宋" w:eastAsia="仿宋"/>
          <w:sz w:val="28"/>
          <w:szCs w:val="28"/>
        </w:rPr>
      </w:pPr>
      <w:r>
        <w:rPr>
          <w:rFonts w:hint="eastAsia" w:ascii="仿宋" w:hAnsi="仿宋" w:eastAsia="仿宋"/>
          <w:sz w:val="28"/>
          <w:szCs w:val="28"/>
        </w:rPr>
        <w:t>接口审核管理为数据管理者和部门审核人员提供包括“API接口申请”“自助API申请”“中间库视图申请”在内的多种数据申请的在线审批能力，系统可对接治理工具子系统的UC矩阵及一数一源规划，审核流程可按申请接口的字段属性，自动关联业务权威源责任人进行多部门联合审核。</w:t>
      </w:r>
    </w:p>
    <w:p>
      <w:pPr>
        <w:ind w:firstLine="560" w:firstLineChars="200"/>
        <w:rPr>
          <w:rFonts w:ascii="仿宋" w:hAnsi="仿宋" w:eastAsia="仿宋"/>
          <w:sz w:val="28"/>
          <w:szCs w:val="28"/>
        </w:rPr>
      </w:pPr>
      <w:r>
        <w:rPr>
          <w:rFonts w:hint="eastAsia" w:ascii="仿宋" w:hAnsi="仿宋" w:eastAsia="仿宋"/>
          <w:sz w:val="28"/>
          <w:szCs w:val="28"/>
        </w:rPr>
        <w:t>（5）开发者中心</w:t>
      </w:r>
    </w:p>
    <w:p>
      <w:pPr>
        <w:ind w:firstLine="560" w:firstLineChars="200"/>
        <w:rPr>
          <w:rFonts w:ascii="仿宋" w:hAnsi="仿宋" w:eastAsia="仿宋"/>
          <w:sz w:val="28"/>
          <w:szCs w:val="28"/>
        </w:rPr>
      </w:pPr>
      <w:r>
        <w:rPr>
          <w:rFonts w:hint="eastAsia" w:ascii="仿宋" w:hAnsi="仿宋" w:eastAsia="仿宋"/>
          <w:sz w:val="28"/>
          <w:szCs w:val="28"/>
        </w:rPr>
        <w:t>为数据开发者、数据查询者提供了在线的工作桌面，数据开发者能够管理自己的应用和申请的API，支持开发者查看自己应用所申请的API调用统计、调用限制预警、有效性跟踪、申请流程进度跟踪、API在线测试、API文档查看、API接口授权密钥查看等功能。</w:t>
      </w:r>
    </w:p>
    <w:p>
      <w:pPr>
        <w:ind w:firstLine="560" w:firstLineChars="200"/>
        <w:rPr>
          <w:rFonts w:ascii="仿宋" w:hAnsi="仿宋" w:eastAsia="仿宋"/>
          <w:sz w:val="28"/>
          <w:szCs w:val="28"/>
        </w:rPr>
      </w:pPr>
      <w:r>
        <w:rPr>
          <w:rFonts w:hint="eastAsia" w:ascii="仿宋" w:hAnsi="仿宋" w:eastAsia="仿宋"/>
          <w:sz w:val="28"/>
          <w:szCs w:val="28"/>
        </w:rPr>
        <w:t>（6）数据监控中心</w:t>
      </w:r>
    </w:p>
    <w:p>
      <w:pPr>
        <w:ind w:firstLine="560" w:firstLineChars="200"/>
        <w:rPr>
          <w:rFonts w:ascii="仿宋" w:hAnsi="仿宋" w:eastAsia="仿宋"/>
          <w:sz w:val="28"/>
          <w:szCs w:val="28"/>
        </w:rPr>
      </w:pPr>
      <w:r>
        <w:rPr>
          <w:rFonts w:hint="eastAsia" w:ascii="仿宋" w:hAnsi="仿宋" w:eastAsia="仿宋"/>
          <w:sz w:val="28"/>
          <w:szCs w:val="28"/>
        </w:rPr>
        <w:t>数据监控中心是指对数据的生命周期和使用痕迹形成全面的管理和自动化追溯跟踪，即数据从产生到消亡的全过程可记录，数据从源头到终端所有转换过程可追踪，实现链条式、链路式数据管理和应用体系。</w:t>
      </w:r>
    </w:p>
    <w:p>
      <w:pPr>
        <w:pStyle w:val="2"/>
        <w:ind w:firstLine="560" w:firstLineChars="200"/>
        <w:rPr>
          <w:rFonts w:ascii="仿宋" w:hAnsi="仿宋" w:eastAsia="仿宋"/>
          <w:sz w:val="28"/>
          <w:szCs w:val="28"/>
        </w:rPr>
      </w:pPr>
      <w:r>
        <w:rPr>
          <w:rFonts w:hint="eastAsia" w:ascii="仿宋" w:hAnsi="仿宋" w:eastAsia="仿宋"/>
          <w:sz w:val="28"/>
          <w:szCs w:val="28"/>
        </w:rPr>
        <w:sym w:font="Wingdings 3" w:char="F070"/>
      </w:r>
      <w:r>
        <w:rPr>
          <w:rFonts w:hint="eastAsia" w:ascii="仿宋" w:hAnsi="仿宋" w:eastAsia="仿宋"/>
          <w:sz w:val="28"/>
          <w:szCs w:val="28"/>
        </w:rPr>
        <w:t>具备“集成运维监控大屏”“数据资产监控大屏”“数据治理监控大屏”等大屏监控。</w:t>
      </w:r>
    </w:p>
    <w:p>
      <w:pPr>
        <w:ind w:firstLine="562" w:firstLineChars="200"/>
        <w:rPr>
          <w:rFonts w:ascii="仿宋" w:hAnsi="仿宋" w:eastAsia="仿宋"/>
          <w:b/>
          <w:sz w:val="28"/>
          <w:szCs w:val="28"/>
        </w:rPr>
      </w:pPr>
      <w:r>
        <w:rPr>
          <w:rFonts w:ascii="仿宋" w:hAnsi="仿宋" w:eastAsia="仿宋"/>
          <w:b/>
          <w:sz w:val="28"/>
          <w:szCs w:val="28"/>
        </w:rPr>
        <w:t>3</w:t>
      </w:r>
      <w:r>
        <w:rPr>
          <w:rFonts w:hint="eastAsia" w:ascii="仿宋" w:hAnsi="仿宋" w:eastAsia="仿宋"/>
          <w:b/>
          <w:sz w:val="28"/>
          <w:szCs w:val="28"/>
        </w:rPr>
        <w:t>、数据决策分析子系统</w:t>
      </w:r>
    </w:p>
    <w:p>
      <w:pPr>
        <w:ind w:firstLine="560" w:firstLineChars="200"/>
        <w:rPr>
          <w:rFonts w:ascii="仿宋" w:hAnsi="仿宋" w:eastAsia="仿宋"/>
          <w:sz w:val="28"/>
          <w:szCs w:val="28"/>
        </w:rPr>
      </w:pPr>
      <w:r>
        <w:rPr>
          <w:rFonts w:hint="eastAsia" w:ascii="仿宋" w:hAnsi="仿宋" w:eastAsia="仿宋"/>
          <w:sz w:val="28"/>
          <w:szCs w:val="28"/>
        </w:rPr>
        <w:t>（1）校情基本分析</w:t>
      </w:r>
    </w:p>
    <w:p>
      <w:pPr>
        <w:ind w:firstLine="560" w:firstLineChars="200"/>
        <w:rPr>
          <w:rFonts w:ascii="仿宋" w:hAnsi="仿宋" w:eastAsia="仿宋"/>
          <w:sz w:val="28"/>
          <w:szCs w:val="28"/>
        </w:rPr>
      </w:pPr>
      <w:r>
        <w:rPr>
          <w:rFonts w:hint="eastAsia" w:ascii="仿宋" w:hAnsi="仿宋" w:eastAsia="仿宋"/>
          <w:sz w:val="28"/>
          <w:szCs w:val="28"/>
        </w:rPr>
        <w:t>充分利用数据挖掘和知识服务能力，对教育评价数据进行精细化深度标引，从而基于常用的关键定量指标对机构、学科、院系、教师、学生几个层次的对象进行全面分析，支撑科学决策，提升教育管理自动化、科学化水平。</w:t>
      </w:r>
    </w:p>
    <w:p>
      <w:pPr>
        <w:ind w:firstLine="560" w:firstLineChars="200"/>
        <w:rPr>
          <w:rFonts w:ascii="仿宋" w:hAnsi="仿宋" w:eastAsia="仿宋"/>
          <w:sz w:val="28"/>
          <w:szCs w:val="28"/>
        </w:rPr>
      </w:pPr>
      <w:r>
        <w:rPr>
          <w:rFonts w:hint="eastAsia" w:ascii="仿宋" w:hAnsi="仿宋" w:eastAsia="仿宋"/>
          <w:sz w:val="28"/>
          <w:szCs w:val="28"/>
        </w:rPr>
        <w:t>（2）师生个人数字画像</w:t>
      </w:r>
    </w:p>
    <w:p>
      <w:pPr>
        <w:ind w:firstLine="560" w:firstLineChars="200"/>
        <w:rPr>
          <w:rFonts w:ascii="仿宋" w:hAnsi="仿宋" w:eastAsia="仿宋"/>
          <w:sz w:val="28"/>
          <w:szCs w:val="28"/>
        </w:rPr>
      </w:pPr>
      <w:r>
        <w:rPr>
          <w:rFonts w:hint="eastAsia" w:ascii="仿宋" w:hAnsi="仿宋" w:eastAsia="仿宋"/>
          <w:sz w:val="28"/>
          <w:szCs w:val="28"/>
        </w:rPr>
        <w:t>师生个人数据中心，也称为师生个人画像，核心是为了解决面向个人的统一化数据查看与管理，实现个人“一张表”应用。</w:t>
      </w:r>
    </w:p>
    <w:p>
      <w:pPr>
        <w:ind w:firstLine="560" w:firstLineChars="200"/>
        <w:rPr>
          <w:rFonts w:ascii="仿宋" w:hAnsi="仿宋" w:eastAsia="仿宋"/>
          <w:sz w:val="28"/>
          <w:szCs w:val="28"/>
        </w:rPr>
      </w:pPr>
      <w:r>
        <w:rPr>
          <w:rFonts w:hint="eastAsia" w:ascii="仿宋" w:hAnsi="仿宋" w:eastAsia="仿宋"/>
          <w:sz w:val="28"/>
          <w:szCs w:val="28"/>
        </w:rPr>
        <w:t>（3）管理决策驾驶舱</w:t>
      </w:r>
    </w:p>
    <w:p>
      <w:pPr>
        <w:ind w:firstLine="560" w:firstLineChars="200"/>
        <w:rPr>
          <w:rFonts w:ascii="仿宋" w:hAnsi="仿宋" w:eastAsia="仿宋"/>
          <w:sz w:val="28"/>
          <w:szCs w:val="28"/>
        </w:rPr>
      </w:pPr>
      <w:r>
        <w:rPr>
          <w:rFonts w:hint="eastAsia" w:ascii="仿宋" w:hAnsi="仿宋" w:eastAsia="仿宋"/>
          <w:sz w:val="28"/>
          <w:szCs w:val="28"/>
        </w:rPr>
        <w:t>围绕师资队伍、人才培养、科研项目、奖励奖项、科研论文、专利概况、国际合作等方面，打造管理驾驶舱。可按需灵活配置各类主题分析，支持放大、导出，并依据不同角色权限显示不同主题。</w:t>
      </w:r>
    </w:p>
    <w:p>
      <w:pPr>
        <w:pStyle w:val="3"/>
        <w:spacing w:after="0"/>
        <w:ind w:firstLine="562" w:firstLineChars="200"/>
        <w:rPr>
          <w:sz w:val="28"/>
          <w:szCs w:val="28"/>
        </w:rPr>
      </w:pPr>
      <w:r>
        <w:rPr>
          <w:rFonts w:hint="eastAsia"/>
          <w:sz w:val="28"/>
          <w:szCs w:val="28"/>
        </w:rPr>
        <w:t>三、平台性能要求</w:t>
      </w:r>
    </w:p>
    <w:p>
      <w:pPr>
        <w:widowControl/>
        <w:ind w:firstLine="560" w:firstLineChars="200"/>
        <w:jc w:val="left"/>
        <w:rPr>
          <w:rFonts w:ascii="仿宋" w:hAnsi="仿宋" w:eastAsia="仿宋"/>
          <w:sz w:val="28"/>
          <w:szCs w:val="28"/>
        </w:rPr>
      </w:pPr>
      <w:r>
        <w:rPr>
          <w:rFonts w:hint="eastAsia" w:ascii="仿宋" w:hAnsi="仿宋" w:eastAsia="仿宋"/>
          <w:sz w:val="28"/>
          <w:szCs w:val="28"/>
        </w:rPr>
        <w:t>1、稳健性和快速性</w:t>
      </w:r>
    </w:p>
    <w:p>
      <w:pPr>
        <w:widowControl/>
        <w:ind w:firstLine="560" w:firstLineChars="200"/>
        <w:jc w:val="left"/>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支持对核心软硬件的工作状态实时监测，单点故障不影响全系统正常运行；</w:t>
      </w:r>
    </w:p>
    <w:p>
      <w:pPr>
        <w:widowControl/>
        <w:ind w:firstLine="560" w:firstLineChars="20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具备定制和二次开发能力，能够根据学校的业务需求变化进行快速调整，维护周期短，升级成本低；</w:t>
      </w:r>
    </w:p>
    <w:p>
      <w:pPr>
        <w:widowControl/>
        <w:ind w:firstLine="560" w:firstLineChars="20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支持私有化部署，能够将系统部署到学校指定的服务器及操作系统中；</w:t>
      </w:r>
    </w:p>
    <w:p>
      <w:pPr>
        <w:widowControl/>
        <w:ind w:firstLine="560" w:firstLineChars="20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4）</w:t>
      </w:r>
      <w:r>
        <w:rPr>
          <w:rFonts w:hint="eastAsia" w:ascii="仿宋" w:hAnsi="仿宋" w:eastAsia="仿宋"/>
          <w:sz w:val="28"/>
          <w:szCs w:val="28"/>
        </w:rPr>
        <w:t>离线数据同步数据采集任务可达到5MB/秒以上；</w:t>
      </w:r>
    </w:p>
    <w:p>
      <w:pPr>
        <w:widowControl/>
        <w:ind w:firstLine="560" w:firstLineChars="20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5）</w:t>
      </w:r>
      <w:r>
        <w:rPr>
          <w:rFonts w:hint="eastAsia" w:ascii="仿宋" w:hAnsi="仿宋" w:eastAsia="仿宋"/>
          <w:sz w:val="28"/>
          <w:szCs w:val="28"/>
        </w:rPr>
        <w:t>离线开发调度任务平均响应时间不超过500毫秒；</w:t>
      </w:r>
    </w:p>
    <w:p>
      <w:pPr>
        <w:widowControl/>
        <w:ind w:firstLine="560" w:firstLineChars="20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6）</w:t>
      </w:r>
      <w:r>
        <w:rPr>
          <w:rFonts w:hint="eastAsia" w:ascii="仿宋" w:hAnsi="仿宋" w:eastAsia="仿宋"/>
          <w:sz w:val="28"/>
          <w:szCs w:val="28"/>
        </w:rPr>
        <w:t>支持进行多维查询分析，千万级别业务数据表的统计查询不应超过5秒；复杂综合性跨模块查询及统计不超过1分钟；复杂报表查询（千万条记录）及统计不超过1分钟；</w:t>
      </w:r>
    </w:p>
    <w:p>
      <w:pPr>
        <w:widowControl/>
        <w:ind w:firstLine="560" w:firstLineChars="200"/>
        <w:jc w:val="left"/>
        <w:rPr>
          <w:rFonts w:ascii="仿宋" w:hAnsi="仿宋" w:eastAsia="仿宋"/>
          <w:sz w:val="28"/>
          <w:szCs w:val="28"/>
        </w:rPr>
      </w:pPr>
      <w:r>
        <w:rPr>
          <w:rFonts w:hint="eastAsia" w:ascii="仿宋" w:hAnsi="仿宋" w:eastAsia="仿宋"/>
          <w:sz w:val="28"/>
          <w:szCs w:val="28"/>
        </w:rPr>
        <w:t>2、兼容性</w:t>
      </w:r>
    </w:p>
    <w:p>
      <w:pPr>
        <w:widowControl/>
        <w:ind w:firstLine="560" w:firstLineChars="200"/>
        <w:jc w:val="left"/>
        <w:rPr>
          <w:rFonts w:ascii="仿宋" w:hAnsi="仿宋" w:eastAsia="仿宋"/>
          <w:sz w:val="28"/>
          <w:szCs w:val="28"/>
        </w:rPr>
      </w:pPr>
      <w:r>
        <w:rPr>
          <w:rFonts w:hint="eastAsia" w:ascii="仿宋" w:hAnsi="仿宋" w:eastAsia="仿宋"/>
          <w:sz w:val="28"/>
          <w:szCs w:val="28"/>
        </w:rPr>
        <w:t>（1）能够最大限度地保证学校现有各种计算机软、硬件资源的可用性和连续性，以及学校未来应用的发展；</w:t>
      </w:r>
    </w:p>
    <w:p>
      <w:pPr>
        <w:widowControl/>
        <w:ind w:firstLine="560" w:firstLineChars="200"/>
        <w:jc w:val="left"/>
        <w:rPr>
          <w:rFonts w:ascii="仿宋" w:hAnsi="仿宋" w:eastAsia="仿宋"/>
          <w:sz w:val="28"/>
          <w:szCs w:val="28"/>
        </w:rPr>
      </w:pPr>
      <w:r>
        <w:rPr>
          <w:rFonts w:hint="eastAsia" w:ascii="仿宋" w:hAnsi="仿宋" w:eastAsia="仿宋"/>
          <w:sz w:val="28"/>
          <w:szCs w:val="28"/>
        </w:rPr>
        <w:t>（2）客户端支持IE10以上、Chrome、Firefox、Safari、Opera等主流浏览器；</w:t>
      </w:r>
    </w:p>
    <w:p>
      <w:pPr>
        <w:widowControl/>
        <w:ind w:firstLine="560" w:firstLineChars="20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）平台软件需适配信创环境要求</w:t>
      </w:r>
      <w:r>
        <w:rPr>
          <w:rFonts w:ascii="仿宋" w:hAnsi="仿宋" w:eastAsia="仿宋"/>
          <w:sz w:val="28"/>
          <w:szCs w:val="28"/>
        </w:rPr>
        <w:t>，根据校方实际情况部署</w:t>
      </w:r>
      <w:r>
        <w:rPr>
          <w:rFonts w:hint="eastAsia" w:ascii="仿宋" w:hAnsi="仿宋" w:eastAsia="仿宋"/>
          <w:sz w:val="28"/>
          <w:szCs w:val="28"/>
        </w:rPr>
        <w:t>。</w:t>
      </w:r>
    </w:p>
    <w:p>
      <w:pPr>
        <w:widowControl/>
        <w:ind w:firstLine="560" w:firstLineChars="200"/>
        <w:jc w:val="left"/>
        <w:rPr>
          <w:rFonts w:ascii="仿宋" w:hAnsi="仿宋" w:eastAsia="仿宋"/>
          <w:sz w:val="28"/>
          <w:szCs w:val="28"/>
        </w:rPr>
      </w:pPr>
      <w:r>
        <w:rPr>
          <w:rFonts w:hint="eastAsia" w:ascii="仿宋" w:hAnsi="仿宋" w:eastAsia="仿宋"/>
          <w:sz w:val="28"/>
          <w:szCs w:val="28"/>
        </w:rPr>
        <w:t>3、安全性</w:t>
      </w:r>
    </w:p>
    <w:p>
      <w:pPr>
        <w:ind w:left="420" w:left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具备安全保护措施和数据加密，防止黑客攻击、权限泄露、异常扰乱等，具有高度的安全和保密性；</w:t>
      </w:r>
    </w:p>
    <w:p>
      <w:pPr>
        <w:ind w:left="420" w:left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具备较强的安全防护能力，能通过安全扫描，具备防止SQL注入等的攻击机制；</w:t>
      </w:r>
    </w:p>
    <w:p>
      <w:pPr>
        <w:ind w:left="420" w:left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具备强口令认证和防暴力破解的功能；</w:t>
      </w:r>
    </w:p>
    <w:p>
      <w:pPr>
        <w:ind w:left="420" w:left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4）</w:t>
      </w:r>
      <w:r>
        <w:rPr>
          <w:rFonts w:hint="eastAsia" w:ascii="仿宋" w:hAnsi="仿宋" w:eastAsia="仿宋"/>
          <w:sz w:val="28"/>
          <w:szCs w:val="28"/>
        </w:rPr>
        <w:t>支持到字段级别的多级授权管理能力；</w:t>
      </w:r>
    </w:p>
    <w:p>
      <w:pPr>
        <w:ind w:left="420" w:left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5）</w:t>
      </w:r>
      <w:r>
        <w:rPr>
          <w:rFonts w:hint="eastAsia" w:ascii="仿宋" w:hAnsi="仿宋" w:eastAsia="仿宋"/>
          <w:sz w:val="28"/>
          <w:szCs w:val="28"/>
        </w:rPr>
        <w:t>具备数据分级、分类管理能力，支持数据标签管理；</w:t>
      </w:r>
    </w:p>
    <w:p>
      <w:pPr>
        <w:ind w:left="420" w:left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6）</w:t>
      </w:r>
      <w:r>
        <w:rPr>
          <w:rFonts w:hint="eastAsia" w:ascii="仿宋" w:hAnsi="仿宋" w:eastAsia="仿宋"/>
          <w:sz w:val="28"/>
          <w:szCs w:val="28"/>
        </w:rPr>
        <w:t>平台的整体设计须全面考虑数据采集和共享的安全性和合规性，遵从《中华人民共和国个人信息保护法》等法规。</w:t>
      </w:r>
    </w:p>
    <w:p>
      <w:pPr>
        <w:widowControl/>
        <w:ind w:firstLine="560" w:firstLineChars="200"/>
        <w:jc w:val="left"/>
        <w:rPr>
          <w:rFonts w:ascii="仿宋" w:hAnsi="仿宋" w:eastAsia="仿宋"/>
          <w:sz w:val="28"/>
          <w:szCs w:val="28"/>
        </w:rPr>
      </w:pPr>
      <w:r>
        <w:rPr>
          <w:rFonts w:hint="eastAsia" w:ascii="仿宋" w:hAnsi="仿宋" w:eastAsia="仿宋"/>
          <w:sz w:val="28"/>
          <w:szCs w:val="28"/>
        </w:rPr>
        <w:t>4、易用性</w:t>
      </w:r>
    </w:p>
    <w:p>
      <w:pPr>
        <w:widowControl/>
        <w:ind w:firstLine="560" w:firstLineChars="200"/>
        <w:jc w:val="left"/>
        <w:rPr>
          <w:rFonts w:ascii="仿宋" w:hAnsi="仿宋" w:eastAsia="仿宋"/>
          <w:sz w:val="28"/>
          <w:szCs w:val="28"/>
        </w:rPr>
      </w:pPr>
      <w:r>
        <w:rPr>
          <w:rFonts w:hint="eastAsia" w:ascii="仿宋" w:hAnsi="仿宋" w:eastAsia="仿宋"/>
          <w:sz w:val="28"/>
          <w:szCs w:val="28"/>
        </w:rPr>
        <w:t>系统界面应尽量直观、简洁，用户可以通过主流的浏览器访问。流程服务的设计和部署要清晰、友好、易用和一致。</w:t>
      </w:r>
    </w:p>
    <w:p>
      <w:pPr>
        <w:widowControl/>
        <w:ind w:firstLine="560" w:firstLineChars="200"/>
        <w:jc w:val="left"/>
        <w:rPr>
          <w:rFonts w:ascii="仿宋" w:hAnsi="仿宋" w:eastAsia="仿宋"/>
          <w:sz w:val="28"/>
          <w:szCs w:val="28"/>
        </w:rPr>
      </w:pPr>
      <w:r>
        <w:rPr>
          <w:rFonts w:hint="eastAsia" w:ascii="仿宋" w:hAnsi="仿宋" w:eastAsia="仿宋"/>
          <w:sz w:val="28"/>
          <w:szCs w:val="28"/>
        </w:rPr>
        <w:t>5、标准化原则</w:t>
      </w:r>
    </w:p>
    <w:p>
      <w:pPr>
        <w:widowControl/>
        <w:ind w:firstLine="560" w:firstLineChars="200"/>
        <w:jc w:val="left"/>
        <w:rPr>
          <w:rFonts w:ascii="仿宋" w:hAnsi="仿宋" w:eastAsia="仿宋"/>
          <w:sz w:val="28"/>
          <w:szCs w:val="28"/>
        </w:rPr>
      </w:pPr>
      <w:r>
        <w:rPr>
          <w:rFonts w:hint="eastAsia" w:ascii="仿宋" w:hAnsi="仿宋" w:eastAsia="仿宋"/>
          <w:sz w:val="28"/>
          <w:szCs w:val="28"/>
        </w:rPr>
        <w:t>本项目应符合国家、行业发布的标准和规范，使系统的通信环境、软件环境相互间依赖减至最小，使其各自发挥自身优势。同时，平台与第三方系统的对接也应遵循标准化原则，采用统一的数据和应用集成接口。</w:t>
      </w:r>
    </w:p>
    <w:p>
      <w:pPr>
        <w:pStyle w:val="3"/>
        <w:spacing w:after="0"/>
        <w:ind w:firstLine="562" w:firstLineChars="200"/>
        <w:rPr>
          <w:sz w:val="28"/>
          <w:szCs w:val="28"/>
        </w:rPr>
      </w:pPr>
      <w:r>
        <w:rPr>
          <w:rFonts w:hint="eastAsia"/>
          <w:sz w:val="28"/>
          <w:szCs w:val="28"/>
        </w:rPr>
        <w:t>四</w:t>
      </w:r>
      <w:r>
        <w:rPr>
          <w:sz w:val="28"/>
          <w:szCs w:val="28"/>
        </w:rPr>
        <w:t>、</w:t>
      </w:r>
      <w:r>
        <w:rPr>
          <w:rFonts w:hint="eastAsia"/>
          <w:sz w:val="28"/>
          <w:szCs w:val="28"/>
        </w:rPr>
        <w:t>项目实施</w:t>
      </w:r>
      <w:r>
        <w:rPr>
          <w:sz w:val="28"/>
          <w:szCs w:val="28"/>
        </w:rPr>
        <w:t>计划和数据治理服务内容</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1"/>
        <w:gridCol w:w="8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653" w:type="pct"/>
            <w:vAlign w:val="center"/>
          </w:tcPr>
          <w:p>
            <w:pPr>
              <w:pStyle w:val="2"/>
              <w:spacing w:line="400" w:lineRule="exact"/>
              <w:rPr>
                <w:rFonts w:ascii="仿宋" w:hAnsi="仿宋" w:eastAsia="仿宋"/>
                <w:b/>
                <w:sz w:val="28"/>
                <w:szCs w:val="28"/>
              </w:rPr>
            </w:pPr>
            <w:r>
              <w:rPr>
                <w:rFonts w:hint="eastAsia" w:ascii="仿宋" w:hAnsi="仿宋" w:eastAsia="仿宋"/>
                <w:b/>
                <w:sz w:val="28"/>
                <w:szCs w:val="28"/>
              </w:rPr>
              <w:t>时间</w:t>
            </w:r>
          </w:p>
        </w:tc>
        <w:tc>
          <w:tcPr>
            <w:tcW w:w="4347" w:type="pct"/>
            <w:vAlign w:val="center"/>
          </w:tcPr>
          <w:p>
            <w:pPr>
              <w:pStyle w:val="2"/>
              <w:spacing w:line="400" w:lineRule="exact"/>
              <w:rPr>
                <w:rFonts w:ascii="仿宋" w:hAnsi="仿宋" w:eastAsia="仿宋"/>
                <w:b/>
                <w:sz w:val="28"/>
                <w:szCs w:val="28"/>
              </w:rPr>
            </w:pPr>
            <w:r>
              <w:rPr>
                <w:rFonts w:hint="eastAsia" w:ascii="仿宋" w:hAnsi="仿宋" w:eastAsia="仿宋"/>
                <w:b/>
                <w:sz w:val="28"/>
                <w:szCs w:val="28"/>
              </w:rPr>
              <w:t>服务</w:t>
            </w:r>
            <w:r>
              <w:rPr>
                <w:rFonts w:ascii="仿宋" w:hAnsi="仿宋" w:eastAsia="仿宋"/>
                <w:b/>
                <w:sz w:val="28"/>
                <w:szCs w:val="28"/>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4" w:hRule="atLeast"/>
        </w:trPr>
        <w:tc>
          <w:tcPr>
            <w:tcW w:w="653" w:type="pct"/>
            <w:vAlign w:val="center"/>
          </w:tcPr>
          <w:p>
            <w:pPr>
              <w:pStyle w:val="2"/>
              <w:spacing w:line="400" w:lineRule="exact"/>
              <w:rPr>
                <w:rFonts w:ascii="仿宋" w:hAnsi="仿宋" w:eastAsia="仿宋"/>
                <w:sz w:val="28"/>
                <w:szCs w:val="28"/>
              </w:rPr>
            </w:pPr>
            <w:r>
              <w:rPr>
                <w:rFonts w:hint="eastAsia" w:ascii="仿宋" w:hAnsi="仿宋" w:eastAsia="仿宋"/>
                <w:sz w:val="28"/>
                <w:szCs w:val="28"/>
              </w:rPr>
              <w:t>第一年</w:t>
            </w:r>
          </w:p>
        </w:tc>
        <w:tc>
          <w:tcPr>
            <w:tcW w:w="4347" w:type="pct"/>
            <w:vAlign w:val="center"/>
          </w:tcPr>
          <w:p>
            <w:pPr>
              <w:pStyle w:val="2"/>
              <w:spacing w:line="400" w:lineRule="exact"/>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平台</w:t>
            </w:r>
            <w:r>
              <w:rPr>
                <w:rFonts w:ascii="仿宋" w:hAnsi="仿宋" w:eastAsia="仿宋"/>
                <w:sz w:val="28"/>
                <w:szCs w:val="28"/>
              </w:rPr>
              <w:t>及相关子系统</w:t>
            </w:r>
            <w:r>
              <w:rPr>
                <w:rFonts w:hint="eastAsia" w:ascii="仿宋" w:hAnsi="仿宋" w:eastAsia="仿宋"/>
                <w:sz w:val="28"/>
                <w:szCs w:val="28"/>
              </w:rPr>
              <w:t>部署（签订</w:t>
            </w:r>
            <w:r>
              <w:rPr>
                <w:rFonts w:ascii="仿宋" w:hAnsi="仿宋" w:eastAsia="仿宋"/>
                <w:sz w:val="28"/>
                <w:szCs w:val="28"/>
              </w:rPr>
              <w:t>合同后，</w:t>
            </w:r>
            <w:r>
              <w:rPr>
                <w:rFonts w:hint="eastAsia" w:ascii="仿宋" w:hAnsi="仿宋" w:eastAsia="仿宋"/>
                <w:sz w:val="28"/>
                <w:szCs w:val="28"/>
              </w:rPr>
              <w:t>学校</w:t>
            </w:r>
            <w:r>
              <w:rPr>
                <w:rFonts w:ascii="仿宋" w:hAnsi="仿宋" w:eastAsia="仿宋"/>
                <w:sz w:val="28"/>
                <w:szCs w:val="28"/>
              </w:rPr>
              <w:t>提供部署所需的</w:t>
            </w:r>
            <w:r>
              <w:rPr>
                <w:rFonts w:hint="eastAsia" w:ascii="仿宋" w:hAnsi="仿宋" w:eastAsia="仿宋"/>
                <w:sz w:val="28"/>
                <w:szCs w:val="28"/>
              </w:rPr>
              <w:t>虚拟机资源</w:t>
            </w:r>
            <w:r>
              <w:rPr>
                <w:rFonts w:ascii="仿宋" w:hAnsi="仿宋" w:eastAsia="仿宋"/>
                <w:sz w:val="28"/>
                <w:szCs w:val="28"/>
              </w:rPr>
              <w:t>）</w:t>
            </w:r>
            <w:r>
              <w:rPr>
                <w:rFonts w:hint="eastAsia" w:ascii="仿宋" w:hAnsi="仿宋" w:eastAsia="仿宋"/>
                <w:sz w:val="28"/>
                <w:szCs w:val="28"/>
              </w:rPr>
              <w:t>；</w:t>
            </w:r>
          </w:p>
          <w:p>
            <w:pPr>
              <w:pStyle w:val="2"/>
              <w:spacing w:line="400" w:lineRule="exact"/>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sz w:val="28"/>
                <w:szCs w:val="28"/>
              </w:rPr>
              <w:t>同步人员</w:t>
            </w:r>
            <w:r>
              <w:rPr>
                <w:rFonts w:ascii="仿宋" w:hAnsi="仿宋" w:eastAsia="仿宋"/>
                <w:sz w:val="28"/>
                <w:szCs w:val="28"/>
              </w:rPr>
              <w:t>中心系统</w:t>
            </w:r>
            <w:r>
              <w:rPr>
                <w:rFonts w:hint="eastAsia" w:ascii="仿宋" w:hAnsi="仿宋" w:eastAsia="仿宋"/>
                <w:sz w:val="28"/>
                <w:szCs w:val="28"/>
              </w:rPr>
              <w:t>的</w:t>
            </w:r>
            <w:r>
              <w:rPr>
                <w:rFonts w:ascii="仿宋" w:hAnsi="仿宋" w:eastAsia="仿宋"/>
                <w:sz w:val="28"/>
                <w:szCs w:val="28"/>
              </w:rPr>
              <w:t>人员基础数据、组织机构数据和职权岗位数据</w:t>
            </w:r>
            <w:r>
              <w:rPr>
                <w:rFonts w:hint="eastAsia" w:ascii="仿宋" w:hAnsi="仿宋" w:eastAsia="仿宋"/>
                <w:sz w:val="28"/>
                <w:szCs w:val="28"/>
              </w:rPr>
              <w:t>，实现</w:t>
            </w:r>
            <w:r>
              <w:rPr>
                <w:rFonts w:ascii="仿宋" w:hAnsi="仿宋" w:eastAsia="仿宋"/>
                <w:sz w:val="28"/>
                <w:szCs w:val="28"/>
              </w:rPr>
              <w:t>统一身份认证对接</w:t>
            </w:r>
            <w:r>
              <w:rPr>
                <w:rFonts w:hint="eastAsia" w:ascii="仿宋" w:hAnsi="仿宋" w:eastAsia="仿宋"/>
                <w:sz w:val="28"/>
                <w:szCs w:val="28"/>
              </w:rPr>
              <w:t>；</w:t>
            </w:r>
          </w:p>
          <w:p>
            <w:pPr>
              <w:pStyle w:val="2"/>
              <w:spacing w:line="400" w:lineRule="exact"/>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数据治理服务</w:t>
            </w:r>
            <w:r>
              <w:rPr>
                <w:rFonts w:ascii="仿宋" w:hAnsi="仿宋" w:eastAsia="仿宋"/>
                <w:sz w:val="28"/>
                <w:szCs w:val="28"/>
              </w:rPr>
              <w:t>内容</w:t>
            </w:r>
            <w:r>
              <w:rPr>
                <w:rFonts w:hint="eastAsia" w:ascii="仿宋" w:hAnsi="仿宋" w:eastAsia="仿宋"/>
                <w:sz w:val="28"/>
                <w:szCs w:val="28"/>
              </w:rPr>
              <w:t>：学生课程、学生成绩、学籍异动</w:t>
            </w:r>
            <w:r>
              <w:rPr>
                <w:rFonts w:ascii="仿宋" w:hAnsi="仿宋" w:eastAsia="仿宋"/>
                <w:sz w:val="28"/>
                <w:szCs w:val="28"/>
              </w:rPr>
              <w:t>数据、</w:t>
            </w:r>
            <w:r>
              <w:rPr>
                <w:rFonts w:hint="eastAsia" w:ascii="仿宋" w:hAnsi="仿宋" w:eastAsia="仿宋"/>
                <w:sz w:val="28"/>
                <w:szCs w:val="28"/>
              </w:rPr>
              <w:t>就业</w:t>
            </w:r>
            <w:r>
              <w:rPr>
                <w:rFonts w:ascii="仿宋" w:hAnsi="仿宋" w:eastAsia="仿宋"/>
                <w:sz w:val="28"/>
                <w:szCs w:val="28"/>
              </w:rPr>
              <w:t>数据、</w:t>
            </w:r>
            <w:r>
              <w:rPr>
                <w:rFonts w:hint="eastAsia" w:ascii="仿宋" w:hAnsi="仿宋" w:eastAsia="仿宋"/>
                <w:sz w:val="28"/>
                <w:szCs w:val="28"/>
              </w:rPr>
              <w:t>消费数据、图书借阅数据、门禁数据、竞赛数据、勤工助学数据、评奖评优</w:t>
            </w:r>
            <w:r>
              <w:rPr>
                <w:rFonts w:ascii="仿宋" w:hAnsi="仿宋" w:eastAsia="仿宋"/>
                <w:sz w:val="28"/>
                <w:szCs w:val="28"/>
              </w:rPr>
              <w:t>数据、</w:t>
            </w:r>
            <w:r>
              <w:rPr>
                <w:rFonts w:hint="eastAsia" w:ascii="仿宋" w:hAnsi="仿宋" w:eastAsia="仿宋"/>
                <w:sz w:val="28"/>
                <w:szCs w:val="28"/>
              </w:rPr>
              <w:t>奖助学金数据等；</w:t>
            </w:r>
          </w:p>
          <w:p>
            <w:pPr>
              <w:pStyle w:val="2"/>
              <w:spacing w:line="400" w:lineRule="exact"/>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构建学生个人数字画像。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653" w:type="pct"/>
            <w:vAlign w:val="center"/>
          </w:tcPr>
          <w:p>
            <w:pPr>
              <w:pStyle w:val="2"/>
              <w:spacing w:line="400" w:lineRule="exact"/>
              <w:rPr>
                <w:rFonts w:ascii="仿宋" w:hAnsi="仿宋" w:eastAsia="仿宋"/>
                <w:sz w:val="28"/>
                <w:szCs w:val="28"/>
              </w:rPr>
            </w:pPr>
            <w:r>
              <w:rPr>
                <w:rFonts w:hint="eastAsia" w:ascii="仿宋" w:hAnsi="仿宋" w:eastAsia="仿宋"/>
                <w:sz w:val="28"/>
                <w:szCs w:val="28"/>
              </w:rPr>
              <w:t>第二年</w:t>
            </w:r>
          </w:p>
        </w:tc>
        <w:tc>
          <w:tcPr>
            <w:tcW w:w="4347" w:type="pct"/>
            <w:vAlign w:val="center"/>
          </w:tcPr>
          <w:p>
            <w:pPr>
              <w:pStyle w:val="2"/>
              <w:spacing w:line="400" w:lineRule="exac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对接网上办事中心，开放接口数据申请、接口审核管理，监控数据使用；</w:t>
            </w:r>
          </w:p>
          <w:p>
            <w:pPr>
              <w:pStyle w:val="2"/>
              <w:spacing w:line="400" w:lineRule="exact"/>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、数据</w:t>
            </w:r>
            <w:r>
              <w:rPr>
                <w:rFonts w:hint="eastAsia" w:ascii="仿宋" w:hAnsi="仿宋" w:eastAsia="仿宋"/>
                <w:sz w:val="28"/>
                <w:szCs w:val="28"/>
              </w:rPr>
              <w:t>治理服务</w:t>
            </w:r>
            <w:r>
              <w:rPr>
                <w:rFonts w:ascii="仿宋" w:hAnsi="仿宋" w:eastAsia="仿宋"/>
                <w:sz w:val="28"/>
                <w:szCs w:val="28"/>
              </w:rPr>
              <w:t>内容</w:t>
            </w:r>
            <w:r>
              <w:rPr>
                <w:rFonts w:hint="eastAsia" w:ascii="仿宋" w:hAnsi="仿宋" w:eastAsia="仿宋"/>
                <w:sz w:val="28"/>
                <w:szCs w:val="28"/>
              </w:rPr>
              <w:t>：授课数据、指导</w:t>
            </w:r>
            <w:r>
              <w:rPr>
                <w:rFonts w:ascii="仿宋" w:hAnsi="仿宋" w:eastAsia="仿宋"/>
                <w:sz w:val="28"/>
                <w:szCs w:val="28"/>
              </w:rPr>
              <w:t>研究生</w:t>
            </w:r>
            <w:r>
              <w:rPr>
                <w:rFonts w:hint="eastAsia" w:ascii="仿宋" w:hAnsi="仿宋" w:eastAsia="仿宋"/>
                <w:sz w:val="28"/>
                <w:szCs w:val="28"/>
              </w:rPr>
              <w:t>数据、科研数据、资产数据等；</w:t>
            </w:r>
          </w:p>
          <w:p>
            <w:pPr>
              <w:pStyle w:val="2"/>
              <w:spacing w:line="400" w:lineRule="exact"/>
              <w:rPr>
                <w:rFonts w:ascii="仿宋" w:hAnsi="仿宋" w:eastAsia="仿宋"/>
                <w:sz w:val="28"/>
                <w:szCs w:val="28"/>
              </w:rPr>
            </w:pPr>
            <w:r>
              <w:rPr>
                <w:rFonts w:hint="eastAsia" w:ascii="仿宋" w:hAnsi="仿宋" w:eastAsia="仿宋"/>
                <w:sz w:val="28"/>
                <w:szCs w:val="28"/>
              </w:rPr>
              <w:t>3</w:t>
            </w:r>
            <w:r>
              <w:rPr>
                <w:rFonts w:ascii="仿宋" w:hAnsi="仿宋" w:eastAsia="仿宋"/>
                <w:sz w:val="28"/>
                <w:szCs w:val="28"/>
              </w:rPr>
              <w:t>、</w:t>
            </w:r>
            <w:r>
              <w:rPr>
                <w:rFonts w:hint="eastAsia" w:ascii="仿宋" w:hAnsi="仿宋" w:eastAsia="仿宋"/>
                <w:sz w:val="28"/>
                <w:szCs w:val="28"/>
              </w:rPr>
              <w:t>构建教师个人数字画像。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653" w:type="pct"/>
            <w:vAlign w:val="center"/>
          </w:tcPr>
          <w:p>
            <w:pPr>
              <w:pStyle w:val="2"/>
              <w:spacing w:line="400" w:lineRule="exact"/>
              <w:rPr>
                <w:rFonts w:ascii="仿宋" w:hAnsi="仿宋" w:eastAsia="仿宋"/>
                <w:sz w:val="28"/>
                <w:szCs w:val="28"/>
              </w:rPr>
            </w:pPr>
            <w:r>
              <w:rPr>
                <w:rFonts w:hint="eastAsia" w:ascii="仿宋" w:hAnsi="仿宋" w:eastAsia="仿宋"/>
                <w:sz w:val="28"/>
                <w:szCs w:val="28"/>
              </w:rPr>
              <w:t>第三年</w:t>
            </w:r>
          </w:p>
        </w:tc>
        <w:tc>
          <w:tcPr>
            <w:tcW w:w="4347" w:type="pct"/>
            <w:vAlign w:val="center"/>
          </w:tcPr>
          <w:p>
            <w:pPr>
              <w:pStyle w:val="2"/>
              <w:spacing w:line="400" w:lineRule="exact"/>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平台</w:t>
            </w:r>
            <w:r>
              <w:rPr>
                <w:rFonts w:ascii="仿宋" w:hAnsi="仿宋" w:eastAsia="仿宋"/>
                <w:sz w:val="28"/>
                <w:szCs w:val="28"/>
              </w:rPr>
              <w:t>及相关子系统</w:t>
            </w:r>
            <w:r>
              <w:rPr>
                <w:rFonts w:hint="eastAsia" w:ascii="仿宋" w:hAnsi="仿宋" w:eastAsia="仿宋"/>
                <w:sz w:val="28"/>
                <w:szCs w:val="28"/>
              </w:rPr>
              <w:t>迭代升级；</w:t>
            </w:r>
          </w:p>
          <w:p>
            <w:pPr>
              <w:pStyle w:val="2"/>
              <w:spacing w:line="400" w:lineRule="exact"/>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、数据</w:t>
            </w:r>
            <w:r>
              <w:rPr>
                <w:rFonts w:hint="eastAsia" w:ascii="仿宋" w:hAnsi="仿宋" w:eastAsia="仿宋"/>
                <w:sz w:val="28"/>
                <w:szCs w:val="28"/>
              </w:rPr>
              <w:t>治理服务</w:t>
            </w:r>
            <w:r>
              <w:rPr>
                <w:rFonts w:ascii="仿宋" w:hAnsi="仿宋" w:eastAsia="仿宋"/>
                <w:sz w:val="28"/>
                <w:szCs w:val="28"/>
              </w:rPr>
              <w:t>内容</w:t>
            </w:r>
            <w:r>
              <w:rPr>
                <w:rFonts w:hint="eastAsia" w:ascii="仿宋" w:hAnsi="仿宋" w:eastAsia="仿宋"/>
                <w:sz w:val="28"/>
                <w:szCs w:val="28"/>
              </w:rPr>
              <w:t>：财务数据、采购数据、合同</w:t>
            </w:r>
            <w:r>
              <w:rPr>
                <w:rFonts w:ascii="仿宋" w:hAnsi="仿宋" w:eastAsia="仿宋"/>
                <w:sz w:val="28"/>
                <w:szCs w:val="28"/>
              </w:rPr>
              <w:t>数据</w:t>
            </w:r>
            <w:r>
              <w:rPr>
                <w:rFonts w:hint="eastAsia" w:ascii="仿宋" w:hAnsi="仿宋" w:eastAsia="仿宋"/>
                <w:sz w:val="28"/>
                <w:szCs w:val="28"/>
              </w:rPr>
              <w:t>、网络</w:t>
            </w:r>
            <w:r>
              <w:rPr>
                <w:rFonts w:ascii="仿宋" w:hAnsi="仿宋" w:eastAsia="仿宋"/>
                <w:sz w:val="28"/>
                <w:szCs w:val="28"/>
              </w:rPr>
              <w:t>认证</w:t>
            </w:r>
            <w:r>
              <w:rPr>
                <w:rFonts w:hint="eastAsia" w:ascii="仿宋" w:hAnsi="仿宋" w:eastAsia="仿宋"/>
                <w:sz w:val="28"/>
                <w:szCs w:val="28"/>
              </w:rPr>
              <w:t>数据等；</w:t>
            </w:r>
          </w:p>
          <w:p>
            <w:pPr>
              <w:pStyle w:val="2"/>
              <w:spacing w:line="400" w:lineRule="exact"/>
              <w:rPr>
                <w:rFonts w:ascii="仿宋" w:hAnsi="仿宋" w:eastAsia="仿宋"/>
                <w:sz w:val="28"/>
                <w:szCs w:val="28"/>
              </w:rPr>
            </w:pPr>
            <w:r>
              <w:rPr>
                <w:rFonts w:hint="eastAsia" w:ascii="仿宋" w:hAnsi="仿宋" w:eastAsia="仿宋"/>
                <w:sz w:val="28"/>
                <w:szCs w:val="28"/>
              </w:rPr>
              <w:t>3</w:t>
            </w:r>
            <w:r>
              <w:rPr>
                <w:rFonts w:ascii="仿宋" w:hAnsi="仿宋" w:eastAsia="仿宋"/>
                <w:sz w:val="28"/>
                <w:szCs w:val="28"/>
              </w:rPr>
              <w:t>、</w:t>
            </w:r>
            <w:r>
              <w:rPr>
                <w:rFonts w:hint="eastAsia" w:ascii="仿宋" w:hAnsi="仿宋" w:eastAsia="仿宋"/>
                <w:sz w:val="28"/>
                <w:szCs w:val="28"/>
              </w:rPr>
              <w:t>构建</w:t>
            </w:r>
            <w:r>
              <w:rPr>
                <w:rFonts w:ascii="仿宋" w:hAnsi="仿宋" w:eastAsia="仿宋"/>
                <w:sz w:val="28"/>
                <w:szCs w:val="28"/>
              </w:rPr>
              <w:t>校情基本分析、管理决策驾驶舱</w:t>
            </w:r>
            <w:r>
              <w:rPr>
                <w:rFonts w:hint="eastAsia" w:ascii="仿宋" w:hAnsi="仿宋" w:eastAsia="仿宋"/>
                <w:sz w:val="28"/>
                <w:szCs w:val="28"/>
              </w:rPr>
              <w:t>等应用。</w:t>
            </w:r>
          </w:p>
        </w:tc>
      </w:tr>
    </w:tbl>
    <w:p>
      <w:pPr>
        <w:ind w:firstLine="560" w:firstLineChars="200"/>
        <w:rPr>
          <w:rFonts w:ascii="仿宋" w:hAnsi="仿宋" w:eastAsia="仿宋"/>
          <w:sz w:val="28"/>
          <w:szCs w:val="28"/>
        </w:rPr>
      </w:pPr>
      <w:r>
        <w:rPr>
          <w:rFonts w:hint="eastAsia" w:ascii="仿宋" w:hAnsi="仿宋" w:eastAsia="仿宋"/>
          <w:sz w:val="28"/>
          <w:szCs w:val="28"/>
        </w:rPr>
        <w:t>备注</w:t>
      </w:r>
      <w:r>
        <w:rPr>
          <w:rFonts w:ascii="仿宋" w:hAnsi="仿宋" w:eastAsia="仿宋"/>
          <w:sz w:val="28"/>
          <w:szCs w:val="28"/>
        </w:rPr>
        <w:t>：</w:t>
      </w:r>
      <w:r>
        <w:rPr>
          <w:rFonts w:hint="eastAsia" w:ascii="仿宋" w:hAnsi="仿宋" w:eastAsia="仿宋"/>
          <w:sz w:val="28"/>
          <w:szCs w:val="28"/>
        </w:rPr>
        <w:t>学校前期已完成</w:t>
      </w:r>
      <w:r>
        <w:rPr>
          <w:rFonts w:ascii="仿宋" w:hAnsi="仿宋" w:eastAsia="仿宋"/>
          <w:sz w:val="28"/>
          <w:szCs w:val="28"/>
        </w:rPr>
        <w:t>人员数据治理</w:t>
      </w:r>
      <w:r>
        <w:rPr>
          <w:rFonts w:hint="eastAsia" w:ascii="仿宋" w:hAnsi="仿宋" w:eastAsia="仿宋"/>
          <w:sz w:val="28"/>
          <w:szCs w:val="28"/>
        </w:rPr>
        <w:t>，因此本</w:t>
      </w:r>
      <w:r>
        <w:rPr>
          <w:rFonts w:ascii="仿宋" w:hAnsi="仿宋" w:eastAsia="仿宋"/>
          <w:sz w:val="28"/>
          <w:szCs w:val="28"/>
        </w:rPr>
        <w:t>项目</w:t>
      </w:r>
      <w:r>
        <w:rPr>
          <w:rFonts w:hint="eastAsia" w:ascii="仿宋" w:hAnsi="仿宋" w:eastAsia="仿宋"/>
          <w:sz w:val="28"/>
          <w:szCs w:val="28"/>
        </w:rPr>
        <w:t>不需要</w:t>
      </w:r>
      <w:r>
        <w:rPr>
          <w:rFonts w:ascii="仿宋" w:hAnsi="仿宋" w:eastAsia="仿宋"/>
          <w:sz w:val="28"/>
          <w:szCs w:val="28"/>
        </w:rPr>
        <w:t>对人员</w:t>
      </w:r>
      <w:r>
        <w:rPr>
          <w:rFonts w:hint="eastAsia" w:ascii="仿宋" w:hAnsi="仿宋" w:eastAsia="仿宋"/>
          <w:sz w:val="28"/>
          <w:szCs w:val="28"/>
        </w:rPr>
        <w:t>基础</w:t>
      </w:r>
      <w:r>
        <w:rPr>
          <w:rFonts w:ascii="仿宋" w:hAnsi="仿宋" w:eastAsia="仿宋"/>
          <w:sz w:val="28"/>
          <w:szCs w:val="28"/>
        </w:rPr>
        <w:t>数据</w:t>
      </w:r>
      <w:r>
        <w:rPr>
          <w:rFonts w:hint="eastAsia" w:ascii="仿宋" w:hAnsi="仿宋" w:eastAsia="仿宋"/>
          <w:sz w:val="28"/>
          <w:szCs w:val="28"/>
        </w:rPr>
        <w:t>、</w:t>
      </w:r>
      <w:r>
        <w:rPr>
          <w:rFonts w:ascii="仿宋" w:hAnsi="仿宋" w:eastAsia="仿宋"/>
          <w:sz w:val="28"/>
          <w:szCs w:val="28"/>
        </w:rPr>
        <w:t>组织机构数据进行</w:t>
      </w:r>
      <w:r>
        <w:rPr>
          <w:rFonts w:hint="eastAsia" w:ascii="仿宋" w:hAnsi="仿宋" w:eastAsia="仿宋"/>
          <w:sz w:val="28"/>
          <w:szCs w:val="28"/>
        </w:rPr>
        <w:t>治理，只需要</w:t>
      </w:r>
      <w:r>
        <w:rPr>
          <w:rFonts w:ascii="仿宋" w:hAnsi="仿宋" w:eastAsia="仿宋"/>
          <w:sz w:val="28"/>
          <w:szCs w:val="28"/>
        </w:rPr>
        <w:t>从人员中心</w:t>
      </w:r>
      <w:r>
        <w:rPr>
          <w:rFonts w:hint="eastAsia" w:ascii="仿宋" w:hAnsi="仿宋" w:eastAsia="仿宋"/>
          <w:sz w:val="28"/>
          <w:szCs w:val="28"/>
        </w:rPr>
        <w:t>同步</w:t>
      </w:r>
      <w:r>
        <w:rPr>
          <w:rFonts w:ascii="仿宋" w:hAnsi="仿宋" w:eastAsia="仿宋"/>
          <w:sz w:val="28"/>
          <w:szCs w:val="28"/>
        </w:rPr>
        <w:t>。</w:t>
      </w:r>
    </w:p>
    <w:p>
      <w:pPr>
        <w:pStyle w:val="3"/>
        <w:spacing w:after="0"/>
        <w:ind w:firstLine="562" w:firstLineChars="200"/>
        <w:rPr>
          <w:sz w:val="28"/>
          <w:szCs w:val="28"/>
        </w:rPr>
      </w:pPr>
      <w:r>
        <w:rPr>
          <w:rFonts w:hint="eastAsia"/>
          <w:sz w:val="28"/>
          <w:szCs w:val="28"/>
        </w:rPr>
        <w:t>五、其他要求</w:t>
      </w:r>
    </w:p>
    <w:p>
      <w:pPr>
        <w:widowControl/>
        <w:ind w:firstLine="560" w:firstLineChars="200"/>
        <w:jc w:val="left"/>
        <w:rPr>
          <w:rFonts w:ascii="仿宋" w:hAnsi="仿宋" w:eastAsia="仿宋"/>
          <w:sz w:val="28"/>
          <w:szCs w:val="28"/>
        </w:rPr>
      </w:pPr>
      <w:r>
        <w:rPr>
          <w:rFonts w:hint="eastAsia" w:ascii="仿宋" w:hAnsi="仿宋" w:eastAsia="仿宋"/>
          <w:sz w:val="28"/>
          <w:szCs w:val="28"/>
        </w:rPr>
        <w:t>1、投标人中标后须</w:t>
      </w:r>
      <w:r>
        <w:rPr>
          <w:rFonts w:ascii="仿宋" w:hAnsi="仿宋" w:eastAsia="仿宋"/>
          <w:sz w:val="28"/>
          <w:szCs w:val="28"/>
        </w:rPr>
        <w:t>为</w:t>
      </w:r>
      <w:r>
        <w:rPr>
          <w:rFonts w:hint="eastAsia" w:ascii="仿宋" w:hAnsi="仿宋" w:eastAsia="仿宋"/>
          <w:sz w:val="28"/>
          <w:szCs w:val="28"/>
        </w:rPr>
        <w:t>校方进行所投标</w:t>
      </w:r>
      <w:r>
        <w:rPr>
          <w:rFonts w:ascii="仿宋" w:hAnsi="仿宋" w:eastAsia="仿宋"/>
          <w:sz w:val="28"/>
          <w:szCs w:val="28"/>
        </w:rPr>
        <w:t>产品的功能</w:t>
      </w:r>
      <w:r>
        <w:rPr>
          <w:rFonts w:hint="eastAsia" w:ascii="仿宋" w:hAnsi="仿宋" w:eastAsia="仿宋"/>
          <w:sz w:val="28"/>
          <w:szCs w:val="28"/>
        </w:rPr>
        <w:t>、</w:t>
      </w:r>
      <w:r>
        <w:rPr>
          <w:rFonts w:ascii="仿宋" w:hAnsi="仿宋" w:eastAsia="仿宋"/>
          <w:sz w:val="28"/>
          <w:szCs w:val="28"/>
        </w:rPr>
        <w:t>性能</w:t>
      </w:r>
      <w:r>
        <w:rPr>
          <w:rFonts w:hint="eastAsia" w:ascii="仿宋" w:hAnsi="仿宋" w:eastAsia="仿宋"/>
          <w:sz w:val="28"/>
          <w:szCs w:val="28"/>
        </w:rPr>
        <w:t>演示</w:t>
      </w:r>
      <w:r>
        <w:rPr>
          <w:rFonts w:ascii="仿宋" w:hAnsi="仿宋" w:eastAsia="仿宋"/>
          <w:sz w:val="28"/>
          <w:szCs w:val="28"/>
        </w:rPr>
        <w:t>，</w:t>
      </w:r>
      <w:r>
        <w:rPr>
          <w:rFonts w:hint="eastAsia" w:ascii="仿宋" w:hAnsi="仿宋" w:eastAsia="仿宋"/>
          <w:sz w:val="28"/>
          <w:szCs w:val="28"/>
        </w:rPr>
        <w:t>演示</w:t>
      </w:r>
      <w:r>
        <w:rPr>
          <w:rFonts w:ascii="仿宋" w:hAnsi="仿宋" w:eastAsia="仿宋"/>
          <w:sz w:val="28"/>
          <w:szCs w:val="28"/>
        </w:rPr>
        <w:t>环境所需资源投标人提供。</w:t>
      </w:r>
      <w:r>
        <w:rPr>
          <w:rFonts w:hint="eastAsia" w:ascii="仿宋" w:hAnsi="仿宋" w:eastAsia="仿宋"/>
          <w:sz w:val="28"/>
          <w:szCs w:val="28"/>
        </w:rPr>
        <w:t>校方若发现功能、性能或所供产品性能截图等实际情况与投标所述存在偏差，校方有权终止中标并拒绝签署合同，并按照评标分数高低依次替补中标。</w:t>
      </w:r>
    </w:p>
    <w:p>
      <w:pPr>
        <w:widowControl/>
        <w:ind w:firstLine="560" w:firstLineChars="200"/>
        <w:jc w:val="left"/>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、自合同签订日起</w:t>
      </w:r>
      <w:r>
        <w:rPr>
          <w:rFonts w:ascii="仿宋" w:hAnsi="仿宋" w:eastAsia="仿宋"/>
          <w:sz w:val="28"/>
          <w:szCs w:val="28"/>
        </w:rPr>
        <w:t>1</w:t>
      </w:r>
      <w:r>
        <w:rPr>
          <w:rFonts w:hint="eastAsia" w:ascii="仿宋" w:hAnsi="仿宋" w:eastAsia="仿宋"/>
          <w:sz w:val="28"/>
          <w:szCs w:val="28"/>
        </w:rPr>
        <w:t>个月内完成产品本地化部署及调试。</w:t>
      </w:r>
    </w:p>
    <w:p>
      <w:pPr>
        <w:widowControl/>
        <w:ind w:firstLine="560" w:firstLineChars="200"/>
        <w:jc w:val="left"/>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、为保证在规定时间内保质保量地完成服务内容，要求投标人组建完整的项目管理团队，配置足够的人员组织实施本项目。投标人指定一名资深高级项目经理负责本次项目的具体实施。</w:t>
      </w:r>
    </w:p>
    <w:p>
      <w:pPr>
        <w:widowControl/>
        <w:ind w:firstLine="560" w:firstLineChars="200"/>
        <w:jc w:val="left"/>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、投标人的项目经理及主要参与人员都应具有信息系统建设、</w:t>
      </w:r>
      <w:r>
        <w:rPr>
          <w:rFonts w:ascii="仿宋" w:hAnsi="仿宋" w:eastAsia="仿宋"/>
          <w:sz w:val="28"/>
          <w:szCs w:val="28"/>
        </w:rPr>
        <w:t>数据</w:t>
      </w:r>
      <w:r>
        <w:rPr>
          <w:rFonts w:hint="eastAsia" w:ascii="仿宋" w:hAnsi="仿宋" w:eastAsia="仿宋"/>
          <w:sz w:val="28"/>
          <w:szCs w:val="28"/>
        </w:rPr>
        <w:t>治理的工作经历和经验，全程负责本项目。参与本项目的技术人员须具有相关行业知识及业务经验，能够与校方进行良好的沟通。</w:t>
      </w:r>
    </w:p>
    <w:p>
      <w:pPr>
        <w:widowControl/>
        <w:ind w:firstLine="560" w:firstLineChars="200"/>
        <w:jc w:val="left"/>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、为使本项目顺利建成并发挥预期作用，在项目建设中，应制定培训目标及详细的培训计划，负责系统应用人员的培训工作。</w:t>
      </w:r>
    </w:p>
    <w:p>
      <w:pPr>
        <w:widowControl/>
        <w:ind w:firstLine="560" w:firstLineChars="200"/>
        <w:jc w:val="left"/>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、售后要求</w:t>
      </w:r>
    </w:p>
    <w:p>
      <w:pPr>
        <w:widowControl/>
        <w:ind w:firstLine="560" w:firstLineChars="200"/>
        <w:jc w:val="left"/>
        <w:rPr>
          <w:rFonts w:ascii="仿宋" w:hAnsi="仿宋" w:eastAsia="仿宋"/>
          <w:sz w:val="28"/>
          <w:szCs w:val="28"/>
        </w:rPr>
      </w:pPr>
      <w:r>
        <w:rPr>
          <w:rFonts w:hint="eastAsia" w:ascii="仿宋" w:hAnsi="仿宋" w:eastAsia="仿宋"/>
          <w:sz w:val="28"/>
          <w:szCs w:val="28"/>
        </w:rPr>
        <w:t>在租赁期内，应免费提供技术支持和升级服务等。</w:t>
      </w:r>
    </w:p>
    <w:p>
      <w:pPr>
        <w:widowControl/>
        <w:ind w:firstLine="560" w:firstLineChars="20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电话及现场技术服务：投标人应在租赁期内免费提供7×24小时的电话服务，并提供技术支持人员的名单和联系方式，保证甲方可以随时找到相应的技术人员。故障报修的响应时间应小于2小时，如电话无法解决所提出的维修要求，必须在报修</w:t>
      </w:r>
      <w:r>
        <w:rPr>
          <w:rFonts w:ascii="仿宋" w:hAnsi="仿宋" w:eastAsia="仿宋"/>
          <w:sz w:val="28"/>
          <w:szCs w:val="28"/>
        </w:rPr>
        <w:t>24</w:t>
      </w:r>
      <w:r>
        <w:rPr>
          <w:rFonts w:hint="eastAsia" w:ascii="仿宋" w:hAnsi="仿宋" w:eastAsia="仿宋"/>
          <w:sz w:val="28"/>
          <w:szCs w:val="28"/>
        </w:rPr>
        <w:t>小时内派工程师到达现场，并保证在报修后</w:t>
      </w:r>
      <w:r>
        <w:rPr>
          <w:rFonts w:ascii="仿宋" w:hAnsi="仿宋" w:eastAsia="仿宋"/>
          <w:sz w:val="28"/>
          <w:szCs w:val="28"/>
        </w:rPr>
        <w:t>48</w:t>
      </w:r>
      <w:r>
        <w:rPr>
          <w:rFonts w:hint="eastAsia" w:ascii="仿宋" w:hAnsi="仿宋" w:eastAsia="仿宋"/>
          <w:sz w:val="28"/>
          <w:szCs w:val="28"/>
        </w:rPr>
        <w:t>小时内恢复系统的正常运行。免费提供每季度一次的巡检服务。</w:t>
      </w:r>
    </w:p>
    <w:p>
      <w:pPr>
        <w:widowControl/>
        <w:ind w:firstLine="560" w:firstLineChars="20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）软件升级服务：投标人应保证系统正常稳定运行的系统扩充、版本更新升级及功能更新服务。</w:t>
      </w:r>
    </w:p>
    <w:p>
      <w:pPr>
        <w:widowControl/>
        <w:ind w:firstLine="560" w:firstLineChars="200"/>
        <w:jc w:val="left"/>
        <w:rPr>
          <w:rFonts w:ascii="仿宋" w:hAnsi="仿宋" w:eastAsia="仿宋"/>
          <w:sz w:val="28"/>
          <w:szCs w:val="28"/>
        </w:rPr>
      </w:pPr>
      <w:r>
        <w:rPr>
          <w:rFonts w:hint="eastAsia" w:ascii="仿宋" w:hAnsi="仿宋" w:eastAsia="仿宋"/>
          <w:sz w:val="28"/>
          <w:szCs w:val="28"/>
        </w:rPr>
        <w:t>（3</w:t>
      </w:r>
      <w:r>
        <w:rPr>
          <w:rFonts w:ascii="仿宋" w:hAnsi="仿宋" w:eastAsia="仿宋"/>
          <w:sz w:val="28"/>
          <w:szCs w:val="28"/>
        </w:rPr>
        <w:t>）</w:t>
      </w:r>
      <w:r>
        <w:rPr>
          <w:rFonts w:hint="eastAsia" w:ascii="仿宋" w:hAnsi="仿宋" w:eastAsia="仿宋"/>
          <w:sz w:val="28"/>
          <w:szCs w:val="28"/>
        </w:rPr>
        <w:t>如因校方业务需要需对产品部分功能、性能进行调整，投标方应保证完全配合做适应性调整。</w:t>
      </w:r>
    </w:p>
    <w:p>
      <w:pPr>
        <w:pStyle w:val="3"/>
        <w:spacing w:after="0"/>
        <w:ind w:firstLine="562" w:firstLineChars="200"/>
        <w:rPr>
          <w:sz w:val="28"/>
          <w:szCs w:val="28"/>
        </w:rPr>
      </w:pPr>
      <w:r>
        <w:rPr>
          <w:rFonts w:hint="eastAsia"/>
          <w:sz w:val="28"/>
          <w:szCs w:val="28"/>
        </w:rPr>
        <w:t>六、支付及其他</w:t>
      </w:r>
    </w:p>
    <w:p>
      <w:pPr>
        <w:widowControl/>
        <w:ind w:firstLine="560" w:firstLineChars="200"/>
        <w:jc w:val="lef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、产品部署完成试运行三个月，无重大缺陷、无重大故障可进行正式验收。验收合格支付全额费用。</w:t>
      </w:r>
    </w:p>
    <w:p>
      <w:pPr>
        <w:widowControl/>
        <w:ind w:firstLine="560" w:firstLineChars="200"/>
        <w:jc w:val="left"/>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Style w:val="19"/>
          <w:rFonts w:hint="eastAsia" w:ascii="仿宋" w:hAnsi="仿宋" w:eastAsia="仿宋"/>
          <w:color w:val="000000"/>
          <w:sz w:val="27"/>
          <w:szCs w:val="27"/>
        </w:rPr>
        <w:t>本项目一次招标，三年有效，合同一年一签</w:t>
      </w:r>
      <w:r>
        <w:rPr>
          <w:rFonts w:hint="eastAsia" w:ascii="仿宋" w:hAnsi="仿宋" w:eastAsia="仿宋"/>
          <w:sz w:val="28"/>
          <w:szCs w:val="28"/>
        </w:rPr>
        <w:t>。每年度服务期满前，招标方就中标人提供的产品功能、性能、服务质量等进行综合考核。考核合格，在租赁费用维持不变的条件下，可续签下一年度合同。</w:t>
      </w:r>
    </w:p>
    <w:p>
      <w:pPr>
        <w:widowControl/>
        <w:ind w:firstLine="560" w:firstLineChars="200"/>
        <w:jc w:val="left"/>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、产品租赁如满三年，中标人需无条件授予招标方无限期产品免费使用权（包括所涉</w:t>
      </w:r>
      <w:r>
        <w:rPr>
          <w:rFonts w:ascii="仿宋" w:hAnsi="仿宋" w:eastAsia="仿宋"/>
          <w:sz w:val="28"/>
          <w:szCs w:val="28"/>
        </w:rPr>
        <w:t>产品中的</w:t>
      </w:r>
      <w:r>
        <w:rPr>
          <w:rFonts w:hint="eastAsia" w:ascii="仿宋" w:hAnsi="仿宋" w:eastAsia="仿宋"/>
          <w:sz w:val="28"/>
          <w:szCs w:val="28"/>
        </w:rPr>
        <w:t>所有</w:t>
      </w:r>
      <w:r>
        <w:rPr>
          <w:rFonts w:ascii="仿宋" w:hAnsi="仿宋" w:eastAsia="仿宋"/>
          <w:sz w:val="28"/>
          <w:szCs w:val="28"/>
        </w:rPr>
        <w:t>第三方组件</w:t>
      </w:r>
      <w:r>
        <w:rPr>
          <w:rFonts w:hint="eastAsia" w:ascii="仿宋" w:hAnsi="仿宋" w:eastAsia="仿宋"/>
          <w:sz w:val="28"/>
          <w:szCs w:val="28"/>
        </w:rPr>
        <w:t>授权</w:t>
      </w:r>
      <w:r>
        <w:rPr>
          <w:rFonts w:ascii="仿宋" w:hAnsi="仿宋" w:eastAsia="仿宋"/>
          <w:sz w:val="28"/>
          <w:szCs w:val="28"/>
        </w:rPr>
        <w:t>）</w:t>
      </w:r>
      <w:r>
        <w:rPr>
          <w:rFonts w:hint="eastAsia" w:ascii="仿宋" w:hAnsi="仿宋" w:eastAsia="仿宋"/>
          <w:sz w:val="28"/>
          <w:szCs w:val="28"/>
        </w:rPr>
        <w:t>。中标人需做好产品后续升级及技术支持，招标方支付合理费用。</w:t>
      </w:r>
    </w:p>
    <w:p>
      <w:pPr>
        <w:pStyle w:val="3"/>
        <w:spacing w:after="0"/>
        <w:ind w:firstLine="562" w:firstLineChars="200"/>
        <w:rPr>
          <w:sz w:val="28"/>
          <w:szCs w:val="28"/>
        </w:rPr>
      </w:pPr>
      <w:r>
        <w:rPr>
          <w:rFonts w:hint="eastAsia"/>
          <w:sz w:val="28"/>
          <w:szCs w:val="28"/>
        </w:rPr>
        <w:t>七、评分办法</w:t>
      </w:r>
      <w:bookmarkStart w:id="0" w:name="_GoBack"/>
      <w:bookmarkEnd w:id="0"/>
    </w:p>
    <w:p>
      <w:pPr>
        <w:widowControl/>
        <w:ind w:firstLine="560" w:firstLineChars="200"/>
        <w:jc w:val="left"/>
        <w:rPr>
          <w:rFonts w:ascii="仿宋" w:hAnsi="仿宋" w:eastAsia="仿宋"/>
          <w:sz w:val="28"/>
          <w:szCs w:val="28"/>
        </w:rPr>
      </w:pPr>
      <w:r>
        <w:rPr>
          <w:rFonts w:hint="eastAsia" w:ascii="仿宋" w:hAnsi="仿宋" w:eastAsia="仿宋"/>
          <w:sz w:val="28"/>
          <w:szCs w:val="28"/>
        </w:rPr>
        <w:t>本项目采用“综合评分法”评标，总分为100分。</w:t>
      </w:r>
    </w:p>
    <w:tbl>
      <w:tblPr>
        <w:tblStyle w:val="10"/>
        <w:tblpPr w:leftFromText="180" w:rightFromText="180" w:vertAnchor="text" w:horzAnchor="page" w:tblpXSpec="center" w:tblpY="295"/>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667"/>
        <w:gridCol w:w="589"/>
        <w:gridCol w:w="567"/>
        <w:gridCol w:w="7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序号</w:t>
            </w:r>
          </w:p>
        </w:tc>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分值</w:t>
            </w:r>
          </w:p>
        </w:tc>
        <w:tc>
          <w:tcPr>
            <w:tcW w:w="589" w:type="dxa"/>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评分因素</w:t>
            </w:r>
          </w:p>
        </w:tc>
        <w:tc>
          <w:tcPr>
            <w:tcW w:w="567" w:type="dxa"/>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主/客观分</w:t>
            </w:r>
          </w:p>
        </w:tc>
        <w:tc>
          <w:tcPr>
            <w:tcW w:w="7473" w:type="dxa"/>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1</w:t>
            </w:r>
          </w:p>
        </w:tc>
        <w:tc>
          <w:tcPr>
            <w:tcW w:w="0" w:type="auto"/>
            <w:vAlign w:val="center"/>
          </w:tcPr>
          <w:p>
            <w:pPr>
              <w:widowControl/>
              <w:spacing w:line="360" w:lineRule="exact"/>
              <w:jc w:val="center"/>
              <w:rPr>
                <w:rFonts w:ascii="仿宋" w:hAnsi="仿宋" w:eastAsia="仿宋" w:cs="仿宋"/>
                <w:b/>
                <w:bCs/>
                <w:kern w:val="0"/>
                <w:sz w:val="28"/>
                <w:szCs w:val="28"/>
              </w:rPr>
            </w:pPr>
            <w:r>
              <w:rPr>
                <w:rFonts w:ascii="仿宋" w:hAnsi="仿宋" w:eastAsia="仿宋" w:cs="仿宋"/>
                <w:b/>
                <w:bCs/>
                <w:kern w:val="0"/>
                <w:sz w:val="28"/>
                <w:szCs w:val="28"/>
              </w:rPr>
              <w:t>1</w:t>
            </w:r>
            <w:r>
              <w:rPr>
                <w:rFonts w:hint="eastAsia" w:ascii="仿宋" w:hAnsi="仿宋" w:eastAsia="仿宋" w:cs="仿宋"/>
                <w:b/>
                <w:bCs/>
                <w:kern w:val="0"/>
                <w:sz w:val="28"/>
                <w:szCs w:val="28"/>
              </w:rPr>
              <w:t>0</w:t>
            </w:r>
          </w:p>
        </w:tc>
        <w:tc>
          <w:tcPr>
            <w:tcW w:w="589" w:type="dxa"/>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kern w:val="0"/>
                <w:sz w:val="28"/>
                <w:szCs w:val="28"/>
              </w:rPr>
              <w:t>投标报价</w:t>
            </w:r>
          </w:p>
        </w:tc>
        <w:tc>
          <w:tcPr>
            <w:tcW w:w="567"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客观分</w:t>
            </w:r>
          </w:p>
        </w:tc>
        <w:tc>
          <w:tcPr>
            <w:tcW w:w="7473" w:type="dxa"/>
            <w:vAlign w:val="center"/>
          </w:tcPr>
          <w:p>
            <w:pPr>
              <w:widowControl/>
              <w:spacing w:line="360" w:lineRule="exact"/>
              <w:jc w:val="left"/>
              <w:rPr>
                <w:rFonts w:ascii="仿宋" w:hAnsi="仿宋" w:eastAsia="仿宋" w:cs="仿宋"/>
                <w:b/>
                <w:bCs/>
                <w:kern w:val="0"/>
                <w:sz w:val="28"/>
                <w:szCs w:val="28"/>
              </w:rPr>
            </w:pPr>
            <w:r>
              <w:rPr>
                <w:rFonts w:hint="eastAsia" w:ascii="仿宋" w:hAnsi="仿宋" w:eastAsia="仿宋" w:cs="仿宋"/>
                <w:kern w:val="0"/>
                <w:sz w:val="28"/>
                <w:szCs w:val="28"/>
              </w:rPr>
              <w:t>价格分采用低价优先法计算，即满足比选文件要求且投标报价价格最低的为评标基准价，其价格分为满分。其他投标人的价格分统一按照下列公式计算：投标报价得分=（评标基准价／投标报价）×报价权重（20%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2</w:t>
            </w:r>
          </w:p>
        </w:tc>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10</w:t>
            </w:r>
          </w:p>
        </w:tc>
        <w:tc>
          <w:tcPr>
            <w:tcW w:w="589" w:type="dxa"/>
            <w:vAlign w:val="center"/>
          </w:tcPr>
          <w:p>
            <w:pPr>
              <w:widowControl/>
              <w:spacing w:line="360" w:lineRule="exact"/>
              <w:jc w:val="center"/>
              <w:rPr>
                <w:rFonts w:ascii="仿宋" w:hAnsi="仿宋" w:eastAsia="仿宋" w:cs="仿宋"/>
                <w:kern w:val="0"/>
                <w:sz w:val="28"/>
                <w:szCs w:val="28"/>
              </w:rPr>
            </w:pPr>
            <w:r>
              <w:rPr>
                <w:rFonts w:hint="eastAsia" w:ascii="仿宋" w:hAnsi="仿宋" w:eastAsia="仿宋" w:cs="仿宋"/>
                <w:kern w:val="0"/>
                <w:sz w:val="28"/>
                <w:szCs w:val="28"/>
              </w:rPr>
              <w:t>企业履约能力</w:t>
            </w:r>
          </w:p>
        </w:tc>
        <w:tc>
          <w:tcPr>
            <w:tcW w:w="567" w:type="dxa"/>
            <w:vAlign w:val="center"/>
          </w:tcPr>
          <w:p>
            <w:pPr>
              <w:spacing w:line="360" w:lineRule="exact"/>
              <w:rPr>
                <w:rFonts w:ascii="仿宋" w:hAnsi="仿宋" w:eastAsia="仿宋" w:cs="仿宋"/>
                <w:kern w:val="0"/>
                <w:sz w:val="28"/>
                <w:szCs w:val="28"/>
              </w:rPr>
            </w:pPr>
            <w:r>
              <w:rPr>
                <w:rFonts w:hint="eastAsia" w:ascii="仿宋" w:hAnsi="仿宋" w:eastAsia="仿宋" w:cs="仿宋"/>
                <w:kern w:val="0"/>
                <w:sz w:val="28"/>
                <w:szCs w:val="28"/>
              </w:rPr>
              <w:t>客观分</w:t>
            </w:r>
          </w:p>
        </w:tc>
        <w:tc>
          <w:tcPr>
            <w:tcW w:w="7473"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投标单位具有在有效期内软件企业证书、数据安全能力评价认证证书、信息技术服务管理体系认证证书、信息安全管理体系认证证书、省市级高新技术企业证书、省市级及以上专精特新企业证书，每提供一个得1分，最高5分。</w:t>
            </w:r>
          </w:p>
          <w:p>
            <w:pPr>
              <w:pStyle w:val="20"/>
              <w:spacing w:line="360" w:lineRule="exact"/>
              <w:ind w:firstLine="0" w:firstLineChars="0"/>
              <w:rPr>
                <w:rFonts w:ascii="仿宋" w:hAnsi="仿宋" w:eastAsia="仿宋" w:cs="仿宋"/>
                <w:sz w:val="28"/>
                <w:szCs w:val="28"/>
              </w:rPr>
            </w:pPr>
            <w:r>
              <w:rPr>
                <w:rFonts w:hint="eastAsia" w:ascii="仿宋" w:hAnsi="仿宋" w:eastAsia="仿宋" w:cs="仿宋"/>
                <w:sz w:val="28"/>
                <w:szCs w:val="28"/>
              </w:rPr>
              <w:t>提供租赁产品的软件著作权登记证书得</w:t>
            </w:r>
            <w:r>
              <w:rPr>
                <w:rFonts w:ascii="仿宋" w:hAnsi="仿宋" w:eastAsia="仿宋" w:cs="仿宋"/>
                <w:sz w:val="28"/>
                <w:szCs w:val="28"/>
              </w:rPr>
              <w:t>2</w:t>
            </w:r>
            <w:r>
              <w:rPr>
                <w:rFonts w:hint="eastAsia" w:ascii="仿宋" w:hAnsi="仿宋" w:eastAsia="仿宋" w:cs="仿宋"/>
                <w:sz w:val="28"/>
                <w:szCs w:val="28"/>
              </w:rPr>
              <w:t>分。</w:t>
            </w:r>
          </w:p>
          <w:p>
            <w:pPr>
              <w:pStyle w:val="20"/>
              <w:spacing w:line="360" w:lineRule="exact"/>
              <w:ind w:firstLine="0" w:firstLineChars="0"/>
              <w:rPr>
                <w:rFonts w:ascii="仿宋" w:hAnsi="仿宋" w:eastAsia="仿宋" w:cs="仿宋"/>
                <w:sz w:val="28"/>
                <w:szCs w:val="28"/>
              </w:rPr>
            </w:pPr>
            <w:r>
              <w:rPr>
                <w:rFonts w:hint="eastAsia" w:ascii="仿宋" w:hAnsi="仿宋" w:eastAsia="仿宋" w:cs="仿宋"/>
                <w:sz w:val="28"/>
                <w:szCs w:val="28"/>
              </w:rPr>
              <w:t>提供</w:t>
            </w:r>
            <w:r>
              <w:rPr>
                <w:rFonts w:ascii="仿宋" w:hAnsi="仿宋" w:eastAsia="仿宋" w:cs="仿宋"/>
                <w:sz w:val="28"/>
                <w:szCs w:val="28"/>
              </w:rPr>
              <w:t>租赁产品</w:t>
            </w:r>
            <w:r>
              <w:rPr>
                <w:rFonts w:hint="eastAsia" w:ascii="仿宋" w:hAnsi="仿宋" w:eastAsia="仿宋" w:cs="仿宋"/>
                <w:sz w:val="28"/>
                <w:szCs w:val="28"/>
              </w:rPr>
              <w:t>二级及以上等保测评证书得</w:t>
            </w:r>
            <w:r>
              <w:rPr>
                <w:rFonts w:ascii="仿宋" w:hAnsi="仿宋" w:eastAsia="仿宋" w:cs="仿宋"/>
                <w:sz w:val="28"/>
                <w:szCs w:val="28"/>
              </w:rPr>
              <w:t>3</w:t>
            </w:r>
            <w:r>
              <w:rPr>
                <w:rFonts w:hint="eastAsia" w:ascii="仿宋" w:hAnsi="仿宋" w:eastAsia="仿宋" w:cs="仿宋"/>
                <w:sz w:val="28"/>
                <w:szCs w:val="28"/>
              </w:rPr>
              <w:t>分。</w:t>
            </w:r>
          </w:p>
          <w:p>
            <w:pPr>
              <w:spacing w:line="360" w:lineRule="exact"/>
              <w:rPr>
                <w:rFonts w:ascii="仿宋" w:hAnsi="仿宋" w:eastAsia="仿宋"/>
                <w:sz w:val="28"/>
                <w:szCs w:val="28"/>
              </w:rPr>
            </w:pPr>
            <w:r>
              <w:rPr>
                <w:rFonts w:hint="eastAsia" w:ascii="仿宋" w:hAnsi="仿宋" w:eastAsia="仿宋" w:cs="仿宋"/>
                <w:kern w:val="0"/>
                <w:sz w:val="28"/>
                <w:szCs w:val="28"/>
              </w:rPr>
              <w:t>（注：提供复印件加盖投标单位公章，原件备查）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3</w:t>
            </w:r>
          </w:p>
        </w:tc>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10</w:t>
            </w:r>
          </w:p>
        </w:tc>
        <w:tc>
          <w:tcPr>
            <w:tcW w:w="589" w:type="dxa"/>
            <w:vAlign w:val="center"/>
          </w:tcPr>
          <w:p>
            <w:pPr>
              <w:widowControl/>
              <w:spacing w:line="360" w:lineRule="exact"/>
              <w:jc w:val="center"/>
              <w:rPr>
                <w:rFonts w:ascii="仿宋" w:hAnsi="仿宋" w:eastAsia="仿宋" w:cs="仿宋"/>
                <w:kern w:val="0"/>
                <w:sz w:val="28"/>
                <w:szCs w:val="28"/>
              </w:rPr>
            </w:pPr>
            <w:r>
              <w:rPr>
                <w:rFonts w:hint="eastAsia" w:ascii="仿宋" w:hAnsi="仿宋" w:eastAsia="仿宋" w:cs="仿宋"/>
                <w:kern w:val="0"/>
                <w:sz w:val="28"/>
                <w:szCs w:val="28"/>
              </w:rPr>
              <w:t>业绩水平</w:t>
            </w:r>
          </w:p>
        </w:tc>
        <w:tc>
          <w:tcPr>
            <w:tcW w:w="567"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客观分</w:t>
            </w:r>
          </w:p>
        </w:tc>
        <w:tc>
          <w:tcPr>
            <w:tcW w:w="7473"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近</w:t>
            </w:r>
            <w:r>
              <w:rPr>
                <w:rFonts w:ascii="仿宋" w:hAnsi="仿宋" w:eastAsia="仿宋" w:cs="仿宋"/>
                <w:kern w:val="0"/>
                <w:sz w:val="28"/>
                <w:szCs w:val="28"/>
              </w:rPr>
              <w:t>3</w:t>
            </w:r>
            <w:r>
              <w:rPr>
                <w:rFonts w:hint="eastAsia" w:ascii="仿宋" w:hAnsi="仿宋" w:eastAsia="仿宋" w:cs="仿宋"/>
                <w:kern w:val="0"/>
                <w:sz w:val="28"/>
                <w:szCs w:val="28"/>
              </w:rPr>
              <w:t>年（2021年至今</w:t>
            </w:r>
            <w:r>
              <w:rPr>
                <w:rFonts w:ascii="仿宋" w:hAnsi="仿宋" w:eastAsia="仿宋" w:cs="仿宋"/>
                <w:kern w:val="0"/>
                <w:sz w:val="28"/>
                <w:szCs w:val="28"/>
              </w:rPr>
              <w:t>）</w:t>
            </w:r>
            <w:r>
              <w:rPr>
                <w:rFonts w:hint="eastAsia" w:ascii="仿宋" w:hAnsi="仿宋" w:eastAsia="仿宋" w:cs="仿宋"/>
                <w:kern w:val="0"/>
                <w:sz w:val="28"/>
                <w:szCs w:val="28"/>
              </w:rPr>
              <w:t>具有与本项目</w:t>
            </w:r>
            <w:r>
              <w:rPr>
                <w:rFonts w:ascii="仿宋" w:hAnsi="仿宋" w:eastAsia="仿宋" w:cs="仿宋"/>
                <w:kern w:val="0"/>
                <w:sz w:val="28"/>
                <w:szCs w:val="28"/>
              </w:rPr>
              <w:t>相关的</w:t>
            </w:r>
            <w:r>
              <w:rPr>
                <w:rFonts w:hint="eastAsia" w:ascii="仿宋" w:hAnsi="仿宋" w:eastAsia="仿宋" w:cs="仿宋"/>
                <w:kern w:val="0"/>
                <w:sz w:val="28"/>
                <w:szCs w:val="28"/>
              </w:rPr>
              <w:t>软件开发服务或租赁服务案例，每有</w:t>
            </w:r>
            <w:r>
              <w:rPr>
                <w:rFonts w:ascii="仿宋" w:hAnsi="仿宋" w:eastAsia="仿宋" w:cs="仿宋"/>
                <w:kern w:val="0"/>
                <w:sz w:val="28"/>
                <w:szCs w:val="28"/>
              </w:rPr>
              <w:t>一个案例加2分，加至</w:t>
            </w:r>
            <w:r>
              <w:rPr>
                <w:rFonts w:hint="eastAsia" w:ascii="仿宋" w:hAnsi="仿宋" w:eastAsia="仿宋" w:cs="仿宋"/>
                <w:kern w:val="0"/>
                <w:sz w:val="28"/>
                <w:szCs w:val="28"/>
              </w:rPr>
              <w:t>10</w:t>
            </w:r>
            <w:r>
              <w:rPr>
                <w:rFonts w:ascii="仿宋" w:hAnsi="仿宋" w:eastAsia="仿宋" w:cs="仿宋"/>
                <w:kern w:val="0"/>
                <w:sz w:val="28"/>
                <w:szCs w:val="28"/>
              </w:rPr>
              <w:t>分止。</w:t>
            </w:r>
          </w:p>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需提供案例合同证明文件（复印件加盖投标人公章），案例合同中需涉及双方签约盖章页、项目名称、服务内容页等关键要素页，否则不予认可。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4</w:t>
            </w:r>
          </w:p>
        </w:tc>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30</w:t>
            </w:r>
          </w:p>
        </w:tc>
        <w:tc>
          <w:tcPr>
            <w:tcW w:w="589" w:type="dxa"/>
            <w:vAlign w:val="center"/>
          </w:tcPr>
          <w:p>
            <w:pPr>
              <w:widowControl/>
              <w:spacing w:line="360" w:lineRule="exact"/>
              <w:jc w:val="center"/>
              <w:rPr>
                <w:rFonts w:ascii="仿宋" w:hAnsi="仿宋" w:eastAsia="仿宋" w:cs="仿宋"/>
                <w:kern w:val="0"/>
                <w:sz w:val="28"/>
                <w:szCs w:val="28"/>
              </w:rPr>
            </w:pPr>
            <w:r>
              <w:rPr>
                <w:rFonts w:hint="eastAsia" w:ascii="仿宋" w:hAnsi="仿宋" w:eastAsia="仿宋" w:cs="仿宋"/>
                <w:kern w:val="0"/>
                <w:sz w:val="28"/>
                <w:szCs w:val="28"/>
              </w:rPr>
              <w:t>产品设计</w:t>
            </w:r>
          </w:p>
        </w:tc>
        <w:tc>
          <w:tcPr>
            <w:tcW w:w="567"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主观分</w:t>
            </w:r>
          </w:p>
        </w:tc>
        <w:tc>
          <w:tcPr>
            <w:tcW w:w="7473"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产品总体设计方案，包含：产品设计思路、产品功能（提供</w:t>
            </w:r>
            <w:r>
              <w:rPr>
                <w:rFonts w:ascii="仿宋" w:hAnsi="仿宋" w:eastAsia="仿宋" w:cs="仿宋"/>
                <w:kern w:val="0"/>
                <w:sz w:val="28"/>
                <w:szCs w:val="28"/>
              </w:rPr>
              <w:t>截图证明</w:t>
            </w:r>
            <w:r>
              <w:rPr>
                <w:rFonts w:hint="eastAsia" w:ascii="仿宋" w:hAnsi="仿宋" w:eastAsia="仿宋" w:cs="仿宋"/>
                <w:kern w:val="0"/>
                <w:sz w:val="28"/>
                <w:szCs w:val="28"/>
              </w:rPr>
              <w:t>材料，其中</w:t>
            </w:r>
            <w:r>
              <w:rPr>
                <w:rFonts w:hint="eastAsia" w:ascii="仿宋" w:hAnsi="仿宋" w:eastAsia="仿宋"/>
                <w:sz w:val="28"/>
                <w:szCs w:val="28"/>
              </w:rPr>
              <w:sym w:font="Wingdings 3" w:char="F070"/>
            </w:r>
            <w:r>
              <w:rPr>
                <w:rFonts w:hint="eastAsia" w:ascii="仿宋" w:hAnsi="仿宋" w:eastAsia="仿宋"/>
                <w:sz w:val="28"/>
                <w:szCs w:val="28"/>
              </w:rPr>
              <w:t>标记</w:t>
            </w:r>
            <w:r>
              <w:rPr>
                <w:rFonts w:ascii="仿宋" w:hAnsi="仿宋" w:eastAsia="仿宋"/>
                <w:sz w:val="28"/>
                <w:szCs w:val="28"/>
              </w:rPr>
              <w:t>为</w:t>
            </w:r>
            <w:r>
              <w:rPr>
                <w:rFonts w:hint="eastAsia" w:ascii="仿宋" w:hAnsi="仿宋" w:eastAsia="仿宋"/>
                <w:sz w:val="28"/>
                <w:szCs w:val="28"/>
              </w:rPr>
              <w:t>必须</w:t>
            </w:r>
            <w:r>
              <w:rPr>
                <w:rFonts w:ascii="仿宋" w:hAnsi="仿宋" w:eastAsia="仿宋"/>
                <w:sz w:val="28"/>
                <w:szCs w:val="28"/>
              </w:rPr>
              <w:t>满足项</w:t>
            </w:r>
            <w:r>
              <w:rPr>
                <w:rFonts w:ascii="仿宋" w:hAnsi="仿宋" w:eastAsia="仿宋" w:cs="仿宋"/>
                <w:kern w:val="0"/>
                <w:sz w:val="28"/>
                <w:szCs w:val="28"/>
              </w:rPr>
              <w:t>）</w:t>
            </w:r>
            <w:r>
              <w:rPr>
                <w:rFonts w:hint="eastAsia" w:ascii="仿宋" w:hAnsi="仿宋" w:eastAsia="仿宋" w:cs="仿宋"/>
                <w:kern w:val="0"/>
                <w:sz w:val="28"/>
                <w:szCs w:val="28"/>
              </w:rPr>
              <w:t>、架构设计、数据流程设计、本地化调试部署、系统间关系、系统安全设计、兼容性设计等内容，满足项目总体要求等进行综合评审：</w:t>
            </w:r>
          </w:p>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1、思路清晰，全面、合理，方案有针对性，符合项目要求的得20—30分；</w:t>
            </w:r>
          </w:p>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2、思路较清晰，方案较合理的得10—20分；</w:t>
            </w:r>
          </w:p>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3、方案基本可行的得0-10分；</w:t>
            </w:r>
          </w:p>
          <w:p>
            <w:pPr>
              <w:widowControl/>
              <w:spacing w:line="360" w:lineRule="exact"/>
              <w:jc w:val="left"/>
              <w:rPr>
                <w:rFonts w:ascii="仿宋" w:hAnsi="仿宋" w:eastAsia="仿宋"/>
                <w:sz w:val="28"/>
                <w:szCs w:val="28"/>
              </w:rPr>
            </w:pPr>
            <w:r>
              <w:rPr>
                <w:rFonts w:hint="eastAsia" w:ascii="仿宋" w:hAnsi="仿宋" w:eastAsia="仿宋" w:cs="仿宋"/>
                <w:kern w:val="0"/>
                <w:sz w:val="28"/>
                <w:szCs w:val="28"/>
              </w:rPr>
              <w:t>4、未提供或者</w:t>
            </w:r>
            <w:r>
              <w:rPr>
                <w:rFonts w:ascii="仿宋" w:hAnsi="仿宋" w:eastAsia="仿宋" w:cs="仿宋"/>
                <w:kern w:val="0"/>
                <w:sz w:val="28"/>
                <w:szCs w:val="28"/>
              </w:rPr>
              <w:t>未</w:t>
            </w:r>
            <w:r>
              <w:rPr>
                <w:rFonts w:hint="eastAsia" w:ascii="仿宋" w:hAnsi="仿宋" w:eastAsia="仿宋" w:cs="仿宋"/>
                <w:kern w:val="0"/>
                <w:sz w:val="28"/>
                <w:szCs w:val="28"/>
              </w:rPr>
              <w:t>满足</w:t>
            </w:r>
            <w:r>
              <w:rPr>
                <w:rFonts w:ascii="仿宋" w:hAnsi="仿宋" w:eastAsia="仿宋" w:cs="仿宋"/>
                <w:kern w:val="0"/>
                <w:sz w:val="28"/>
                <w:szCs w:val="28"/>
              </w:rPr>
              <w:t>所有</w:t>
            </w:r>
            <w:r>
              <w:rPr>
                <w:rFonts w:hint="eastAsia" w:ascii="仿宋" w:hAnsi="仿宋" w:eastAsia="仿宋"/>
                <w:sz w:val="28"/>
                <w:szCs w:val="28"/>
              </w:rPr>
              <w:sym w:font="Wingdings 3" w:char="F070"/>
            </w:r>
            <w:r>
              <w:rPr>
                <w:rFonts w:hint="eastAsia" w:ascii="仿宋" w:hAnsi="仿宋" w:eastAsia="仿宋"/>
                <w:sz w:val="28"/>
                <w:szCs w:val="28"/>
              </w:rPr>
              <w:t>标记</w:t>
            </w:r>
            <w:r>
              <w:rPr>
                <w:rFonts w:ascii="仿宋" w:hAnsi="仿宋" w:eastAsia="仿宋"/>
                <w:sz w:val="28"/>
                <w:szCs w:val="28"/>
              </w:rPr>
              <w:t>项</w:t>
            </w:r>
            <w:r>
              <w:rPr>
                <w:rFonts w:hint="eastAsia" w:ascii="仿宋" w:hAnsi="仿宋" w:eastAsia="仿宋" w:cs="仿宋"/>
                <w:kern w:val="0"/>
                <w:sz w:val="28"/>
                <w:szCs w:val="28"/>
              </w:rPr>
              <w:t>或方案不可行的得0分。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5</w:t>
            </w:r>
          </w:p>
        </w:tc>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1</w:t>
            </w:r>
            <w:r>
              <w:rPr>
                <w:rFonts w:ascii="仿宋" w:hAnsi="仿宋" w:eastAsia="仿宋" w:cs="仿宋"/>
                <w:b/>
                <w:bCs/>
                <w:kern w:val="0"/>
                <w:sz w:val="28"/>
                <w:szCs w:val="28"/>
              </w:rPr>
              <w:t>5</w:t>
            </w:r>
          </w:p>
        </w:tc>
        <w:tc>
          <w:tcPr>
            <w:tcW w:w="589" w:type="dxa"/>
            <w:vAlign w:val="center"/>
          </w:tcPr>
          <w:p>
            <w:pPr>
              <w:widowControl/>
              <w:spacing w:line="360" w:lineRule="exact"/>
              <w:jc w:val="center"/>
              <w:rPr>
                <w:rFonts w:ascii="仿宋" w:hAnsi="仿宋" w:eastAsia="仿宋" w:cs="仿宋"/>
                <w:kern w:val="0"/>
                <w:sz w:val="28"/>
                <w:szCs w:val="28"/>
              </w:rPr>
            </w:pPr>
            <w:r>
              <w:rPr>
                <w:rFonts w:hint="eastAsia" w:ascii="仿宋" w:hAnsi="仿宋" w:eastAsia="仿宋" w:cs="仿宋"/>
                <w:kern w:val="0"/>
                <w:sz w:val="28"/>
                <w:szCs w:val="28"/>
              </w:rPr>
              <w:t>实施方案</w:t>
            </w:r>
          </w:p>
        </w:tc>
        <w:tc>
          <w:tcPr>
            <w:tcW w:w="567"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主观分</w:t>
            </w:r>
          </w:p>
        </w:tc>
        <w:tc>
          <w:tcPr>
            <w:tcW w:w="7473"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1、产品安装部署实施方案，实施方案内容全面、完整、有针对性得4—5分；实施方案基本合理得2—3分；实施方案不合理得0-1分；</w:t>
            </w:r>
          </w:p>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2、项目实施的详细进度计划与项目管理措施，进度计划及各项管理措施具有较强的针对性和可操作性得4—5分；进度计划及各项管理措施针对性和可操作性一般得2—3分；进度计划及各项管理措施针对性和可操作性欠缺得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widowControl/>
              <w:spacing w:line="360" w:lineRule="exact"/>
              <w:jc w:val="center"/>
              <w:rPr>
                <w:rFonts w:ascii="仿宋" w:hAnsi="仿宋" w:eastAsia="仿宋" w:cs="仿宋"/>
                <w:b/>
                <w:bCs/>
                <w:kern w:val="0"/>
                <w:sz w:val="28"/>
                <w:szCs w:val="28"/>
              </w:rPr>
            </w:pPr>
            <w:r>
              <w:rPr>
                <w:rFonts w:ascii="仿宋" w:hAnsi="仿宋" w:eastAsia="仿宋" w:cs="仿宋"/>
                <w:b/>
                <w:bCs/>
                <w:kern w:val="0"/>
                <w:sz w:val="28"/>
                <w:szCs w:val="28"/>
              </w:rPr>
              <w:t>6</w:t>
            </w:r>
          </w:p>
        </w:tc>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1</w:t>
            </w:r>
            <w:r>
              <w:rPr>
                <w:rFonts w:ascii="仿宋" w:hAnsi="仿宋" w:eastAsia="仿宋" w:cs="仿宋"/>
                <w:b/>
                <w:bCs/>
                <w:kern w:val="0"/>
                <w:sz w:val="28"/>
                <w:szCs w:val="28"/>
              </w:rPr>
              <w:t>0</w:t>
            </w:r>
          </w:p>
        </w:tc>
        <w:tc>
          <w:tcPr>
            <w:tcW w:w="589" w:type="dxa"/>
            <w:vAlign w:val="center"/>
          </w:tcPr>
          <w:p>
            <w:pPr>
              <w:widowControl/>
              <w:spacing w:line="360" w:lineRule="exact"/>
              <w:jc w:val="center"/>
              <w:rPr>
                <w:rFonts w:ascii="仿宋" w:hAnsi="仿宋" w:eastAsia="仿宋" w:cs="仿宋"/>
                <w:kern w:val="0"/>
                <w:sz w:val="28"/>
                <w:szCs w:val="28"/>
              </w:rPr>
            </w:pPr>
            <w:r>
              <w:rPr>
                <w:rFonts w:hint="eastAsia" w:ascii="仿宋" w:hAnsi="仿宋" w:eastAsia="仿宋" w:cs="仿宋"/>
                <w:kern w:val="0"/>
                <w:sz w:val="28"/>
                <w:szCs w:val="28"/>
              </w:rPr>
              <w:t>项目</w:t>
            </w:r>
            <w:r>
              <w:rPr>
                <w:rFonts w:ascii="仿宋" w:hAnsi="仿宋" w:eastAsia="仿宋" w:cs="仿宋"/>
                <w:kern w:val="0"/>
                <w:sz w:val="28"/>
                <w:szCs w:val="28"/>
              </w:rPr>
              <w:t>团队</w:t>
            </w:r>
          </w:p>
        </w:tc>
        <w:tc>
          <w:tcPr>
            <w:tcW w:w="567"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客观分</w:t>
            </w:r>
          </w:p>
        </w:tc>
        <w:tc>
          <w:tcPr>
            <w:tcW w:w="7473"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投标</w:t>
            </w:r>
            <w:r>
              <w:rPr>
                <w:rFonts w:ascii="仿宋" w:hAnsi="仿宋" w:eastAsia="仿宋" w:cs="仿宋"/>
                <w:kern w:val="0"/>
                <w:sz w:val="28"/>
                <w:szCs w:val="28"/>
              </w:rPr>
              <w:t>单位</w:t>
            </w:r>
            <w:r>
              <w:rPr>
                <w:rFonts w:hint="eastAsia" w:ascii="仿宋" w:hAnsi="仿宋" w:eastAsia="仿宋" w:cs="仿宋"/>
                <w:kern w:val="0"/>
                <w:sz w:val="28"/>
                <w:szCs w:val="28"/>
              </w:rPr>
              <w:t>的每一名服务工程师都要求具有权威机构颁发的项目经理证书或数据治理工程师或信息安全工程师或BI开发工程师或数据安全工程师等相关证书中的一种或多种。每名工程师至少提供一份上述证书，得1分，满分10分。</w:t>
            </w:r>
          </w:p>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（注：所有人员证书必须提供证书复印件加盖公章。人员配备中涉及的所有人员须提供近6个月的社保缴纳证明并加盖公章）。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7</w:t>
            </w:r>
          </w:p>
        </w:tc>
        <w:tc>
          <w:tcPr>
            <w:tcW w:w="0" w:type="auto"/>
            <w:vAlign w:val="center"/>
          </w:tcPr>
          <w:p>
            <w:pPr>
              <w:widowControl/>
              <w:spacing w:line="3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1</w:t>
            </w:r>
            <w:r>
              <w:rPr>
                <w:rFonts w:ascii="仿宋" w:hAnsi="仿宋" w:eastAsia="仿宋" w:cs="仿宋"/>
                <w:b/>
                <w:bCs/>
                <w:kern w:val="0"/>
                <w:sz w:val="28"/>
                <w:szCs w:val="28"/>
              </w:rPr>
              <w:t>5</w:t>
            </w:r>
          </w:p>
        </w:tc>
        <w:tc>
          <w:tcPr>
            <w:tcW w:w="589" w:type="dxa"/>
            <w:vAlign w:val="center"/>
          </w:tcPr>
          <w:p>
            <w:pPr>
              <w:widowControl/>
              <w:spacing w:line="360" w:lineRule="exact"/>
              <w:jc w:val="center"/>
              <w:rPr>
                <w:rFonts w:ascii="仿宋" w:hAnsi="仿宋" w:eastAsia="仿宋" w:cs="仿宋"/>
                <w:kern w:val="0"/>
                <w:sz w:val="28"/>
                <w:szCs w:val="28"/>
              </w:rPr>
            </w:pPr>
            <w:r>
              <w:rPr>
                <w:rFonts w:hint="eastAsia" w:ascii="仿宋" w:hAnsi="仿宋" w:eastAsia="仿宋" w:cs="仿宋"/>
                <w:kern w:val="0"/>
                <w:sz w:val="28"/>
                <w:szCs w:val="28"/>
              </w:rPr>
              <w:t>售后运维方案</w:t>
            </w:r>
          </w:p>
        </w:tc>
        <w:tc>
          <w:tcPr>
            <w:tcW w:w="567"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主观分</w:t>
            </w:r>
          </w:p>
        </w:tc>
        <w:tc>
          <w:tcPr>
            <w:tcW w:w="7473" w:type="dxa"/>
            <w:vAlign w:val="center"/>
          </w:tcPr>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租赁期间的运维服务方案：根据各投标单位针对本项目提供的技术及服务支撑，服务力量、服务响应时间、故障解决能力，应急处理能力，产品功能的调整、产品的升级更新等进行评审：</w:t>
            </w:r>
          </w:p>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1、方案完整全面、保证措施健全、有针对性，得7—10分；</w:t>
            </w:r>
          </w:p>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2、方案较全面、保证措施较健全、具有一定针对性，得4—6分；</w:t>
            </w:r>
          </w:p>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3、方案基本全面、保证措施基本健全，针对性一般，得1—3分。</w:t>
            </w:r>
          </w:p>
          <w:p>
            <w:pPr>
              <w:widowControl/>
              <w:spacing w:line="360" w:lineRule="exact"/>
              <w:jc w:val="left"/>
              <w:rPr>
                <w:rFonts w:ascii="仿宋" w:hAnsi="仿宋" w:eastAsia="仿宋" w:cs="仿宋"/>
                <w:kern w:val="0"/>
                <w:sz w:val="28"/>
                <w:szCs w:val="28"/>
              </w:rPr>
            </w:pPr>
            <w:r>
              <w:rPr>
                <w:rFonts w:hint="eastAsia" w:ascii="仿宋" w:hAnsi="仿宋" w:eastAsia="仿宋" w:cs="仿宋"/>
                <w:kern w:val="0"/>
                <w:sz w:val="28"/>
                <w:szCs w:val="28"/>
              </w:rPr>
              <w:t>4、未提供或方案不合理的得0分。</w:t>
            </w:r>
          </w:p>
        </w:tc>
      </w:tr>
    </w:tbl>
    <w:p>
      <w:pPr>
        <w:widowControl/>
        <w:jc w:val="left"/>
        <w:rPr>
          <w:rFonts w:ascii="仿宋" w:hAnsi="仿宋" w:eastAsia="仿宋"/>
          <w:sz w:val="28"/>
          <w:szCs w:val="28"/>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roman"/>
    <w:pitch w:val="default"/>
    <w:sig w:usb0="A00002BF" w:usb1="38CF7CFA" w:usb2="00000016" w:usb3="00000000" w:csb0="0004000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Wingdings 3">
    <w:altName w:val="Symbol"/>
    <w:panose1 w:val="05040102010807070707"/>
    <w:charset w:val="02"/>
    <w:family w:val="roman"/>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sdt>
      <w:sdtPr>
        <w:id w:val="-1080447068"/>
        <w:docPartObj>
          <w:docPartGallery w:val="autotext"/>
        </w:docPartObj>
      </w:sdtPr>
      <w:sdtContent>
        <w:sdt>
          <w:sdtPr>
            <w:id w:val="1728636285"/>
            <w:docPartObj>
              <w:docPartGallery w:val="autotext"/>
            </w:docPartObj>
          </w:sdtPr>
          <w:sdtContent>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12</w:t>
            </w:r>
            <w:r>
              <w:rPr>
                <w:b/>
                <w:bCs/>
                <w:sz w:val="24"/>
                <w:szCs w:val="24"/>
              </w:rPr>
              <w:fldChar w:fldCharType="end"/>
            </w:r>
          </w:sdtContent>
        </w:sdt>
      </w:sdtContent>
    </w:sdt>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5C12FD"/>
    <w:multiLevelType w:val="multilevel"/>
    <w:tmpl w:val="495C12FD"/>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mOGQwYjhiNmI4NDMzYTcyZjE3NmU1NDRkMTcyMTMifQ=="/>
  </w:docVars>
  <w:rsids>
    <w:rsidRoot w:val="00B627D0"/>
    <w:rsid w:val="000006C9"/>
    <w:rsid w:val="0001622B"/>
    <w:rsid w:val="00095E1B"/>
    <w:rsid w:val="000A3EC2"/>
    <w:rsid w:val="000C41C9"/>
    <w:rsid w:val="000D1B77"/>
    <w:rsid w:val="00142006"/>
    <w:rsid w:val="00151FA5"/>
    <w:rsid w:val="0015598D"/>
    <w:rsid w:val="00186FF7"/>
    <w:rsid w:val="001A1C23"/>
    <w:rsid w:val="001B39BB"/>
    <w:rsid w:val="001D30E3"/>
    <w:rsid w:val="002114A5"/>
    <w:rsid w:val="00227F21"/>
    <w:rsid w:val="00245115"/>
    <w:rsid w:val="0026055E"/>
    <w:rsid w:val="00271076"/>
    <w:rsid w:val="002A04FF"/>
    <w:rsid w:val="002C4A69"/>
    <w:rsid w:val="003008C3"/>
    <w:rsid w:val="0030691D"/>
    <w:rsid w:val="00341D34"/>
    <w:rsid w:val="00352634"/>
    <w:rsid w:val="00374279"/>
    <w:rsid w:val="00383016"/>
    <w:rsid w:val="00385223"/>
    <w:rsid w:val="00387A89"/>
    <w:rsid w:val="0039159E"/>
    <w:rsid w:val="003A452C"/>
    <w:rsid w:val="003B086B"/>
    <w:rsid w:val="003D1BDD"/>
    <w:rsid w:val="004061E3"/>
    <w:rsid w:val="004368FD"/>
    <w:rsid w:val="00462C24"/>
    <w:rsid w:val="004F6A51"/>
    <w:rsid w:val="00516D05"/>
    <w:rsid w:val="0052412E"/>
    <w:rsid w:val="0053506D"/>
    <w:rsid w:val="00566B90"/>
    <w:rsid w:val="00592BEC"/>
    <w:rsid w:val="005C4DAA"/>
    <w:rsid w:val="00602084"/>
    <w:rsid w:val="00605078"/>
    <w:rsid w:val="006C214E"/>
    <w:rsid w:val="006D39E8"/>
    <w:rsid w:val="00714F2F"/>
    <w:rsid w:val="007419F0"/>
    <w:rsid w:val="0074631E"/>
    <w:rsid w:val="00764B17"/>
    <w:rsid w:val="007A1FDB"/>
    <w:rsid w:val="007B02E7"/>
    <w:rsid w:val="007B74FF"/>
    <w:rsid w:val="007C1354"/>
    <w:rsid w:val="007D6144"/>
    <w:rsid w:val="0083258E"/>
    <w:rsid w:val="00843631"/>
    <w:rsid w:val="0086359E"/>
    <w:rsid w:val="008E7037"/>
    <w:rsid w:val="00917B5B"/>
    <w:rsid w:val="00921835"/>
    <w:rsid w:val="0092573D"/>
    <w:rsid w:val="00941A0C"/>
    <w:rsid w:val="009A49AA"/>
    <w:rsid w:val="009A7E95"/>
    <w:rsid w:val="009B55E9"/>
    <w:rsid w:val="009D3699"/>
    <w:rsid w:val="009F4B9A"/>
    <w:rsid w:val="00A05ED3"/>
    <w:rsid w:val="00A07791"/>
    <w:rsid w:val="00A227E7"/>
    <w:rsid w:val="00A43AF6"/>
    <w:rsid w:val="00A85B66"/>
    <w:rsid w:val="00AD2DEF"/>
    <w:rsid w:val="00B0654E"/>
    <w:rsid w:val="00B23C6E"/>
    <w:rsid w:val="00B51271"/>
    <w:rsid w:val="00B627D0"/>
    <w:rsid w:val="00B65342"/>
    <w:rsid w:val="00B76228"/>
    <w:rsid w:val="00BB1300"/>
    <w:rsid w:val="00BB16C0"/>
    <w:rsid w:val="00BB43B9"/>
    <w:rsid w:val="00BC354A"/>
    <w:rsid w:val="00BE674F"/>
    <w:rsid w:val="00BE711B"/>
    <w:rsid w:val="00C14682"/>
    <w:rsid w:val="00C14C58"/>
    <w:rsid w:val="00C34EA7"/>
    <w:rsid w:val="00C42886"/>
    <w:rsid w:val="00C62FF2"/>
    <w:rsid w:val="00C63FBD"/>
    <w:rsid w:val="00C65CB8"/>
    <w:rsid w:val="00CB6F9E"/>
    <w:rsid w:val="00CD6FD9"/>
    <w:rsid w:val="00D070DB"/>
    <w:rsid w:val="00D07862"/>
    <w:rsid w:val="00D07B61"/>
    <w:rsid w:val="00D14ACF"/>
    <w:rsid w:val="00D57DEC"/>
    <w:rsid w:val="00DA1790"/>
    <w:rsid w:val="00DB602C"/>
    <w:rsid w:val="00DC3F97"/>
    <w:rsid w:val="00DC4B02"/>
    <w:rsid w:val="00DC6714"/>
    <w:rsid w:val="00DD74B4"/>
    <w:rsid w:val="00DF42A4"/>
    <w:rsid w:val="00E30F4C"/>
    <w:rsid w:val="00E323A1"/>
    <w:rsid w:val="00E42777"/>
    <w:rsid w:val="00E75386"/>
    <w:rsid w:val="00E953C6"/>
    <w:rsid w:val="00EE41F2"/>
    <w:rsid w:val="00EE5848"/>
    <w:rsid w:val="00EF3A70"/>
    <w:rsid w:val="00F008B3"/>
    <w:rsid w:val="00F21536"/>
    <w:rsid w:val="00F27820"/>
    <w:rsid w:val="00F5238B"/>
    <w:rsid w:val="00F645B4"/>
    <w:rsid w:val="00F77430"/>
    <w:rsid w:val="00F84105"/>
    <w:rsid w:val="00FE3FE1"/>
    <w:rsid w:val="0D96631E"/>
    <w:rsid w:val="0EC06134"/>
    <w:rsid w:val="11E1283E"/>
    <w:rsid w:val="1CBB35E6"/>
    <w:rsid w:val="36003137"/>
    <w:rsid w:val="3C221C81"/>
    <w:rsid w:val="41962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2"/>
    <w:qFormat/>
    <w:uiPriority w:val="0"/>
    <w:pPr>
      <w:keepNext/>
      <w:keepLines/>
      <w:spacing w:before="340" w:after="330" w:line="578" w:lineRule="auto"/>
      <w:outlineLvl w:val="0"/>
    </w:pPr>
    <w:rPr>
      <w:b/>
      <w:bCs/>
      <w:kern w:val="44"/>
      <w:sz w:val="44"/>
      <w:szCs w:val="44"/>
    </w:rPr>
  </w:style>
  <w:style w:type="paragraph" w:styleId="4">
    <w:name w:val="heading 3"/>
    <w:basedOn w:val="1"/>
    <w:next w:val="1"/>
    <w:link w:val="22"/>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3"/>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toc 1"/>
    <w:basedOn w:val="1"/>
    <w:next w:val="1"/>
    <w:unhideWhenUsed/>
    <w:qFormat/>
    <w:uiPriority w:val="39"/>
  </w:style>
  <w:style w:type="paragraph" w:styleId="6">
    <w:name w:val="Balloon Text"/>
    <w:basedOn w:val="1"/>
    <w:link w:val="25"/>
    <w:semiHidden/>
    <w:unhideWhenUsed/>
    <w:qFormat/>
    <w:uiPriority w:val="99"/>
    <w:rPr>
      <w:sz w:val="18"/>
      <w:szCs w:val="18"/>
    </w:rPr>
  </w:style>
  <w:style w:type="paragraph" w:styleId="7">
    <w:name w:val="footer"/>
    <w:basedOn w:val="1"/>
    <w:link w:val="24"/>
    <w:unhideWhenUsed/>
    <w:qFormat/>
    <w:uiPriority w:val="99"/>
    <w:pPr>
      <w:tabs>
        <w:tab w:val="center" w:pos="4153"/>
        <w:tab w:val="right" w:pos="8306"/>
      </w:tabs>
      <w:snapToGrid w:val="0"/>
      <w:jc w:val="left"/>
    </w:pPr>
    <w:rPr>
      <w:sz w:val="18"/>
    </w:rPr>
  </w:style>
  <w:style w:type="paragraph" w:styleId="8">
    <w:name w:val="header"/>
    <w:basedOn w:val="1"/>
    <w:link w:val="26"/>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标题 1 Char"/>
    <w:basedOn w:val="11"/>
    <w:link w:val="3"/>
    <w:qFormat/>
    <w:uiPriority w:val="0"/>
    <w:rPr>
      <w:rFonts w:ascii="Calibri" w:hAnsi="Calibri" w:eastAsia="宋体" w:cs="Times New Roman"/>
      <w:b/>
      <w:bCs/>
      <w:kern w:val="44"/>
      <w:sz w:val="44"/>
      <w:szCs w:val="44"/>
    </w:rPr>
  </w:style>
  <w:style w:type="paragraph" w:styleId="13">
    <w:name w:val="List Paragraph"/>
    <w:basedOn w:val="1"/>
    <w:qFormat/>
    <w:uiPriority w:val="34"/>
    <w:pPr>
      <w:ind w:firstLine="420" w:firstLineChars="200"/>
    </w:pPr>
  </w:style>
  <w:style w:type="character" w:customStyle="1" w:styleId="14">
    <w:name w:val="p7-jdb9tehu-span"/>
    <w:basedOn w:val="11"/>
    <w:qFormat/>
    <w:uiPriority w:val="0"/>
  </w:style>
  <w:style w:type="character" w:customStyle="1" w:styleId="15">
    <w:name w:val="p8-qzgjkhdl-span"/>
    <w:basedOn w:val="11"/>
    <w:qFormat/>
    <w:uiPriority w:val="0"/>
  </w:style>
  <w:style w:type="character" w:customStyle="1" w:styleId="16">
    <w:name w:val="p8-isjck8hs-span"/>
    <w:basedOn w:val="11"/>
    <w:qFormat/>
    <w:uiPriority w:val="0"/>
  </w:style>
  <w:style w:type="character" w:customStyle="1" w:styleId="17">
    <w:name w:val="p9-on9gbtvs-span"/>
    <w:basedOn w:val="11"/>
    <w:qFormat/>
    <w:uiPriority w:val="0"/>
  </w:style>
  <w:style w:type="character" w:customStyle="1" w:styleId="18">
    <w:name w:val="p10-cl5zauar-span"/>
    <w:basedOn w:val="11"/>
    <w:qFormat/>
    <w:uiPriority w:val="0"/>
  </w:style>
  <w:style w:type="character" w:customStyle="1" w:styleId="19">
    <w:name w:val="p4-dhncuum6-span"/>
    <w:basedOn w:val="11"/>
    <w:qFormat/>
    <w:uiPriority w:val="0"/>
  </w:style>
  <w:style w:type="paragraph" w:customStyle="1" w:styleId="20">
    <w:name w:val="1.正文"/>
    <w:next w:val="1"/>
    <w:qFormat/>
    <w:uiPriority w:val="0"/>
    <w:pPr>
      <w:widowControl w:val="0"/>
      <w:adjustRightInd w:val="0"/>
      <w:spacing w:line="360" w:lineRule="auto"/>
      <w:ind w:firstLine="420" w:firstLineChars="200"/>
    </w:pPr>
    <w:rPr>
      <w:rFonts w:ascii="宋体" w:hAnsi="宋体" w:eastAsia="宋体" w:cs="Times New Roman"/>
      <w:sz w:val="24"/>
      <w:szCs w:val="22"/>
      <w:lang w:val="en-US" w:eastAsia="zh-CN" w:bidi="ar-SA"/>
    </w:rPr>
  </w:style>
  <w:style w:type="paragraph" w:customStyle="1" w:styleId="21">
    <w:name w:val="标准文本"/>
    <w:basedOn w:val="1"/>
    <w:qFormat/>
    <w:uiPriority w:val="0"/>
    <w:pPr>
      <w:spacing w:line="336" w:lineRule="auto"/>
      <w:ind w:firstLine="425" w:firstLineChars="200"/>
    </w:pPr>
    <w:rPr>
      <w:rFonts w:ascii="华文仿宋" w:hAnsi="华文仿宋" w:eastAsia="华文仿宋" w:cs="华文仿宋"/>
      <w:sz w:val="24"/>
      <w:szCs w:val="21"/>
    </w:rPr>
  </w:style>
  <w:style w:type="character" w:customStyle="1" w:styleId="22">
    <w:name w:val="标题 3 Char"/>
    <w:basedOn w:val="11"/>
    <w:link w:val="4"/>
    <w:semiHidden/>
    <w:qFormat/>
    <w:uiPriority w:val="9"/>
    <w:rPr>
      <w:rFonts w:ascii="Calibri" w:hAnsi="Calibri"/>
      <w:b/>
      <w:bCs/>
      <w:kern w:val="2"/>
      <w:sz w:val="32"/>
      <w:szCs w:val="32"/>
    </w:rPr>
  </w:style>
  <w:style w:type="character" w:customStyle="1" w:styleId="23">
    <w:name w:val="标题 4 Char"/>
    <w:basedOn w:val="11"/>
    <w:link w:val="5"/>
    <w:semiHidden/>
    <w:qFormat/>
    <w:uiPriority w:val="9"/>
    <w:rPr>
      <w:rFonts w:asciiTheme="majorHAnsi" w:hAnsiTheme="majorHAnsi" w:eastAsiaTheme="majorEastAsia" w:cstheme="majorBidi"/>
      <w:b/>
      <w:bCs/>
      <w:kern w:val="2"/>
      <w:sz w:val="28"/>
      <w:szCs w:val="28"/>
    </w:rPr>
  </w:style>
  <w:style w:type="character" w:customStyle="1" w:styleId="24">
    <w:name w:val="页脚 Char"/>
    <w:basedOn w:val="11"/>
    <w:link w:val="7"/>
    <w:qFormat/>
    <w:uiPriority w:val="99"/>
    <w:rPr>
      <w:rFonts w:ascii="Calibri" w:hAnsi="Calibri"/>
      <w:kern w:val="2"/>
      <w:sz w:val="18"/>
      <w:szCs w:val="22"/>
    </w:rPr>
  </w:style>
  <w:style w:type="character" w:customStyle="1" w:styleId="25">
    <w:name w:val="批注框文本 Char"/>
    <w:basedOn w:val="11"/>
    <w:link w:val="6"/>
    <w:semiHidden/>
    <w:qFormat/>
    <w:uiPriority w:val="99"/>
    <w:rPr>
      <w:rFonts w:ascii="Calibri" w:hAnsi="Calibri"/>
      <w:kern w:val="2"/>
      <w:sz w:val="18"/>
      <w:szCs w:val="18"/>
    </w:rPr>
  </w:style>
  <w:style w:type="character" w:customStyle="1" w:styleId="26">
    <w:name w:val="页眉 Char"/>
    <w:basedOn w:val="11"/>
    <w:link w:val="8"/>
    <w:uiPriority w:val="0"/>
    <w:rPr>
      <w:rFonts w:ascii="Calibri" w:hAnsi="Calibri"/>
      <w:kern w:val="2"/>
      <w:sz w:val="18"/>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CAEF60-82A9-440B-861A-56B7921AB770}">
  <ds:schemaRefs/>
</ds:datastoreItem>
</file>

<file path=docProps/app.xml><?xml version="1.0" encoding="utf-8"?>
<Properties xmlns="http://schemas.openxmlformats.org/officeDocument/2006/extended-properties" xmlns:vt="http://schemas.openxmlformats.org/officeDocument/2006/docPropsVTypes">
  <Template>Normal.dotm</Template>
  <Company>上海海事大学</Company>
  <Pages>12</Pages>
  <Words>6124</Words>
  <Characters>6279</Characters>
  <Lines>45</Lines>
  <Paragraphs>12</Paragraphs>
  <TotalTime>362</TotalTime>
  <ScaleCrop>false</ScaleCrop>
  <LinksUpToDate>false</LinksUpToDate>
  <CharactersWithSpaces>6280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2023-07-04T09:29:00Z</dcterms:created>
  <dc:creator>陈道争</dc:creator>
  <cp:lastModifiedBy>仲杰</cp:lastModifiedBy>
  <cp:lastPrinted>2024-05-22T00:59:00Z</cp:lastPrinted>
  <dcterms:modified xsi:type="dcterms:W3CDTF">2024-06-05T01:37:16Z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33C0AD7ECFAF4D7A92C17EF1315F4A60_12</vt:lpwstr>
  </property>
</Properties>
</file>