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62BC3">
      <w:pPr>
        <w:jc w:val="center"/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8"/>
          <w:szCs w:val="36"/>
          <w:highlight w:val="none"/>
          <w:lang w:val="en-US" w:eastAsia="zh-CN"/>
        </w:rPr>
      </w:pPr>
    </w:p>
    <w:p w14:paraId="50914A97">
      <w:pPr>
        <w:jc w:val="center"/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8"/>
          <w:szCs w:val="36"/>
          <w:highlight w:val="none"/>
          <w:lang w:val="en-US" w:eastAsia="zh-CN"/>
        </w:rPr>
      </w:pPr>
    </w:p>
    <w:p w14:paraId="3D9F11FD">
      <w:pPr>
        <w:jc w:val="center"/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8"/>
          <w:szCs w:val="36"/>
          <w:highlight w:val="none"/>
          <w:lang w:val="en-US" w:eastAsia="zh-CN"/>
        </w:rPr>
      </w:pPr>
    </w:p>
    <w:p w14:paraId="733FE90A">
      <w:pPr>
        <w:jc w:val="center"/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8"/>
          <w:szCs w:val="28"/>
          <w:highlight w:val="none"/>
          <w:lang w:val="en-US" w:eastAsia="zh-CN"/>
        </w:rPr>
        <w:t>游泳馆公共浴室综合配套采购项目</w:t>
      </w:r>
    </w:p>
    <w:p w14:paraId="19CDBF10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8"/>
          <w:szCs w:val="28"/>
          <w:highlight w:val="none"/>
          <w:lang w:val="en-US" w:eastAsia="zh-CN"/>
        </w:rPr>
        <w:t>比选文件</w:t>
      </w:r>
    </w:p>
    <w:p w14:paraId="01E2D00B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26813A12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0DDD54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8"/>
          <w:szCs w:val="28"/>
          <w:highlight w:val="none"/>
          <w:lang w:val="en-US" w:eastAsia="zh-CN"/>
        </w:rPr>
        <w:t>项目编号：</w:t>
      </w:r>
      <w:r>
        <w:rPr>
          <w:rFonts w:hint="eastAsia" w:ascii="方正兰亭黑简体" w:hAnsi="方正兰亭黑简体" w:eastAsia="方正兰亭黑简体" w:cs="方正兰亭黑简体"/>
          <w:color w:val="auto"/>
          <w:sz w:val="28"/>
          <w:szCs w:val="28"/>
          <w:highlight w:val="none"/>
          <w:lang w:val="en-US" w:eastAsia="zh-CN"/>
        </w:rPr>
        <w:t>HFBX2025073</w:t>
      </w:r>
    </w:p>
    <w:p w14:paraId="42BE5322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6FE10BC9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0531F597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3B6DDF62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4D90F11C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24E256E6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49A619C4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7FFF1434">
      <w:pPr>
        <w:jc w:val="center"/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  <w:t>采购人：</w:t>
      </w: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  <w:t>上海海事大学教育发展基金会</w:t>
      </w:r>
    </w:p>
    <w:p w14:paraId="526699CC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  <w:t>二〇二五年八月</w:t>
      </w:r>
    </w:p>
    <w:p w14:paraId="272A7D30">
      <w:pP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</w:p>
    <w:p w14:paraId="5637B82A">
      <w:pPr>
        <w:jc w:val="center"/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  <w:t>第一章 比选公告</w:t>
      </w:r>
    </w:p>
    <w:p w14:paraId="54E46ED1">
      <w:pPr>
        <w:ind w:firstLine="440" w:firstLineChars="200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上海海事大学受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上海海事大学教育发展基金会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委托开展采购工作，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欢迎各供应单位本着务实友好的工作态度，积极参与，并做好成本核算，进行一次性报价。我校将本着公开、公正、公平的工作原则，对各供应单位所提供的资料，进行综合评议，择优选购。为确保本次比选采购项目采购工作的顺利开展，请各报价单位按照下述要求提供报价单等相关资料。具体要求及相关注意事项如下：</w:t>
      </w:r>
    </w:p>
    <w:p w14:paraId="5694D68E">
      <w:pPr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  <w:t>一、项目基本情况</w:t>
      </w:r>
    </w:p>
    <w:p w14:paraId="6ED9240D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项目编号：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HFBX2025073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；</w:t>
      </w:r>
    </w:p>
    <w:p w14:paraId="40680CD9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项目名称：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游泳馆公共浴室综合配套采购项目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；</w:t>
      </w:r>
    </w:p>
    <w:p w14:paraId="49D3EF92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采购方式：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学校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比选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；</w:t>
      </w:r>
    </w:p>
    <w:p w14:paraId="11D14FFE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预算金额（亦是最高限价）：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人民币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24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万元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；</w:t>
      </w:r>
    </w:p>
    <w:p w14:paraId="192657F0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采购需求：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为完善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游泳馆公共浴室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，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根据改造要求采购一批配套设备，包括更衣柜、更衣凳、干身机、吹风机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。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拟采取比选方式实施采购。（具体要求详见比选文件—第二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章节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采购需求）。</w:t>
      </w:r>
    </w:p>
    <w:p w14:paraId="07A4D9AA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交付地址：上海市海港大道1550号游泳馆公共浴室。</w:t>
      </w:r>
    </w:p>
    <w:p w14:paraId="510A5FA0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交付时间：合同签订后30天内交货，并完成安装及调试工作。</w:t>
      </w:r>
    </w:p>
    <w:p w14:paraId="14D35995">
      <w:pP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付款方式：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合同签订后十个工作日内，甲方向乙方支付合同总价的30%作为预付款，待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合同内全部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产品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安装调试完成，经甲方验收合格后的一个月内，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甲方向乙方支付合同总价的70%尾款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。合同内全部款项均以“银行转账”方式予以支付。</w:t>
      </w:r>
    </w:p>
    <w:p w14:paraId="41BEA8D1">
      <w:pPr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  <w:t>二、</w:t>
      </w: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  <w:lang w:val="en-US" w:eastAsia="zh-CN"/>
        </w:rPr>
        <w:t>报价</w:t>
      </w: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  <w:t>人的资格要求</w:t>
      </w:r>
    </w:p>
    <w:p w14:paraId="022E8766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1、符合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《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中华人民共和国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政府采购法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》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第二十二条之供应商资格规定。</w:t>
      </w:r>
    </w:p>
    <w:p w14:paraId="6441606B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2、供应商未被列入“信用中国”网站（www.creditchina.gov.cn）失信执行人名单、重大税收违法案件当事人名单，和中国政府采购网（www.ccgp.gov.cn）政府严重违法失信行为记录名单的供应商。</w:t>
      </w:r>
    </w:p>
    <w:p w14:paraId="10C55701">
      <w:pPr>
        <w:jc w:val="left"/>
        <w:rPr>
          <w:rFonts w:hint="eastAsia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3、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供应商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须为合法注册的独立法人实体，经营范围应包含家具生产、销售或相关业务，且营业执照等主体资格文件合法有效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。</w:t>
      </w:r>
    </w:p>
    <w:p w14:paraId="3A3BF07A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4、供应商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能全程参与并完成本项目，且具有较强的服务能力，以及畅通的问题响应机制和渠道等；</w:t>
      </w:r>
    </w:p>
    <w:p w14:paraId="3710B34B">
      <w:pPr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  <w:t>三、报名</w:t>
      </w: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  <w:lang w:val="en-US" w:eastAsia="zh-CN"/>
        </w:rPr>
        <w:t>要求</w:t>
      </w:r>
    </w:p>
    <w:p w14:paraId="04917284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报名邮箱、时间：不单独组织报名，意向单位可在截止日期前递交响应文件。</w:t>
      </w:r>
    </w:p>
    <w:p w14:paraId="24CD6CDE">
      <w:pPr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  <w:t>四、获取采购文件</w:t>
      </w:r>
    </w:p>
    <w:p w14:paraId="5050A625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获取方式：公告页面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下方自行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下载</w:t>
      </w:r>
    </w:p>
    <w:p w14:paraId="4D745344">
      <w:pPr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</w:pPr>
      <w:bookmarkStart w:id="0" w:name="_Toc28359005"/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  <w:t>五、现场踏勘</w:t>
      </w:r>
      <w:bookmarkEnd w:id="0"/>
    </w:p>
    <w:p w14:paraId="2C262256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不组织。</w:t>
      </w:r>
    </w:p>
    <w:p w14:paraId="213C8131">
      <w:pPr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  <w:lang w:val="en-US" w:eastAsia="zh-CN"/>
        </w:rPr>
        <w:t>六</w:t>
      </w: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  <w:t>、响应文件提交</w:t>
      </w:r>
    </w:p>
    <w:p w14:paraId="231DF229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</w:pPr>
      <w:bookmarkStart w:id="1" w:name="_Toc35393795"/>
      <w:bookmarkEnd w:id="1"/>
      <w:bookmarkStart w:id="2" w:name="_Toc35393626"/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截止</w:t>
      </w:r>
      <w:bookmarkEnd w:id="2"/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时间：2025年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9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月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2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日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（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周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二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上午11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时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00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分</w:t>
      </w:r>
    </w:p>
    <w:p w14:paraId="52EA2719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提交方式：发送盖章扫描版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PDF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到指定邮箱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，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邮件名称：项目编号+公司名称</w:t>
      </w:r>
    </w:p>
    <w:p w14:paraId="45738F2D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邮箱地址：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u w:val="none"/>
        </w:rPr>
        <w:t>quotation@shmtu.edu.cn</w:t>
      </w:r>
    </w:p>
    <w:p w14:paraId="7C16205B">
      <w:pPr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  <w:lang w:val="en-US" w:eastAsia="zh-CN"/>
        </w:rPr>
        <w:t>七</w:t>
      </w: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</w:rPr>
        <w:t>、其他补充事宜</w:t>
      </w:r>
    </w:p>
    <w:p w14:paraId="3C9CF2D2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1.中标结果将通过发布比选公告的媒介进行公示，公示期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为1个工作日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，公示期内如对中标结果有异议可向校方提出书面质疑。</w:t>
      </w:r>
      <w:bookmarkStart w:id="3" w:name="_Toc35393627"/>
    </w:p>
    <w:p w14:paraId="17FB2B9E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2.</w:t>
      </w:r>
      <w:bookmarkEnd w:id="3"/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凡对本次采购提出询问，请按以下方式联系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：</w:t>
      </w:r>
    </w:p>
    <w:p w14:paraId="53930B0F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商务信息：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仲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老师021-3828470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、13764131075</w:t>
      </w:r>
    </w:p>
    <w:p w14:paraId="1CEF1F38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技术信息：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唐老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师021-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38283051、13512135850</w:t>
      </w:r>
    </w:p>
    <w:p w14:paraId="13CA3734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</w:p>
    <w:p w14:paraId="2D28AC98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</w:p>
    <w:p w14:paraId="2AA81B60">
      <w:pPr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</w:p>
    <w:p w14:paraId="4B9C0EF3">
      <w:pPr>
        <w:jc w:val="center"/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  <w:t>第二章 采购需求</w:t>
      </w:r>
    </w:p>
    <w:p w14:paraId="37F13A11">
      <w:pPr>
        <w:spacing w:line="240" w:lineRule="auto"/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</w:rPr>
        <w:t>一</w:t>
      </w: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</w:rPr>
        <w:t>、</w:t>
      </w: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  <w:lang w:val="en-US" w:eastAsia="zh-CN"/>
        </w:rPr>
        <w:t>产品清单</w:t>
      </w:r>
    </w:p>
    <w:tbl>
      <w:tblPr>
        <w:tblStyle w:val="14"/>
        <w:tblW w:w="4997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04"/>
        <w:gridCol w:w="1253"/>
        <w:gridCol w:w="1981"/>
        <w:gridCol w:w="2283"/>
        <w:gridCol w:w="1075"/>
        <w:gridCol w:w="450"/>
        <w:gridCol w:w="2004"/>
      </w:tblGrid>
      <w:tr w14:paraId="6A77F9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3C3AB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6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611C5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品名</w:t>
            </w:r>
          </w:p>
        </w:tc>
        <w:tc>
          <w:tcPr>
            <w:tcW w:w="10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2382F4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图示</w:t>
            </w:r>
          </w:p>
        </w:tc>
        <w:tc>
          <w:tcPr>
            <w:tcW w:w="11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5A33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规格</w:t>
            </w:r>
          </w:p>
        </w:tc>
        <w:tc>
          <w:tcPr>
            <w:tcW w:w="5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EB123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2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B67DC2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10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628822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说明</w:t>
            </w:r>
          </w:p>
        </w:tc>
      </w:tr>
      <w:tr w14:paraId="00C851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3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1860E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64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0DCA3EF5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更衣柜</w:t>
            </w:r>
          </w:p>
        </w:tc>
        <w:tc>
          <w:tcPr>
            <w:tcW w:w="1016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34663627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235710" cy="683260"/>
                  <wp:effectExtent l="0" t="0" r="8890" b="254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DF5B8C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900W*560D*2000H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B4381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44</w:t>
            </w:r>
          </w:p>
        </w:tc>
        <w:tc>
          <w:tcPr>
            <w:tcW w:w="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9CD7CC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0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397D4E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详见技术参数要求</w:t>
            </w:r>
          </w:p>
        </w:tc>
      </w:tr>
      <w:tr w14:paraId="4F3663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3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2F34ED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64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 w14:paraId="5C7550FC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016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 w14:paraId="4D0AC070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E51E7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600W*560D*2000H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2DC449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28</w:t>
            </w:r>
          </w:p>
        </w:tc>
        <w:tc>
          <w:tcPr>
            <w:tcW w:w="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98569C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0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65A33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详见技术参数要求</w:t>
            </w:r>
          </w:p>
        </w:tc>
      </w:tr>
      <w:tr w14:paraId="60AE6A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3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7AAC66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64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7EB954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01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31154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FE173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300W*560D*2000H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961C4C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F02D81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0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3D1423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详见技术参数要求</w:t>
            </w:r>
          </w:p>
        </w:tc>
      </w:tr>
      <w:tr w14:paraId="049C43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</w:trPr>
        <w:tc>
          <w:tcPr>
            <w:tcW w:w="36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0F2BFC5A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64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6C1A1AE9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更衣凳</w:t>
            </w:r>
          </w:p>
        </w:tc>
        <w:tc>
          <w:tcPr>
            <w:tcW w:w="1016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0CD7F4EE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007110" cy="559435"/>
                  <wp:effectExtent l="0" t="0" r="8890" b="12065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8E7B74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1500W*350D*400H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FDD4FF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EC2D83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028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26C758C4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详见技术参数要求</w:t>
            </w:r>
          </w:p>
        </w:tc>
      </w:tr>
      <w:tr w14:paraId="164263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36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77CF1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64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195BAA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01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63037F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E6D684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1000W*350D*400H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9C472F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7DF921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02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AA546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</w:p>
        </w:tc>
      </w:tr>
      <w:tr w14:paraId="70ED1A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CC059C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6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7E53D0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干身机</w:t>
            </w:r>
          </w:p>
        </w:tc>
        <w:tc>
          <w:tcPr>
            <w:tcW w:w="10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7CA233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703580" cy="1294765"/>
                  <wp:effectExtent l="0" t="0" r="7620" b="635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920A52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常规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18AF00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C665B4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0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5D2D69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详见技术参数要求</w:t>
            </w:r>
          </w:p>
        </w:tc>
      </w:tr>
      <w:tr w14:paraId="44594B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83AD85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6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F5FC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吹风机</w:t>
            </w:r>
          </w:p>
        </w:tc>
        <w:tc>
          <w:tcPr>
            <w:tcW w:w="10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0D65AB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565785" cy="1083310"/>
                  <wp:effectExtent l="0" t="0" r="5715" b="889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578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753CF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常规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12710B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20</w:t>
            </w: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EE2EE5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0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58D1A5">
            <w:pPr>
              <w:spacing w:line="24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2"/>
                <w:szCs w:val="22"/>
                <w:highlight w:val="none"/>
              </w:rPr>
              <w:t>详见技术参数要求</w:t>
            </w:r>
          </w:p>
        </w:tc>
      </w:tr>
    </w:tbl>
    <w:p w14:paraId="71E8ADEC">
      <w:pPr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</w:p>
    <w:p w14:paraId="510DA4B3">
      <w:pPr>
        <w:spacing w:line="240" w:lineRule="auto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</w:rPr>
        <w:br w:type="page"/>
      </w:r>
    </w:p>
    <w:p w14:paraId="4954CD8C">
      <w:pPr>
        <w:spacing w:line="240" w:lineRule="auto"/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</w:rPr>
        <w:t>二、</w:t>
      </w: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  <w:lang w:val="en-US" w:eastAsia="zh-CN"/>
        </w:rPr>
        <w:t>产品技术参数</w:t>
      </w:r>
    </w:p>
    <w:p w14:paraId="03AB6007">
      <w:pPr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eastAsia" w:ascii="宋体" w:hAnsi="宋体"/>
          <w:b/>
          <w:color w:val="auto"/>
          <w:sz w:val="22"/>
          <w:szCs w:val="22"/>
          <w:highlight w:val="none"/>
          <w:lang w:val="en-US" w:eastAsia="zh-CN"/>
        </w:rPr>
        <w:t>1</w:t>
      </w:r>
      <w:r>
        <w:rPr>
          <w:rFonts w:hint="eastAsia" w:ascii="宋体" w:hAnsi="宋体"/>
          <w:b/>
          <w:color w:val="auto"/>
          <w:sz w:val="22"/>
          <w:szCs w:val="22"/>
          <w:highlight w:val="none"/>
        </w:rPr>
        <w:t>、更衣柜</w:t>
      </w:r>
    </w:p>
    <w:p w14:paraId="65838EDF">
      <w:pPr>
        <w:widowControl/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drawing>
          <wp:inline distT="0" distB="0" distL="114300" distR="114300">
            <wp:extent cx="5367020" cy="2968625"/>
            <wp:effectExtent l="0" t="0" r="5080" b="317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1B53">
      <w:pPr>
        <w:pStyle w:val="11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规格：900W*560D*2000H/600W*560D*2000H/300W*560D*2000H</w:t>
      </w:r>
    </w:p>
    <w:p w14:paraId="04011C45">
      <w:pPr>
        <w:pStyle w:val="11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数量：76个</w:t>
      </w:r>
    </w:p>
    <w:p w14:paraId="54AEA2B2">
      <w:pPr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技术参数及要求：</w:t>
      </w:r>
    </w:p>
    <w:p w14:paraId="40B5E7C6">
      <w:pPr>
        <w:numPr>
          <w:ilvl w:val="0"/>
          <w:numId w:val="0"/>
        </w:numPr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1、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定制6门，4门，2门衣柜，高度2000mm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eastAsia="zh-CN"/>
        </w:rPr>
        <w:t>，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宽度900mm/600mm/300mm，深度560mm。</w:t>
      </w:r>
    </w:p>
    <w:p w14:paraId="26359A33">
      <w:pPr>
        <w:numPr>
          <w:ilvl w:val="0"/>
          <w:numId w:val="0"/>
        </w:numPr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2、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每个柜门含有挂衣杆一个，棚板一个。</w:t>
      </w:r>
    </w:p>
    <w:p w14:paraId="7C67D0F7">
      <w:pPr>
        <w:numPr>
          <w:ilvl w:val="0"/>
          <w:numId w:val="0"/>
        </w:numPr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3、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每个柜门下方要有透气孔，上方要配备编号。</w:t>
      </w:r>
    </w:p>
    <w:p w14:paraId="566A5B8B">
      <w:pPr>
        <w:numPr>
          <w:ilvl w:val="0"/>
          <w:numId w:val="0"/>
        </w:numPr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4、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要求电子智能锁具（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eastAsia="zh-CN"/>
        </w:rPr>
        <w:t>含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电池），手环开锁，手环要含有号码，号码与第3点要求一致。5、防锈防潮处理，电解钢板，又称热镀锌板，是医用护理设施的主要原材料之一，其产品性价比高、可塑性强、抗腐蚀效果好、环保无毒害等等。</w:t>
      </w:r>
    </w:p>
    <w:p w14:paraId="2F5BD0FD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产品性能特点：</w:t>
      </w:r>
    </w:p>
    <w:p w14:paraId="0BE15222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A.使用寿命长，防锈镀锌膜，具有更好的防锈抗腐蚀能力，均匀致密结合良好，表面耐指纹。</w:t>
      </w:r>
    </w:p>
    <w:p w14:paraId="261FF61A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B.防火阻燃、防潮、抗菌、防霉、防氧化、可拆卸、节能环保。</w:t>
      </w:r>
    </w:p>
    <w:p w14:paraId="71EA7A26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C.美观、清洁、舒适、现场完工即可迁入办公，不污染环境、具有环保和节约资源的效果。</w:t>
      </w:r>
    </w:p>
    <w:p w14:paraId="53274B7A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D.可重复使用便于用户维修、置换、节约成本。</w:t>
      </w:r>
    </w:p>
    <w:p w14:paraId="1D6549D0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E.安全环保，无甲醛等任何有害物质排放</w:t>
      </w:r>
    </w:p>
    <w:p w14:paraId="15B35B38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F.电解钢板厚度不小于0.8mm</w:t>
      </w:r>
    </w:p>
    <w:p w14:paraId="2E4E4550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G.推荐品牌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eastAsia="zh-CN"/>
        </w:rPr>
        <w:t>（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val="en-US" w:eastAsia="zh-CN"/>
        </w:rPr>
        <w:t>仅供参考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eastAsia="zh-CN"/>
        </w:rPr>
        <w:t>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：震旦、现代、永固</w:t>
      </w:r>
    </w:p>
    <w:p w14:paraId="3F17B53D">
      <w:pPr>
        <w:spacing w:line="240" w:lineRule="auto"/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val="en-US" w:eastAsia="zh-CN"/>
        </w:rPr>
      </w:pPr>
    </w:p>
    <w:p w14:paraId="6DD88AB1">
      <w:pPr>
        <w:spacing w:line="240" w:lineRule="auto"/>
        <w:rPr>
          <w:rFonts w:hint="default" w:ascii="Times New Roman" w:hAnsi="Times New Roman" w:eastAsia="方正兰亭黑简体" w:cs="Times New Roman"/>
          <w:bCs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val="en-US" w:eastAsia="zh-CN"/>
        </w:rPr>
        <w:t>2</w:t>
      </w:r>
      <w:r>
        <w:rPr>
          <w:rFonts w:hint="default" w:ascii="Times New Roman" w:hAnsi="Times New Roman" w:eastAsia="方正兰亭黑简体" w:cs="Times New Roman"/>
          <w:b/>
          <w:color w:val="auto"/>
          <w:sz w:val="22"/>
          <w:szCs w:val="22"/>
          <w:highlight w:val="none"/>
        </w:rPr>
        <w:t>、更衣凳</w:t>
      </w:r>
    </w:p>
    <w:p w14:paraId="2F799051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drawing>
          <wp:inline distT="0" distB="0" distL="114300" distR="114300">
            <wp:extent cx="2324100" cy="1290320"/>
            <wp:effectExtent l="0" t="0" r="0" b="508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86C1">
      <w:pPr>
        <w:tabs>
          <w:tab w:val="left" w:pos="4070"/>
        </w:tabs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规格：1500W*350D*400H/1000W*350D*400H</w:t>
      </w:r>
    </w:p>
    <w:p w14:paraId="43A6C2D7">
      <w:pPr>
        <w:tabs>
          <w:tab w:val="left" w:pos="4070"/>
        </w:tabs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数量：8张</w:t>
      </w:r>
    </w:p>
    <w:p w14:paraId="57998314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技术参数及要求：</w:t>
      </w:r>
    </w:p>
    <w:p w14:paraId="71E55207">
      <w:pPr>
        <w:numPr>
          <w:ilvl w:val="0"/>
          <w:numId w:val="0"/>
        </w:num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1、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实木更衣凳产品采用榫卯结构（如夹头榫+抱肩榫组合），可承受≥300kg集中荷载，并通过500小时耐候测试。</w:t>
      </w:r>
    </w:p>
    <w:p w14:paraId="0012F7F0">
      <w:pPr>
        <w:numPr>
          <w:ilvl w:val="0"/>
          <w:numId w:val="0"/>
        </w:num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2、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分上下两层，实木防水，防潮，经久耐用。</w:t>
      </w:r>
    </w:p>
    <w:p w14:paraId="3A451004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3、推荐品牌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eastAsia="zh-CN"/>
        </w:rPr>
        <w:t>（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val="en-US" w:eastAsia="zh-CN"/>
        </w:rPr>
        <w:t>仅供参考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eastAsia="zh-CN"/>
        </w:rPr>
        <w:t>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：震旦、现代、永固</w:t>
      </w:r>
    </w:p>
    <w:p w14:paraId="7F08B3FB">
      <w:pPr>
        <w:tabs>
          <w:tab w:val="left" w:pos="4070"/>
        </w:tabs>
        <w:spacing w:line="24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</w:p>
    <w:p w14:paraId="1F313B77">
      <w:pPr>
        <w:spacing w:line="240" w:lineRule="auto"/>
        <w:rPr>
          <w:rFonts w:hint="default" w:ascii="Times New Roman" w:hAnsi="Times New Roman" w:eastAsia="方正兰亭黑简体" w:cs="Times New Roman"/>
          <w:b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val="en-US" w:eastAsia="zh-CN"/>
        </w:rPr>
        <w:t>3</w:t>
      </w:r>
      <w:r>
        <w:rPr>
          <w:rFonts w:hint="default" w:ascii="Times New Roman" w:hAnsi="Times New Roman" w:eastAsia="方正兰亭黑简体" w:cs="Times New Roman"/>
          <w:b/>
          <w:color w:val="auto"/>
          <w:sz w:val="22"/>
          <w:szCs w:val="22"/>
          <w:highlight w:val="none"/>
        </w:rPr>
        <w:t>、烘体机参考品牌和参数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eastAsia="zh-CN"/>
        </w:rPr>
        <w:t>（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val="en-US" w:eastAsia="zh-CN"/>
        </w:rPr>
        <w:t>仅供参考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eastAsia="zh-CN"/>
        </w:rPr>
        <w:t>）</w:t>
      </w:r>
    </w:p>
    <w:p w14:paraId="525C7C85">
      <w:pPr>
        <w:pStyle w:val="22"/>
        <w:numPr>
          <w:ilvl w:val="0"/>
          <w:numId w:val="0"/>
        </w:numPr>
        <w:spacing w:line="240" w:lineRule="auto"/>
        <w:ind w:left="360" w:leftChars="0" w:hanging="36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（1）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希鹿</w:t>
      </w:r>
    </w:p>
    <w:p w14:paraId="236D9229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尺寸：1932mmx324mmx202mm</w:t>
      </w:r>
    </w:p>
    <w:p w14:paraId="32D1042D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电压：220v/60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eastAsia="zh-CN"/>
        </w:rPr>
        <w:t>Hz</w:t>
      </w:r>
    </w:p>
    <w:p w14:paraId="4EE23411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额定功率：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eastAsia="zh-CN"/>
        </w:rPr>
        <w:t>Hz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3300W</w:t>
      </w:r>
    </w:p>
    <w:p w14:paraId="59618819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颜色：白色，枪灰色，黑色</w:t>
      </w:r>
    </w:p>
    <w:p w14:paraId="03683732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drawing>
          <wp:inline distT="0" distB="0" distL="114300" distR="114300">
            <wp:extent cx="1252220" cy="2304415"/>
            <wp:effectExtent l="0" t="0" r="5080" b="698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FB123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（2）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犀陶</w:t>
      </w:r>
    </w:p>
    <w:p w14:paraId="3C5DB2D6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尺寸：1930mmx280mmX240mm</w:t>
      </w:r>
    </w:p>
    <w:p w14:paraId="636B3167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产品型号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eastAsia="zh-CN"/>
        </w:rPr>
        <w:t>：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G-02</w:t>
      </w:r>
    </w:p>
    <w:p w14:paraId="1444BA3F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电压：220v/60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eastAsia="zh-CN"/>
        </w:rPr>
        <w:t>Hz</w:t>
      </w:r>
    </w:p>
    <w:p w14:paraId="50D8741A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额定功率：3300w</w:t>
      </w:r>
    </w:p>
    <w:p w14:paraId="6561C516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控制方式：电控触摸屏和遥控</w:t>
      </w:r>
    </w:p>
    <w:p w14:paraId="5E861A94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drawing>
          <wp:inline distT="0" distB="0" distL="114300" distR="114300">
            <wp:extent cx="1295400" cy="2077720"/>
            <wp:effectExtent l="0" t="0" r="0" b="508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77AA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</w:p>
    <w:p w14:paraId="6147E28B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（3）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潜水艇（submarine）人体烘干机</w:t>
      </w:r>
    </w:p>
    <w:p w14:paraId="49342570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bookmarkStart w:id="4" w:name="OLE_LINK1"/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尺寸：1930x320x200</w:t>
      </w:r>
    </w:p>
    <w:p w14:paraId="088E6AAA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电压：220v/60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eastAsia="zh-CN"/>
        </w:rPr>
        <w:t>Hz</w:t>
      </w:r>
    </w:p>
    <w:p w14:paraId="5A708C72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额定功率：3300W</w:t>
      </w:r>
    </w:p>
    <w:p w14:paraId="3AA3A40C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颜色：白色，黑色</w:t>
      </w:r>
    </w:p>
    <w:bookmarkEnd w:id="4"/>
    <w:p w14:paraId="5022419D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drawing>
          <wp:inline distT="0" distB="0" distL="114300" distR="114300">
            <wp:extent cx="1157605" cy="2570480"/>
            <wp:effectExtent l="0" t="0" r="10795" b="762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76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E002">
      <w:pPr>
        <w:pStyle w:val="22"/>
        <w:spacing w:line="240" w:lineRule="auto"/>
        <w:ind w:left="0"/>
        <w:rPr>
          <w:rFonts w:hint="default" w:ascii="Times New Roman" w:hAnsi="Times New Roman" w:eastAsia="方正兰亭黑简体" w:cs="Times New Roman"/>
          <w:b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val="en-US" w:eastAsia="zh-CN"/>
        </w:rPr>
        <w:t>4、</w:t>
      </w:r>
      <w:r>
        <w:rPr>
          <w:rFonts w:hint="default" w:ascii="Times New Roman" w:hAnsi="Times New Roman" w:eastAsia="方正兰亭黑简体" w:cs="Times New Roman"/>
          <w:b/>
          <w:color w:val="auto"/>
          <w:sz w:val="22"/>
          <w:szCs w:val="22"/>
          <w:highlight w:val="none"/>
        </w:rPr>
        <w:t>吹风机推荐品牌和参数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eastAsia="zh-CN"/>
        </w:rPr>
        <w:t>（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val="en-US" w:eastAsia="zh-CN"/>
        </w:rPr>
        <w:t>仅供参考</w:t>
      </w:r>
      <w:r>
        <w:rPr>
          <w:rFonts w:hint="eastAsia" w:ascii="Times New Roman" w:hAnsi="Times New Roman" w:eastAsia="方正兰亭黑简体" w:cs="Times New Roman"/>
          <w:b/>
          <w:color w:val="auto"/>
          <w:sz w:val="22"/>
          <w:szCs w:val="22"/>
          <w:highlight w:val="none"/>
          <w:lang w:eastAsia="zh-CN"/>
        </w:rPr>
        <w:t>）</w:t>
      </w:r>
      <w:r>
        <w:rPr>
          <w:rFonts w:hint="default" w:ascii="Times New Roman" w:hAnsi="Times New Roman" w:eastAsia="方正兰亭黑简体" w:cs="Times New Roman"/>
          <w:b/>
          <w:color w:val="auto"/>
          <w:sz w:val="22"/>
          <w:szCs w:val="22"/>
          <w:highlight w:val="none"/>
        </w:rPr>
        <w:t>：</w:t>
      </w:r>
    </w:p>
    <w:p w14:paraId="4D184FE9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（1）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徕芬</w:t>
      </w:r>
    </w:p>
    <w:p w14:paraId="7DD075A9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产品型号：LF03</w:t>
      </w:r>
    </w:p>
    <w:p w14:paraId="654120D1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限定电压：220V</w:t>
      </w:r>
    </w:p>
    <w:p w14:paraId="59869047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电源线长：1.7M</w:t>
      </w:r>
    </w:p>
    <w:p w14:paraId="60B3CAEA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颜色：闪银 深灰 青柚 金粉 简白</w:t>
      </w:r>
    </w:p>
    <w:p w14:paraId="6B13D8B5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drawing>
          <wp:inline distT="0" distB="0" distL="114300" distR="114300">
            <wp:extent cx="1010285" cy="1935480"/>
            <wp:effectExtent l="0" t="0" r="5715" b="762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02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]</w:t>
      </w:r>
    </w:p>
    <w:p w14:paraId="4C6EFE45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（3）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小米</w:t>
      </w:r>
    </w:p>
    <w:p w14:paraId="761C3EF7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型号：GSHF4PLF</w:t>
      </w:r>
    </w:p>
    <w:p w14:paraId="71F7D2E8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额定电压：220V</w:t>
      </w:r>
    </w:p>
    <w:p w14:paraId="3CD40A97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限定频率：50</w:t>
      </w: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eastAsia="zh-CN"/>
        </w:rPr>
        <w:t>Hz</w:t>
      </w:r>
    </w:p>
    <w:p w14:paraId="11FF27E6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额定功率：1600mm</w:t>
      </w:r>
    </w:p>
    <w:p w14:paraId="01AB9E4A">
      <w:pPr>
        <w:spacing w:line="240" w:lineRule="auto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drawing>
          <wp:inline distT="0" distB="0" distL="114300" distR="114300">
            <wp:extent cx="2115185" cy="1822450"/>
            <wp:effectExtent l="0" t="0" r="5715" b="635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F9C8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（4）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松下</w:t>
      </w:r>
    </w:p>
    <w:p w14:paraId="5E5FA3A8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产品型号：EH-MNW6A</w:t>
      </w:r>
    </w:p>
    <w:p w14:paraId="26746200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额定电压：220V</w:t>
      </w:r>
    </w:p>
    <w:p w14:paraId="1FE9E62F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额定频率：50Hz</w:t>
      </w:r>
    </w:p>
    <w:p w14:paraId="21A2D885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t>额定功率：1200W</w:t>
      </w:r>
    </w:p>
    <w:p w14:paraId="109E56DF">
      <w:pPr>
        <w:pStyle w:val="22"/>
        <w:spacing w:line="240" w:lineRule="auto"/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</w:rPr>
        <w:drawing>
          <wp:inline distT="0" distB="0" distL="114300" distR="114300">
            <wp:extent cx="1568450" cy="1704340"/>
            <wp:effectExtent l="0" t="0" r="6350" b="1016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C1D3">
      <w:pPr>
        <w:spacing w:line="300" w:lineRule="auto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2"/>
          <w:highlight w:val="none"/>
          <w:lang w:val="en-US" w:eastAsia="zh-CN"/>
        </w:rPr>
      </w:pPr>
    </w:p>
    <w:p w14:paraId="5CCAE700">
      <w:pPr>
        <w:spacing w:line="300" w:lineRule="auto"/>
        <w:jc w:val="left"/>
        <w:rPr>
          <w:rFonts w:hint="eastAsia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  <w:lang w:val="en-US" w:eastAsia="zh-CN"/>
        </w:rPr>
      </w:pPr>
      <w:bookmarkStart w:id="5" w:name="_GoBack"/>
      <w:bookmarkEnd w:id="5"/>
      <w:r>
        <w:rPr>
          <w:rFonts w:hint="eastAsia" w:ascii="Times New Roman" w:hAnsi="Times New Roman" w:eastAsia="方正兰亭黑简体" w:cs="Times New Roman"/>
          <w:b/>
          <w:bCs/>
          <w:color w:val="auto"/>
          <w:sz w:val="22"/>
          <w:szCs w:val="22"/>
          <w:highlight w:val="none"/>
          <w:lang w:val="en-US" w:eastAsia="zh-CN"/>
        </w:rPr>
        <w:t>三、送样要求</w:t>
      </w:r>
    </w:p>
    <w:p w14:paraId="7CDCED25">
      <w:pPr>
        <w:spacing w:line="300" w:lineRule="auto"/>
        <w:ind w:firstLine="440" w:firstLineChars="200"/>
        <w:jc w:val="left"/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val="en-US" w:eastAsia="zh-CN"/>
        </w:rPr>
        <w:t>请各报价单位于响应文件提交截止日前提交4件样品，样品包括：20cm*20cm钢板一块、具有榫卯结构‌（夹头榫）的木条、电子智能锁具一个、锁具配套手环一个；</w:t>
      </w:r>
    </w:p>
    <w:p w14:paraId="69CBDBE8">
      <w:pPr>
        <w:spacing w:line="300" w:lineRule="auto"/>
        <w:ind w:firstLine="440" w:firstLineChars="200"/>
        <w:jc w:val="left"/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val="en-US" w:eastAsia="zh-CN"/>
        </w:rPr>
        <w:t>送样请提前至少1天联系办理入校手续，校方收样人：张老师，联系方式：18918908826；</w:t>
      </w:r>
    </w:p>
    <w:p w14:paraId="54A6DEF6">
      <w:pPr>
        <w:pStyle w:val="5"/>
        <w:rPr>
          <w:rFonts w:hint="default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Times New Roman" w:hAnsi="Times New Roman" w:eastAsia="方正兰亭黑简体" w:cs="Times New Roman"/>
          <w:color w:val="auto"/>
          <w:sz w:val="22"/>
          <w:szCs w:val="22"/>
          <w:highlight w:val="none"/>
          <w:lang w:val="en-US" w:eastAsia="zh-CN"/>
        </w:rPr>
        <w:t xml:space="preserve">    </w:t>
      </w:r>
      <w:r>
        <w:rPr>
          <w:rFonts w:hint="eastAsia" w:ascii="Times New Roman" w:hAnsi="Times New Roman" w:eastAsia="方正兰亭黑简体" w:cs="Times New Roman"/>
          <w:color w:val="auto"/>
          <w:kern w:val="2"/>
          <w:sz w:val="22"/>
          <w:szCs w:val="22"/>
          <w:highlight w:val="none"/>
          <w:lang w:val="en-US" w:eastAsia="zh-CN" w:bidi="ar-SA"/>
        </w:rPr>
        <w:t>送样地点：上海海事大学校医院一号楼406会议室；</w:t>
      </w:r>
    </w:p>
    <w:p w14:paraId="6F08D747">
      <w:pPr>
        <w:jc w:val="center"/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  <w:t>第三章 评审办法</w:t>
      </w:r>
    </w:p>
    <w:p w14:paraId="69EFEE19">
      <w:pPr>
        <w:ind w:firstLine="440" w:firstLineChars="200"/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综合本项目的特点，根据相关法律法规的规定，本着保护竞争，维护采购工作公开、公平、公正原则，特制定本评审办法，作为选定本次采购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eastAsia="zh-CN"/>
        </w:rPr>
        <w:t>中标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人的依据。</w:t>
      </w:r>
    </w:p>
    <w:p w14:paraId="117C4525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1、成立比选评审小组</w:t>
      </w:r>
    </w:p>
    <w:p w14:paraId="49C58FDA">
      <w:p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采购人将根据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货物与服务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的特点，依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规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组建比选小组，比选小组由3人或以上的单数组成。</w:t>
      </w:r>
    </w:p>
    <w:p w14:paraId="123C9161">
      <w:pPr>
        <w:numPr>
          <w:ilvl w:val="0"/>
          <w:numId w:val="0"/>
        </w:numPr>
        <w:jc w:val="left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</w:pPr>
      <w:r>
        <w:rPr>
          <w:rFonts w:hint="default" w:ascii="Times New Roman" w:hAnsi="Times New Roman" w:eastAsia="方正兰亭黑简体" w:cs="Times New Roman"/>
          <w:color w:val="auto"/>
          <w:kern w:val="2"/>
          <w:sz w:val="22"/>
          <w:szCs w:val="28"/>
          <w:highlight w:val="none"/>
          <w:lang w:val="en-US" w:eastAsia="zh-CN" w:bidi="ar-SA"/>
        </w:rPr>
        <w:t>2、</w:t>
      </w: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</w:rPr>
        <w:t>具体评分细则如下：</w:t>
      </w:r>
    </w:p>
    <w:tbl>
      <w:tblPr>
        <w:tblStyle w:val="14"/>
        <w:tblW w:w="498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1734"/>
        <w:gridCol w:w="713"/>
        <w:gridCol w:w="6830"/>
      </w:tblGrid>
      <w:tr w14:paraId="64002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742FB554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b/>
                <w:bCs/>
                <w:color w:val="auto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b/>
                <w:bCs/>
                <w:color w:val="auto"/>
                <w:sz w:val="20"/>
                <w:szCs w:val="20"/>
                <w:highlight w:val="none"/>
              </w:rPr>
              <w:t>序号</w:t>
            </w:r>
          </w:p>
        </w:tc>
        <w:tc>
          <w:tcPr>
            <w:tcW w:w="873" w:type="pct"/>
            <w:noWrap w:val="0"/>
            <w:vAlign w:val="center"/>
          </w:tcPr>
          <w:p w14:paraId="5F54B63A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b/>
                <w:bCs/>
                <w:color w:val="auto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b/>
                <w:bCs/>
                <w:color w:val="auto"/>
                <w:sz w:val="20"/>
                <w:szCs w:val="20"/>
                <w:highlight w:val="none"/>
              </w:rPr>
              <w:t>评审因素</w:t>
            </w:r>
          </w:p>
        </w:tc>
        <w:tc>
          <w:tcPr>
            <w:tcW w:w="359" w:type="pct"/>
            <w:noWrap w:val="0"/>
            <w:vAlign w:val="center"/>
          </w:tcPr>
          <w:p w14:paraId="25FE165D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b/>
                <w:bCs/>
                <w:color w:val="auto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b/>
                <w:bCs/>
                <w:color w:val="auto"/>
                <w:sz w:val="20"/>
                <w:szCs w:val="20"/>
                <w:highlight w:val="none"/>
              </w:rPr>
              <w:t>分值</w:t>
            </w:r>
          </w:p>
        </w:tc>
        <w:tc>
          <w:tcPr>
            <w:tcW w:w="3436" w:type="pct"/>
            <w:noWrap w:val="0"/>
            <w:vAlign w:val="center"/>
          </w:tcPr>
          <w:p w14:paraId="1A737473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b/>
                <w:bCs/>
                <w:color w:val="auto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b/>
                <w:bCs/>
                <w:color w:val="auto"/>
                <w:sz w:val="20"/>
                <w:szCs w:val="20"/>
                <w:highlight w:val="none"/>
              </w:rPr>
              <w:t>评分说明</w:t>
            </w:r>
          </w:p>
        </w:tc>
      </w:tr>
      <w:tr w14:paraId="41C4C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000" w:type="pct"/>
            <w:gridSpan w:val="4"/>
            <w:noWrap w:val="0"/>
            <w:vAlign w:val="center"/>
          </w:tcPr>
          <w:p w14:paraId="3FFFCA77">
            <w:pPr>
              <w:spacing w:line="360" w:lineRule="auto"/>
              <w:jc w:val="left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一、价格部分</w:t>
            </w:r>
          </w:p>
        </w:tc>
      </w:tr>
      <w:tr w14:paraId="7E29D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10CE2961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1</w:t>
            </w:r>
          </w:p>
        </w:tc>
        <w:tc>
          <w:tcPr>
            <w:tcW w:w="873" w:type="pct"/>
            <w:noWrap w:val="0"/>
            <w:vAlign w:val="center"/>
          </w:tcPr>
          <w:p w14:paraId="69DFDD83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价格得分</w:t>
            </w:r>
          </w:p>
          <w:p w14:paraId="5224EE0B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客观分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4CB6FE52">
            <w:pPr>
              <w:widowControl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3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6830" w:type="dxa"/>
            <w:noWrap w:val="0"/>
            <w:vAlign w:val="center"/>
          </w:tcPr>
          <w:p w14:paraId="00A2DA11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价格分采用均价优先法计算，即满足采购要求的投标报价价格的平均价为基准价，低于等于其价格分为满分。其他投标人的价格分统一按照下列公式计算：投标报价得分=（基准价／投标报价）×报价权重（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3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0%）×100。投标报价得分最低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25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分。</w:t>
            </w:r>
          </w:p>
        </w:tc>
      </w:tr>
      <w:tr w14:paraId="1CE67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000" w:type="pct"/>
            <w:gridSpan w:val="4"/>
            <w:noWrap w:val="0"/>
            <w:vAlign w:val="center"/>
          </w:tcPr>
          <w:p w14:paraId="14AC1211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二、商务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技术部分</w:t>
            </w:r>
          </w:p>
        </w:tc>
      </w:tr>
      <w:tr w14:paraId="603C3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69B44514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2</w:t>
            </w:r>
          </w:p>
        </w:tc>
        <w:tc>
          <w:tcPr>
            <w:tcW w:w="1734" w:type="dxa"/>
            <w:noWrap w:val="0"/>
            <w:vAlign w:val="center"/>
          </w:tcPr>
          <w:p w14:paraId="4FF82CD2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货物技术规格</w:t>
            </w:r>
          </w:p>
          <w:p w14:paraId="62428B44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主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7C2DAE44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10</w:t>
            </w:r>
          </w:p>
        </w:tc>
        <w:tc>
          <w:tcPr>
            <w:tcW w:w="6830" w:type="dxa"/>
            <w:noWrap w:val="0"/>
            <w:vAlign w:val="center"/>
          </w:tcPr>
          <w:p w14:paraId="66F6C59B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根据货物技术规格响应情况综合评定，需提供更衣柜外观、颜色及内部结构，更衣凳样式规格，干身机、吹风机的品牌、规格参数、功能等介绍。</w:t>
            </w:r>
          </w:p>
        </w:tc>
      </w:tr>
      <w:tr w14:paraId="4674D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147D3766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3</w:t>
            </w:r>
          </w:p>
        </w:tc>
        <w:tc>
          <w:tcPr>
            <w:tcW w:w="1734" w:type="dxa"/>
            <w:noWrap w:val="0"/>
            <w:vAlign w:val="center"/>
          </w:tcPr>
          <w:p w14:paraId="1793C67A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设备工艺</w:t>
            </w:r>
          </w:p>
          <w:p w14:paraId="257A1D31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主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70332D36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10</w:t>
            </w:r>
          </w:p>
        </w:tc>
        <w:tc>
          <w:tcPr>
            <w:tcW w:w="6830" w:type="dxa"/>
            <w:shd w:val="clear" w:color="auto" w:fill="auto"/>
            <w:noWrap w:val="0"/>
            <w:vAlign w:val="center"/>
          </w:tcPr>
          <w:p w14:paraId="657F0A35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根据投标人生产工艺的精细化程度和先进性，与本次采购家具相关的钢制家具、木制家具制造设备配置是否完备和先进，进行综合评分。</w:t>
            </w:r>
          </w:p>
        </w:tc>
      </w:tr>
      <w:tr w14:paraId="32155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67884245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4</w:t>
            </w:r>
          </w:p>
        </w:tc>
        <w:tc>
          <w:tcPr>
            <w:tcW w:w="17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2C303828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服务方案</w:t>
            </w:r>
          </w:p>
          <w:p w14:paraId="501F5C71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主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3662F0A0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10</w:t>
            </w:r>
          </w:p>
        </w:tc>
        <w:tc>
          <w:tcPr>
            <w:tcW w:w="6830" w:type="dxa"/>
            <w:noWrap w:val="0"/>
            <w:vAlign w:val="center"/>
          </w:tcPr>
          <w:p w14:paraId="0BEE09AF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有完整、合理的服务方案，包括但不限于：前期的现场复尺、设计深化，项目实施时间控制，生产组织流程和产品质量控制，家具运输、安装的现场实施以及家具验收等；根据科学合理且满足用户需求的程度进行综合评分。无具体方案不得分。</w:t>
            </w:r>
          </w:p>
        </w:tc>
      </w:tr>
      <w:tr w14:paraId="261A6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063649C8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734" w:type="dxa"/>
            <w:noWrap w:val="0"/>
            <w:vAlign w:val="center"/>
          </w:tcPr>
          <w:p w14:paraId="176059A5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质量保证</w:t>
            </w:r>
          </w:p>
          <w:p w14:paraId="5EDD9FBB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主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7D753253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6830" w:type="dxa"/>
            <w:noWrap w:val="0"/>
            <w:vAlign w:val="center"/>
          </w:tcPr>
          <w:p w14:paraId="6699BC17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根据质保年限综合打分，要求家具质保年限不低于5年，电气类产品质保年限不低于2年。</w:t>
            </w:r>
          </w:p>
        </w:tc>
      </w:tr>
      <w:tr w14:paraId="68F2D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5F4A6CF8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6</w:t>
            </w:r>
          </w:p>
        </w:tc>
        <w:tc>
          <w:tcPr>
            <w:tcW w:w="1734" w:type="dxa"/>
            <w:noWrap w:val="0"/>
            <w:vAlign w:val="center"/>
          </w:tcPr>
          <w:p w14:paraId="6EF3D216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售后服务</w:t>
            </w:r>
          </w:p>
          <w:p w14:paraId="5EA1FA1E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主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439A819A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6830" w:type="dxa"/>
            <w:noWrap w:val="0"/>
            <w:vAlign w:val="center"/>
          </w:tcPr>
          <w:p w14:paraId="424023F2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根据售后服务内容的完整性、售后服务响应时间的及时性、备品备件供货和价格的合理性、服务人员技术力量等情况进行综合评分。其中，当地没有服务机构的扣2分。</w:t>
            </w:r>
          </w:p>
        </w:tc>
      </w:tr>
      <w:tr w14:paraId="2589A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1EC5E65B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7</w:t>
            </w:r>
          </w:p>
        </w:tc>
        <w:tc>
          <w:tcPr>
            <w:tcW w:w="1734" w:type="dxa"/>
            <w:noWrap w:val="0"/>
            <w:vAlign w:val="center"/>
          </w:tcPr>
          <w:p w14:paraId="0BC52343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项目业绩</w:t>
            </w:r>
          </w:p>
          <w:p w14:paraId="2B8604FD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客观分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15A678EE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6830" w:type="dxa"/>
            <w:noWrap w:val="0"/>
            <w:vAlign w:val="center"/>
          </w:tcPr>
          <w:p w14:paraId="77AFFB4B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投标人近三年（2022年8月至今）家具业绩情况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，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需提供合同复印件证明文件并加盖公章，有1项业绩得2分，最多得6分。</w:t>
            </w:r>
          </w:p>
        </w:tc>
      </w:tr>
      <w:tr w14:paraId="356F5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725B382B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8</w:t>
            </w:r>
          </w:p>
        </w:tc>
        <w:tc>
          <w:tcPr>
            <w:tcW w:w="1734" w:type="dxa"/>
            <w:noWrap w:val="0"/>
            <w:vAlign w:val="center"/>
          </w:tcPr>
          <w:p w14:paraId="4172975B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体系认证</w:t>
            </w:r>
          </w:p>
          <w:p w14:paraId="3A2D795E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客观分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7503ACDA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6830" w:type="dxa"/>
            <w:noWrap w:val="0"/>
            <w:vAlign w:val="center"/>
          </w:tcPr>
          <w:p w14:paraId="483BB103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根据认证证书进行评分，包括但不限于：1.十环认证中实木家具、金属家具的认证证书；2、质量管理体系认证、职业健康安全管理体系认证、环境管理体系认证证书；3.中国绿色产品认证证书、售后服务认证证书等。上述证书的认证范围、认证产品等应与本项目相关，且在有效期内。每提供1个得1分，满分7分。</w:t>
            </w:r>
          </w:p>
        </w:tc>
      </w:tr>
      <w:tr w14:paraId="34165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567D73B1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9</w:t>
            </w:r>
          </w:p>
        </w:tc>
        <w:tc>
          <w:tcPr>
            <w:tcW w:w="1734" w:type="dxa"/>
            <w:noWrap w:val="0"/>
            <w:vAlign w:val="center"/>
          </w:tcPr>
          <w:p w14:paraId="005A835B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检测报告</w:t>
            </w:r>
          </w:p>
          <w:p w14:paraId="018BCC72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客观分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56E995A7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6830" w:type="dxa"/>
            <w:noWrap w:val="0"/>
            <w:vAlign w:val="center"/>
          </w:tcPr>
          <w:p w14:paraId="3FB5BBD0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钢柜、喷涂粉末、钢板的原材料检测报告，每提供1个得2分</w:t>
            </w:r>
          </w:p>
        </w:tc>
      </w:tr>
      <w:tr w14:paraId="41697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29" w:type="pct"/>
            <w:noWrap w:val="0"/>
            <w:vAlign w:val="center"/>
          </w:tcPr>
          <w:p w14:paraId="4DF9F0D6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10</w:t>
            </w:r>
          </w:p>
        </w:tc>
        <w:tc>
          <w:tcPr>
            <w:tcW w:w="1734" w:type="dxa"/>
            <w:noWrap w:val="0"/>
            <w:vAlign w:val="center"/>
          </w:tcPr>
          <w:p w14:paraId="35BDF625">
            <w:pPr>
              <w:spacing w:line="360" w:lineRule="auto"/>
              <w:jc w:val="center"/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样品</w:t>
            </w:r>
          </w:p>
          <w:p w14:paraId="503D0BF3">
            <w:pPr>
              <w:spacing w:line="360" w:lineRule="auto"/>
              <w:jc w:val="center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主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观分</w:t>
            </w:r>
            <w:r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  <w:lang w:eastAsia="zh-CN"/>
              </w:rPr>
              <w:t>）</w:t>
            </w:r>
          </w:p>
        </w:tc>
        <w:tc>
          <w:tcPr>
            <w:tcW w:w="713" w:type="dxa"/>
            <w:noWrap w:val="0"/>
            <w:vAlign w:val="center"/>
          </w:tcPr>
          <w:p w14:paraId="38B36750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  <w:t>12</w:t>
            </w:r>
          </w:p>
        </w:tc>
        <w:tc>
          <w:tcPr>
            <w:tcW w:w="6830" w:type="dxa"/>
            <w:noWrap w:val="0"/>
            <w:vAlign w:val="center"/>
          </w:tcPr>
          <w:p w14:paraId="5B141B3E">
            <w:pPr>
              <w:spacing w:line="360" w:lineRule="auto"/>
              <w:jc w:val="both"/>
              <w:rPr>
                <w:rFonts w:hint="default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eastAsia="方正兰亭黑简体" w:cs="Times New Roman"/>
                <w:color w:val="auto"/>
                <w:sz w:val="20"/>
                <w:szCs w:val="20"/>
                <w:highlight w:val="none"/>
              </w:rPr>
              <w:t>根据样品的质量进行综合打分，每个样品3分。样品4个：1.20cm*20cm钢板一块；2.具有榫卯结构‌（夹头榫）的木条；3.电子智能锁具一个；4.锁具配套手环一个</w:t>
            </w:r>
          </w:p>
        </w:tc>
      </w:tr>
    </w:tbl>
    <w:p w14:paraId="07B2BD1D">
      <w:pP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br w:type="page"/>
      </w:r>
    </w:p>
    <w:p w14:paraId="71E5B026">
      <w:pPr>
        <w:jc w:val="center"/>
        <w:rPr>
          <w:rFonts w:hint="default" w:ascii="Times New Roman" w:hAnsi="Times New Roman" w:eastAsia="方正兰亭黑简体" w:cs="Times New Roman"/>
          <w:b/>
          <w:bCs/>
          <w:color w:val="auto"/>
          <w:sz w:val="24"/>
          <w:szCs w:val="32"/>
          <w:highlight w:val="none"/>
          <w:lang w:val="en-US" w:eastAsia="zh-CN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131CF2B7">
      <w:pPr>
        <w:jc w:val="center"/>
        <w:rPr>
          <w:rFonts w:hint="default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4"/>
          <w:szCs w:val="32"/>
          <w:highlight w:val="none"/>
          <w:lang w:val="en-US" w:eastAsia="zh-CN"/>
        </w:rPr>
        <w:t>第四章 格式附件</w:t>
      </w:r>
    </w:p>
    <w:p w14:paraId="6ECBEA23">
      <w:pPr>
        <w:jc w:val="left"/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2"/>
          <w:szCs w:val="28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color w:val="auto"/>
          <w:sz w:val="22"/>
          <w:szCs w:val="28"/>
          <w:highlight w:val="none"/>
          <w:lang w:val="en-US" w:eastAsia="zh-CN"/>
        </w:rPr>
        <w:t>附件1：报价单</w:t>
      </w:r>
    </w:p>
    <w:p w14:paraId="0C7E60D3">
      <w:pPr>
        <w:spacing w:line="440" w:lineRule="exact"/>
        <w:jc w:val="center"/>
        <w:rPr>
          <w:rFonts w:hint="default" w:ascii="宋体" w:hAnsi="宋体" w:eastAsia="宋体"/>
          <w:color w:val="auto"/>
          <w:sz w:val="24"/>
          <w:highlight w:val="none"/>
          <w:lang w:val="en-US" w:eastAsia="zh-CN"/>
        </w:rPr>
      </w:pPr>
      <w:r>
        <w:rPr>
          <w:rFonts w:hint="eastAsia" w:ascii="黑体" w:hAnsi="华文楷体" w:eastAsia="黑体"/>
          <w:b/>
          <w:color w:val="auto"/>
          <w:sz w:val="36"/>
          <w:szCs w:val="36"/>
          <w:highlight w:val="none"/>
        </w:rPr>
        <w:t>报   价   单</w:t>
      </w:r>
    </w:p>
    <w:p w14:paraId="11066115">
      <w:pPr>
        <w:spacing w:line="440" w:lineRule="exact"/>
        <w:jc w:val="left"/>
        <w:rPr>
          <w:rFonts w:hint="default" w:ascii="黑体" w:hAnsi="华文楷体" w:eastAsia="黑体"/>
          <w:color w:val="auto"/>
          <w:sz w:val="24"/>
          <w:highlight w:val="none"/>
          <w:lang w:val="en-US" w:eastAsia="zh-CN"/>
        </w:rPr>
      </w:pPr>
      <w:r>
        <w:rPr>
          <w:rFonts w:hint="eastAsia" w:ascii="黑体" w:hAnsi="华文楷体" w:eastAsia="黑体"/>
          <w:b/>
          <w:color w:val="auto"/>
          <w:sz w:val="24"/>
          <w:highlight w:val="none"/>
        </w:rPr>
        <w:t xml:space="preserve">TO: </w:t>
      </w:r>
      <w:r>
        <w:rPr>
          <w:rFonts w:hint="eastAsia" w:ascii="黑体" w:hAnsi="华文楷体" w:eastAsia="黑体"/>
          <w:color w:val="auto"/>
          <w:sz w:val="24"/>
          <w:highlight w:val="none"/>
        </w:rPr>
        <w:t xml:space="preserve"> 上海海事大学 </w:t>
      </w:r>
      <w:r>
        <w:rPr>
          <w:rFonts w:hint="eastAsia" w:ascii="黑体" w:hAnsi="华文楷体" w:eastAsia="黑体"/>
          <w:color w:val="auto"/>
          <w:sz w:val="24"/>
          <w:highlight w:val="none"/>
          <w:lang w:val="en-US" w:eastAsia="zh-CN"/>
        </w:rPr>
        <w:t>采购与招投标管理中心</w:t>
      </w:r>
      <w:r>
        <w:rPr>
          <w:rFonts w:hint="eastAsia" w:ascii="黑体" w:hAnsi="华文楷体" w:eastAsia="黑体"/>
          <w:b/>
          <w:color w:val="auto"/>
          <w:sz w:val="36"/>
          <w:szCs w:val="36"/>
          <w:highlight w:val="none"/>
        </w:rPr>
        <w:t xml:space="preserve">   </w:t>
      </w:r>
      <w:r>
        <w:rPr>
          <w:rFonts w:hint="eastAsia" w:ascii="黑体" w:hAnsi="华文楷体" w:eastAsia="黑体"/>
          <w:b/>
          <w:color w:val="auto"/>
          <w:sz w:val="36"/>
          <w:szCs w:val="36"/>
          <w:highlight w:val="none"/>
          <w:lang w:val="en-US" w:eastAsia="zh-CN"/>
        </w:rPr>
        <w:t xml:space="preserve">          </w:t>
      </w:r>
      <w:r>
        <w:rPr>
          <w:rFonts w:hint="eastAsia" w:ascii="黑体" w:hAnsi="华文楷体" w:eastAsia="黑体"/>
          <w:color w:val="auto"/>
          <w:sz w:val="24"/>
          <w:highlight w:val="none"/>
          <w:lang w:val="en-US" w:eastAsia="zh-CN"/>
        </w:rPr>
        <w:t>项目编号：HFBX2025073</w:t>
      </w:r>
      <w:r>
        <w:rPr>
          <w:rFonts w:hint="eastAsia" w:ascii="黑体" w:hAnsi="华文楷体" w:eastAsia="黑体"/>
          <w:b/>
          <w:color w:val="auto"/>
          <w:sz w:val="36"/>
          <w:szCs w:val="36"/>
          <w:highlight w:val="none"/>
        </w:rPr>
        <w:t xml:space="preserve">               </w:t>
      </w:r>
      <w:r>
        <w:rPr>
          <w:rFonts w:hint="eastAsia" w:ascii="黑体" w:hAnsi="华文楷体" w:eastAsia="黑体"/>
          <w:b/>
          <w:color w:val="auto"/>
          <w:sz w:val="36"/>
          <w:szCs w:val="36"/>
          <w:highlight w:val="none"/>
          <w:lang w:val="en-US" w:eastAsia="zh-CN"/>
        </w:rPr>
        <w:t xml:space="preserve">                    </w:t>
      </w:r>
    </w:p>
    <w:p w14:paraId="3A9C7214">
      <w:pPr>
        <w:spacing w:line="440" w:lineRule="exact"/>
        <w:rPr>
          <w:rFonts w:hint="eastAsia" w:ascii="方正仿宋_GB2312" w:hAnsi="方正仿宋_GB2312" w:eastAsia="方正仿宋_GB2312" w:cs="方正仿宋_GB2312"/>
          <w:b/>
          <w:color w:val="auto"/>
          <w:sz w:val="24"/>
          <w:highlight w:val="none"/>
        </w:rPr>
      </w:pPr>
      <w:r>
        <w:rPr>
          <w:rFonts w:hint="eastAsia" w:ascii="黑体" w:hAnsi="华文楷体" w:eastAsia="黑体"/>
          <w:b/>
          <w:color w:val="auto"/>
          <w:sz w:val="24"/>
          <w:highlight w:val="none"/>
        </w:rPr>
        <w:t>电子邮箱：</w:t>
      </w:r>
      <w:r>
        <w:rPr>
          <w:rFonts w:ascii="黑体" w:hAnsi="华文楷体" w:eastAsia="黑体"/>
          <w:b/>
          <w:color w:val="auto"/>
          <w:sz w:val="24"/>
          <w:highlight w:val="none"/>
        </w:rPr>
        <w:fldChar w:fldCharType="begin"/>
      </w:r>
      <w:r>
        <w:rPr>
          <w:rFonts w:ascii="黑体" w:hAnsi="华文楷体" w:eastAsia="黑体"/>
          <w:b/>
          <w:color w:val="auto"/>
          <w:sz w:val="24"/>
          <w:highlight w:val="none"/>
        </w:rPr>
        <w:instrText xml:space="preserve"> HYPERLINK "mailto:quotation@shmtu.edu.cn" </w:instrText>
      </w:r>
      <w:r>
        <w:rPr>
          <w:rFonts w:ascii="黑体" w:hAnsi="华文楷体" w:eastAsia="黑体"/>
          <w:b/>
          <w:color w:val="auto"/>
          <w:sz w:val="24"/>
          <w:highlight w:val="none"/>
        </w:rPr>
        <w:fldChar w:fldCharType="separate"/>
      </w:r>
      <w:r>
        <w:rPr>
          <w:rStyle w:val="18"/>
          <w:rFonts w:ascii="黑体" w:hAnsi="华文楷体" w:eastAsia="黑体"/>
          <w:b/>
          <w:color w:val="auto"/>
          <w:sz w:val="24"/>
          <w:highlight w:val="none"/>
        </w:rPr>
        <w:t>quotation@shmtu.edu.cn</w:t>
      </w:r>
      <w:r>
        <w:rPr>
          <w:rFonts w:ascii="黑体" w:hAnsi="华文楷体" w:eastAsia="黑体"/>
          <w:b/>
          <w:color w:val="auto"/>
          <w:sz w:val="24"/>
          <w:highlight w:val="none"/>
        </w:rPr>
        <w:fldChar w:fldCharType="end"/>
      </w:r>
    </w:p>
    <w:p w14:paraId="74517496">
      <w:pPr>
        <w:spacing w:line="440" w:lineRule="exact"/>
        <w:rPr>
          <w:rFonts w:ascii="黑体" w:hAnsi="华文楷体" w:eastAsia="黑体"/>
          <w:b/>
          <w:color w:val="auto"/>
          <w:sz w:val="24"/>
          <w:highlight w:val="none"/>
        </w:rPr>
      </w:pPr>
      <w:r>
        <w:rPr>
          <w:rFonts w:hint="eastAsia" w:ascii="黑体" w:hAnsi="华文楷体" w:eastAsia="黑体"/>
          <w:b/>
          <w:color w:val="auto"/>
          <w:sz w:val="24"/>
          <w:highlight w:val="none"/>
        </w:rPr>
        <w:t>公司名称：</w:t>
      </w:r>
      <w:r>
        <w:rPr>
          <w:rFonts w:hint="eastAsia" w:ascii="黑体" w:hAnsi="华文楷体" w:eastAsia="黑体"/>
          <w:color w:val="auto"/>
          <w:sz w:val="24"/>
          <w:highlight w:val="none"/>
        </w:rPr>
        <w:t xml:space="preserve">                                                </w:t>
      </w:r>
      <w:r>
        <w:rPr>
          <w:rFonts w:hint="eastAsia" w:ascii="黑体" w:hAnsi="华文楷体" w:eastAsia="黑体"/>
          <w:b/>
          <w:color w:val="auto"/>
          <w:sz w:val="24"/>
          <w:highlight w:val="none"/>
        </w:rPr>
        <w:t>联系人：</w:t>
      </w:r>
    </w:p>
    <w:p w14:paraId="20846F63">
      <w:pPr>
        <w:spacing w:line="440" w:lineRule="exact"/>
        <w:rPr>
          <w:rFonts w:ascii="黑体" w:hAnsi="华文楷体" w:eastAsia="黑体"/>
          <w:b/>
          <w:color w:val="auto"/>
          <w:sz w:val="24"/>
          <w:highlight w:val="none"/>
        </w:rPr>
      </w:pPr>
      <w:r>
        <w:rPr>
          <w:rFonts w:hint="eastAsia" w:ascii="黑体" w:hAnsi="华文楷体" w:eastAsia="黑体"/>
          <w:b/>
          <w:color w:val="auto"/>
          <w:sz w:val="24"/>
          <w:highlight w:val="none"/>
        </w:rPr>
        <w:t>电子邮箱：                                                公司地址：</w:t>
      </w:r>
    </w:p>
    <w:p w14:paraId="3C9D736A">
      <w:pPr>
        <w:spacing w:line="440" w:lineRule="exact"/>
        <w:rPr>
          <w:rFonts w:hint="eastAsia" w:ascii="黑体" w:hAnsi="华文楷体" w:eastAsia="黑体"/>
          <w:b/>
          <w:color w:val="auto"/>
          <w:sz w:val="24"/>
          <w:highlight w:val="none"/>
        </w:rPr>
      </w:pPr>
      <w:r>
        <w:rPr>
          <w:rFonts w:hint="eastAsia" w:ascii="黑体" w:hAnsi="华文楷体" w:eastAsia="黑体"/>
          <w:b/>
          <w:color w:val="auto"/>
          <w:sz w:val="24"/>
          <w:highlight w:val="none"/>
        </w:rPr>
        <w:t>电话：                                                    联系人手机：</w:t>
      </w:r>
    </w:p>
    <w:p w14:paraId="759BBB57">
      <w:pPr>
        <w:spacing w:line="440" w:lineRule="exact"/>
        <w:rPr>
          <w:rFonts w:hint="eastAsia" w:ascii="黑体" w:hAnsi="华文楷体" w:eastAsia="黑体"/>
          <w:b/>
          <w:color w:val="auto"/>
          <w:sz w:val="24"/>
          <w:highlight w:val="none"/>
        </w:rPr>
      </w:pPr>
    </w:p>
    <w:tbl>
      <w:tblPr>
        <w:tblStyle w:val="14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2062"/>
        <w:gridCol w:w="971"/>
        <w:gridCol w:w="1463"/>
        <w:gridCol w:w="581"/>
        <w:gridCol w:w="876"/>
        <w:gridCol w:w="876"/>
        <w:gridCol w:w="1230"/>
        <w:gridCol w:w="1397"/>
      </w:tblGrid>
      <w:tr w14:paraId="77474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8" w:type="pct"/>
            <w:tcBorders>
              <w:top w:val="single" w:color="auto" w:sz="12" w:space="0"/>
              <w:left w:val="single" w:color="auto" w:sz="12" w:space="0"/>
              <w:bottom w:val="double" w:color="auto" w:sz="4" w:space="0"/>
            </w:tcBorders>
            <w:noWrap w:val="0"/>
            <w:vAlign w:val="center"/>
          </w:tcPr>
          <w:p w14:paraId="5541B042">
            <w:pPr>
              <w:spacing w:line="440" w:lineRule="exact"/>
              <w:jc w:val="center"/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</w:rPr>
              <w:t>序号</w:t>
            </w:r>
          </w:p>
        </w:tc>
        <w:tc>
          <w:tcPr>
            <w:tcW w:w="1036" w:type="pct"/>
            <w:tcBorders>
              <w:top w:val="single" w:color="auto" w:sz="12" w:space="0"/>
              <w:bottom w:val="double" w:color="auto" w:sz="4" w:space="0"/>
            </w:tcBorders>
            <w:noWrap w:val="0"/>
            <w:vAlign w:val="center"/>
          </w:tcPr>
          <w:p w14:paraId="3C1468BB">
            <w:pPr>
              <w:spacing w:line="440" w:lineRule="exact"/>
              <w:jc w:val="center"/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</w:rPr>
              <w:t>产品名称</w:t>
            </w:r>
          </w:p>
        </w:tc>
        <w:tc>
          <w:tcPr>
            <w:tcW w:w="488" w:type="pct"/>
            <w:tcBorders>
              <w:top w:val="single" w:color="auto" w:sz="12" w:space="0"/>
              <w:bottom w:val="double" w:color="auto" w:sz="4" w:space="0"/>
            </w:tcBorders>
            <w:noWrap w:val="0"/>
            <w:vAlign w:val="center"/>
          </w:tcPr>
          <w:p w14:paraId="36EB7FAC">
            <w:pPr>
              <w:spacing w:line="440" w:lineRule="exact"/>
              <w:jc w:val="center"/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</w:rPr>
              <w:t>品牌</w:t>
            </w:r>
          </w:p>
        </w:tc>
        <w:tc>
          <w:tcPr>
            <w:tcW w:w="733" w:type="pct"/>
            <w:tcBorders>
              <w:top w:val="single" w:color="auto" w:sz="12" w:space="0"/>
              <w:bottom w:val="double" w:color="auto" w:sz="4" w:space="0"/>
            </w:tcBorders>
            <w:noWrap w:val="0"/>
            <w:vAlign w:val="center"/>
          </w:tcPr>
          <w:p w14:paraId="5B34551A">
            <w:pPr>
              <w:spacing w:line="440" w:lineRule="exact"/>
              <w:jc w:val="center"/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</w:rPr>
              <w:t>型号规格</w:t>
            </w:r>
          </w:p>
        </w:tc>
        <w:tc>
          <w:tcPr>
            <w:tcW w:w="292" w:type="pct"/>
            <w:tcBorders>
              <w:top w:val="single" w:color="auto" w:sz="12" w:space="0"/>
              <w:bottom w:val="double" w:color="auto" w:sz="4" w:space="0"/>
            </w:tcBorders>
            <w:noWrap w:val="0"/>
            <w:vAlign w:val="center"/>
          </w:tcPr>
          <w:p w14:paraId="484A50D0">
            <w:pPr>
              <w:spacing w:line="440" w:lineRule="exact"/>
              <w:jc w:val="center"/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</w:rPr>
              <w:t>数量</w:t>
            </w:r>
          </w:p>
        </w:tc>
        <w:tc>
          <w:tcPr>
            <w:tcW w:w="440" w:type="pct"/>
            <w:tcBorders>
              <w:top w:val="single" w:color="auto" w:sz="12" w:space="0"/>
              <w:bottom w:val="double" w:color="auto" w:sz="4" w:space="0"/>
            </w:tcBorders>
            <w:noWrap w:val="0"/>
            <w:vAlign w:val="center"/>
          </w:tcPr>
          <w:p w14:paraId="4B667ED8">
            <w:pPr>
              <w:spacing w:line="440" w:lineRule="exact"/>
              <w:jc w:val="center"/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</w:rPr>
              <w:t>单价</w:t>
            </w:r>
          </w:p>
        </w:tc>
        <w:tc>
          <w:tcPr>
            <w:tcW w:w="440" w:type="pct"/>
            <w:tcBorders>
              <w:top w:val="single" w:color="auto" w:sz="12" w:space="0"/>
              <w:bottom w:val="double" w:color="auto" w:sz="4" w:space="0"/>
            </w:tcBorders>
            <w:noWrap w:val="0"/>
            <w:vAlign w:val="center"/>
          </w:tcPr>
          <w:p w14:paraId="0E55E28D">
            <w:pPr>
              <w:spacing w:line="440" w:lineRule="exact"/>
              <w:jc w:val="center"/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</w:rPr>
              <w:t>金额</w:t>
            </w:r>
          </w:p>
        </w:tc>
        <w:tc>
          <w:tcPr>
            <w:tcW w:w="618" w:type="pct"/>
            <w:tcBorders>
              <w:top w:val="single" w:color="auto" w:sz="12" w:space="0"/>
              <w:bottom w:val="double" w:color="auto" w:sz="4" w:space="0"/>
            </w:tcBorders>
            <w:noWrap w:val="0"/>
            <w:vAlign w:val="center"/>
          </w:tcPr>
          <w:p w14:paraId="6B6E2F07">
            <w:pPr>
              <w:spacing w:line="440" w:lineRule="exact"/>
              <w:jc w:val="center"/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</w:rPr>
              <w:t>质保时间</w:t>
            </w:r>
          </w:p>
        </w:tc>
        <w:tc>
          <w:tcPr>
            <w:tcW w:w="700" w:type="pct"/>
            <w:tcBorders>
              <w:top w:val="single" w:color="auto" w:sz="12" w:space="0"/>
              <w:bottom w:val="double" w:color="auto" w:sz="4" w:space="0"/>
              <w:right w:val="single" w:color="auto" w:sz="12" w:space="0"/>
            </w:tcBorders>
            <w:noWrap w:val="0"/>
            <w:vAlign w:val="center"/>
          </w:tcPr>
          <w:p w14:paraId="17204D38">
            <w:pPr>
              <w:spacing w:line="440" w:lineRule="exact"/>
              <w:jc w:val="center"/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  <w:lang w:eastAsia="zh-CN"/>
              </w:rPr>
            </w:pPr>
            <w:r>
              <w:rPr>
                <w:rFonts w:ascii="黑体" w:hAnsi="华文楷体" w:eastAsia="黑体"/>
                <w:color w:val="auto"/>
                <w:kern w:val="0"/>
                <w:sz w:val="24"/>
                <w:highlight w:val="none"/>
              </w:rPr>
              <w:t>最快供货</w:t>
            </w:r>
            <w:r>
              <w:rPr>
                <w:rFonts w:hint="eastAsia" w:ascii="黑体" w:hAnsi="华文楷体" w:eastAsia="黑体"/>
                <w:color w:val="auto"/>
                <w:kern w:val="0"/>
                <w:sz w:val="24"/>
                <w:highlight w:val="none"/>
                <w:lang w:val="en-US" w:eastAsia="zh-CN"/>
              </w:rPr>
              <w:t>时间</w:t>
            </w:r>
          </w:p>
        </w:tc>
      </w:tr>
      <w:tr w14:paraId="15863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" w:type="pct"/>
            <w:tcBorders>
              <w:top w:val="double" w:color="auto" w:sz="4" w:space="0"/>
              <w:left w:val="single" w:color="auto" w:sz="12" w:space="0"/>
            </w:tcBorders>
            <w:noWrap w:val="0"/>
            <w:vAlign w:val="top"/>
          </w:tcPr>
          <w:p w14:paraId="3CB2B66D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方正仿宋_GB2312" w:hAnsi="华文楷体" w:eastAsia="方正仿宋_GB2312"/>
                <w:color w:val="auto"/>
                <w:kern w:val="0"/>
                <w:sz w:val="24"/>
                <w:highlight w:val="none"/>
              </w:rPr>
              <w:t>1</w:t>
            </w:r>
          </w:p>
        </w:tc>
        <w:tc>
          <w:tcPr>
            <w:tcW w:w="1036" w:type="pct"/>
            <w:tcBorders>
              <w:top w:val="double" w:color="auto" w:sz="4" w:space="0"/>
            </w:tcBorders>
            <w:noWrap w:val="0"/>
            <w:vAlign w:val="center"/>
          </w:tcPr>
          <w:p w14:paraId="5A450ACF">
            <w:pPr>
              <w:ind w:left="-63" w:leftChars="-30" w:right="-63" w:rightChars="-30"/>
              <w:jc w:val="center"/>
              <w:rPr>
                <w:rFonts w:hint="eastAsia" w:ascii="宋体" w:hAnsi="宋体" w:cs="宋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88" w:type="pct"/>
            <w:tcBorders>
              <w:top w:val="double" w:color="auto" w:sz="4" w:space="0"/>
            </w:tcBorders>
            <w:noWrap w:val="0"/>
            <w:vAlign w:val="top"/>
          </w:tcPr>
          <w:p w14:paraId="10FB3544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33" w:type="pct"/>
            <w:tcBorders>
              <w:top w:val="double" w:color="auto" w:sz="4" w:space="0"/>
            </w:tcBorders>
            <w:noWrap w:val="0"/>
            <w:vAlign w:val="top"/>
          </w:tcPr>
          <w:p w14:paraId="7E74F3B5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292" w:type="pct"/>
            <w:tcBorders>
              <w:top w:val="double" w:color="auto" w:sz="4" w:space="0"/>
            </w:tcBorders>
            <w:noWrap w:val="0"/>
            <w:vAlign w:val="top"/>
          </w:tcPr>
          <w:p w14:paraId="6A198DF7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tcBorders>
              <w:top w:val="double" w:color="auto" w:sz="4" w:space="0"/>
            </w:tcBorders>
            <w:noWrap w:val="0"/>
            <w:vAlign w:val="top"/>
          </w:tcPr>
          <w:p w14:paraId="7B632699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tcBorders>
              <w:top w:val="double" w:color="auto" w:sz="4" w:space="0"/>
            </w:tcBorders>
            <w:noWrap w:val="0"/>
            <w:vAlign w:val="top"/>
          </w:tcPr>
          <w:p w14:paraId="48B38EAF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618" w:type="pct"/>
            <w:tcBorders>
              <w:top w:val="double" w:color="auto" w:sz="4" w:space="0"/>
            </w:tcBorders>
            <w:noWrap w:val="0"/>
            <w:vAlign w:val="top"/>
          </w:tcPr>
          <w:p w14:paraId="13D9A1B8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00" w:type="pct"/>
            <w:tcBorders>
              <w:top w:val="double" w:color="auto" w:sz="4" w:space="0"/>
              <w:right w:val="single" w:color="auto" w:sz="12" w:space="0"/>
            </w:tcBorders>
            <w:noWrap w:val="0"/>
            <w:vAlign w:val="top"/>
          </w:tcPr>
          <w:p w14:paraId="39DA0BC7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</w:tr>
      <w:tr w14:paraId="61307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" w:type="pct"/>
            <w:tcBorders>
              <w:left w:val="single" w:color="auto" w:sz="12" w:space="0"/>
            </w:tcBorders>
            <w:noWrap w:val="0"/>
            <w:vAlign w:val="top"/>
          </w:tcPr>
          <w:p w14:paraId="2A933285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方正仿宋_GB2312" w:hAnsi="华文楷体" w:eastAsia="方正仿宋_GB2312"/>
                <w:color w:val="auto"/>
                <w:kern w:val="0"/>
                <w:sz w:val="24"/>
                <w:highlight w:val="none"/>
              </w:rPr>
              <w:t>2</w:t>
            </w:r>
          </w:p>
        </w:tc>
        <w:tc>
          <w:tcPr>
            <w:tcW w:w="1036" w:type="pct"/>
            <w:noWrap w:val="0"/>
            <w:vAlign w:val="center"/>
          </w:tcPr>
          <w:p w14:paraId="35E4E368">
            <w:pPr>
              <w:ind w:left="-63" w:leftChars="-30" w:right="-63" w:rightChars="-30"/>
              <w:jc w:val="center"/>
              <w:rPr>
                <w:rFonts w:hint="eastAsia" w:ascii="宋体" w:hAnsi="宋体" w:cs="宋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88" w:type="pct"/>
            <w:noWrap w:val="0"/>
            <w:vAlign w:val="top"/>
          </w:tcPr>
          <w:p w14:paraId="73BE48B7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33" w:type="pct"/>
            <w:noWrap w:val="0"/>
            <w:vAlign w:val="top"/>
          </w:tcPr>
          <w:p w14:paraId="29C467DA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292" w:type="pct"/>
            <w:noWrap w:val="0"/>
            <w:vAlign w:val="top"/>
          </w:tcPr>
          <w:p w14:paraId="7B769445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noWrap w:val="0"/>
            <w:vAlign w:val="top"/>
          </w:tcPr>
          <w:p w14:paraId="2968DBBC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noWrap w:val="0"/>
            <w:vAlign w:val="top"/>
          </w:tcPr>
          <w:p w14:paraId="1FF02C53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618" w:type="pct"/>
            <w:noWrap w:val="0"/>
            <w:vAlign w:val="top"/>
          </w:tcPr>
          <w:p w14:paraId="331493B8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00" w:type="pct"/>
            <w:tcBorders>
              <w:right w:val="single" w:color="auto" w:sz="12" w:space="0"/>
            </w:tcBorders>
            <w:noWrap w:val="0"/>
            <w:vAlign w:val="top"/>
          </w:tcPr>
          <w:p w14:paraId="3325DF62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</w:tr>
      <w:tr w14:paraId="54580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" w:type="pct"/>
            <w:tcBorders>
              <w:left w:val="single" w:color="auto" w:sz="12" w:space="0"/>
              <w:bottom w:val="single" w:color="auto" w:sz="4" w:space="0"/>
            </w:tcBorders>
            <w:noWrap w:val="0"/>
            <w:vAlign w:val="top"/>
          </w:tcPr>
          <w:p w14:paraId="5A421155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方正仿宋_GB2312" w:hAnsi="华文楷体" w:eastAsia="方正仿宋_GB2312"/>
                <w:color w:val="auto"/>
                <w:kern w:val="0"/>
                <w:sz w:val="24"/>
                <w:highlight w:val="none"/>
              </w:rPr>
              <w:t>3</w:t>
            </w:r>
          </w:p>
        </w:tc>
        <w:tc>
          <w:tcPr>
            <w:tcW w:w="1036" w:type="pct"/>
            <w:tcBorders>
              <w:bottom w:val="single" w:color="auto" w:sz="4" w:space="0"/>
            </w:tcBorders>
            <w:noWrap w:val="0"/>
            <w:vAlign w:val="center"/>
          </w:tcPr>
          <w:p w14:paraId="789A7030">
            <w:pPr>
              <w:ind w:left="-42" w:leftChars="-20" w:right="-42" w:rightChars="-20"/>
              <w:jc w:val="center"/>
              <w:rPr>
                <w:rFonts w:hint="eastAsia" w:ascii="宋体" w:hAnsi="宋体" w:cs="宋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88" w:type="pct"/>
            <w:tcBorders>
              <w:bottom w:val="single" w:color="auto" w:sz="4" w:space="0"/>
            </w:tcBorders>
            <w:noWrap w:val="0"/>
            <w:vAlign w:val="top"/>
          </w:tcPr>
          <w:p w14:paraId="6E8A59FF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33" w:type="pct"/>
            <w:tcBorders>
              <w:bottom w:val="single" w:color="auto" w:sz="4" w:space="0"/>
            </w:tcBorders>
            <w:noWrap w:val="0"/>
            <w:vAlign w:val="top"/>
          </w:tcPr>
          <w:p w14:paraId="47CC3762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292" w:type="pct"/>
            <w:tcBorders>
              <w:bottom w:val="single" w:color="auto" w:sz="4" w:space="0"/>
            </w:tcBorders>
            <w:noWrap w:val="0"/>
            <w:vAlign w:val="top"/>
          </w:tcPr>
          <w:p w14:paraId="115094B5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tcBorders>
              <w:bottom w:val="single" w:color="auto" w:sz="4" w:space="0"/>
            </w:tcBorders>
            <w:noWrap w:val="0"/>
            <w:vAlign w:val="top"/>
          </w:tcPr>
          <w:p w14:paraId="3F54D951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tcBorders>
              <w:bottom w:val="single" w:color="auto" w:sz="4" w:space="0"/>
            </w:tcBorders>
            <w:noWrap w:val="0"/>
            <w:vAlign w:val="top"/>
          </w:tcPr>
          <w:p w14:paraId="3CC4A6E6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618" w:type="pct"/>
            <w:tcBorders>
              <w:bottom w:val="single" w:color="auto" w:sz="4" w:space="0"/>
            </w:tcBorders>
            <w:noWrap w:val="0"/>
            <w:vAlign w:val="top"/>
          </w:tcPr>
          <w:p w14:paraId="1C0D8669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00" w:type="pct"/>
            <w:tcBorders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 w14:paraId="16D0A975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</w:tr>
      <w:tr w14:paraId="7E852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" w:type="pct"/>
            <w:tcBorders>
              <w:left w:val="single" w:color="auto" w:sz="12" w:space="0"/>
              <w:bottom w:val="single" w:color="auto" w:sz="4" w:space="0"/>
            </w:tcBorders>
            <w:noWrap w:val="0"/>
            <w:vAlign w:val="top"/>
          </w:tcPr>
          <w:p w14:paraId="76EBB26D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方正仿宋_GB2312" w:hAnsi="华文楷体" w:eastAsia="方正仿宋_GB2312"/>
                <w:color w:val="auto"/>
                <w:kern w:val="0"/>
                <w:sz w:val="24"/>
                <w:highlight w:val="none"/>
              </w:rPr>
              <w:t>4</w:t>
            </w:r>
          </w:p>
        </w:tc>
        <w:tc>
          <w:tcPr>
            <w:tcW w:w="1036" w:type="pct"/>
            <w:tcBorders>
              <w:bottom w:val="single" w:color="auto" w:sz="4" w:space="0"/>
            </w:tcBorders>
            <w:noWrap w:val="0"/>
            <w:vAlign w:val="top"/>
          </w:tcPr>
          <w:p w14:paraId="3F36539A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88" w:type="pct"/>
            <w:tcBorders>
              <w:bottom w:val="single" w:color="auto" w:sz="4" w:space="0"/>
            </w:tcBorders>
            <w:noWrap w:val="0"/>
            <w:vAlign w:val="top"/>
          </w:tcPr>
          <w:p w14:paraId="5BB329CF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33" w:type="pct"/>
            <w:tcBorders>
              <w:bottom w:val="single" w:color="auto" w:sz="4" w:space="0"/>
            </w:tcBorders>
            <w:noWrap w:val="0"/>
            <w:vAlign w:val="top"/>
          </w:tcPr>
          <w:p w14:paraId="6713AA73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292" w:type="pct"/>
            <w:tcBorders>
              <w:bottom w:val="single" w:color="auto" w:sz="4" w:space="0"/>
            </w:tcBorders>
            <w:noWrap w:val="0"/>
            <w:vAlign w:val="top"/>
          </w:tcPr>
          <w:p w14:paraId="429FAD43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tcBorders>
              <w:bottom w:val="single" w:color="auto" w:sz="4" w:space="0"/>
            </w:tcBorders>
            <w:noWrap w:val="0"/>
            <w:vAlign w:val="top"/>
          </w:tcPr>
          <w:p w14:paraId="6837D76A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tcBorders>
              <w:bottom w:val="single" w:color="auto" w:sz="4" w:space="0"/>
            </w:tcBorders>
            <w:noWrap w:val="0"/>
            <w:vAlign w:val="top"/>
          </w:tcPr>
          <w:p w14:paraId="3C0065E9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618" w:type="pct"/>
            <w:tcBorders>
              <w:bottom w:val="single" w:color="auto" w:sz="4" w:space="0"/>
            </w:tcBorders>
            <w:noWrap w:val="0"/>
            <w:vAlign w:val="top"/>
          </w:tcPr>
          <w:p w14:paraId="610FFCD5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00" w:type="pct"/>
            <w:tcBorders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 w14:paraId="27E34DB9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</w:tr>
      <w:tr w14:paraId="38A51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" w:type="pct"/>
            <w:tcBorders>
              <w:left w:val="single" w:color="auto" w:sz="12" w:space="0"/>
              <w:bottom w:val="single" w:color="auto" w:sz="4" w:space="0"/>
            </w:tcBorders>
            <w:noWrap w:val="0"/>
            <w:vAlign w:val="top"/>
          </w:tcPr>
          <w:p w14:paraId="67445300">
            <w:pPr>
              <w:spacing w:line="440" w:lineRule="exact"/>
              <w:jc w:val="center"/>
              <w:rPr>
                <w:rFonts w:hint="eastAsia"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方正仿宋_GB2312" w:hAnsi="华文楷体" w:eastAsia="方正仿宋_GB2312"/>
                <w:color w:val="auto"/>
                <w:kern w:val="0"/>
                <w:sz w:val="24"/>
                <w:highlight w:val="none"/>
              </w:rPr>
              <w:t>5</w:t>
            </w:r>
          </w:p>
        </w:tc>
        <w:tc>
          <w:tcPr>
            <w:tcW w:w="1036" w:type="pct"/>
            <w:tcBorders>
              <w:bottom w:val="single" w:color="auto" w:sz="4" w:space="0"/>
            </w:tcBorders>
            <w:noWrap w:val="0"/>
            <w:vAlign w:val="top"/>
          </w:tcPr>
          <w:p w14:paraId="20FAB432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88" w:type="pct"/>
            <w:tcBorders>
              <w:bottom w:val="single" w:color="auto" w:sz="4" w:space="0"/>
            </w:tcBorders>
            <w:noWrap w:val="0"/>
            <w:vAlign w:val="top"/>
          </w:tcPr>
          <w:p w14:paraId="10D65E6C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33" w:type="pct"/>
            <w:tcBorders>
              <w:bottom w:val="single" w:color="auto" w:sz="4" w:space="0"/>
            </w:tcBorders>
            <w:noWrap w:val="0"/>
            <w:vAlign w:val="top"/>
          </w:tcPr>
          <w:p w14:paraId="4EEF21A6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292" w:type="pct"/>
            <w:tcBorders>
              <w:bottom w:val="single" w:color="auto" w:sz="4" w:space="0"/>
            </w:tcBorders>
            <w:noWrap w:val="0"/>
            <w:vAlign w:val="top"/>
          </w:tcPr>
          <w:p w14:paraId="15E75A34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tcBorders>
              <w:bottom w:val="single" w:color="auto" w:sz="4" w:space="0"/>
            </w:tcBorders>
            <w:noWrap w:val="0"/>
            <w:vAlign w:val="top"/>
          </w:tcPr>
          <w:p w14:paraId="61AA1C7A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440" w:type="pct"/>
            <w:tcBorders>
              <w:bottom w:val="single" w:color="auto" w:sz="4" w:space="0"/>
            </w:tcBorders>
            <w:noWrap w:val="0"/>
            <w:vAlign w:val="top"/>
          </w:tcPr>
          <w:p w14:paraId="788CF915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618" w:type="pct"/>
            <w:tcBorders>
              <w:bottom w:val="single" w:color="auto" w:sz="4" w:space="0"/>
            </w:tcBorders>
            <w:noWrap w:val="0"/>
            <w:vAlign w:val="top"/>
          </w:tcPr>
          <w:p w14:paraId="10730ABB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700" w:type="pct"/>
            <w:tcBorders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 w14:paraId="5A9C051A">
            <w:pPr>
              <w:spacing w:line="440" w:lineRule="exact"/>
              <w:jc w:val="center"/>
              <w:rPr>
                <w:rFonts w:ascii="方正仿宋_GB2312" w:hAnsi="华文楷体" w:eastAsia="方正仿宋_GB2312"/>
                <w:color w:val="auto"/>
                <w:kern w:val="0"/>
                <w:sz w:val="24"/>
                <w:highlight w:val="none"/>
              </w:rPr>
            </w:pPr>
          </w:p>
        </w:tc>
      </w:tr>
      <w:tr w14:paraId="7D581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7" w:type="pct"/>
            <w:gridSpan w:val="4"/>
            <w:tcBorders>
              <w:top w:val="double" w:color="auto" w:sz="4" w:space="0"/>
              <w:left w:val="single" w:color="auto" w:sz="12" w:space="0"/>
              <w:bottom w:val="single" w:color="auto" w:sz="12" w:space="0"/>
            </w:tcBorders>
            <w:noWrap w:val="0"/>
            <w:vAlign w:val="top"/>
          </w:tcPr>
          <w:p w14:paraId="3E257367">
            <w:pPr>
              <w:spacing w:line="440" w:lineRule="exact"/>
              <w:jc w:val="center"/>
              <w:rPr>
                <w:rFonts w:hint="eastAsia" w:ascii="黑体" w:hAnsi="华文楷体" w:eastAsia="黑体" w:cs="Times New Roman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 w:cs="Times New Roman"/>
                <w:color w:val="auto"/>
                <w:kern w:val="0"/>
                <w:sz w:val="24"/>
                <w:highlight w:val="none"/>
              </w:rPr>
              <w:t>合计金额（人民币）</w:t>
            </w:r>
          </w:p>
        </w:tc>
        <w:tc>
          <w:tcPr>
            <w:tcW w:w="2492" w:type="pct"/>
            <w:gridSpan w:val="5"/>
            <w:tcBorders>
              <w:top w:val="doub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 w14:paraId="037EB3BD">
            <w:pPr>
              <w:spacing w:line="440" w:lineRule="exact"/>
              <w:jc w:val="center"/>
              <w:rPr>
                <w:rFonts w:hint="eastAsia" w:ascii="黑体" w:hAnsi="华文楷体" w:eastAsia="黑体" w:cs="Times New Roman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黑体" w:hAnsi="华文楷体" w:eastAsia="黑体" w:cs="Times New Roman"/>
                <w:color w:val="auto"/>
                <w:kern w:val="0"/>
                <w:sz w:val="24"/>
                <w:highlight w:val="none"/>
              </w:rPr>
              <w:t xml:space="preserve">￥           （大写）：                               </w:t>
            </w:r>
          </w:p>
        </w:tc>
      </w:tr>
    </w:tbl>
    <w:p w14:paraId="51E8C718">
      <w:pPr>
        <w:spacing w:line="440" w:lineRule="exact"/>
        <w:rPr>
          <w:rFonts w:hint="eastAsia" w:ascii="黑体" w:hAnsi="华文楷体" w:eastAsia="黑体"/>
          <w:b/>
          <w:color w:val="auto"/>
          <w:sz w:val="24"/>
          <w:highlight w:val="none"/>
        </w:rPr>
      </w:pPr>
    </w:p>
    <w:p w14:paraId="089FA5A2">
      <w:pPr>
        <w:spacing w:line="440" w:lineRule="exact"/>
        <w:rPr>
          <w:rFonts w:hint="eastAsia" w:ascii="黑体" w:hAnsi="华文楷体" w:eastAsia="黑体"/>
          <w:b/>
          <w:color w:val="auto"/>
          <w:sz w:val="24"/>
          <w:highlight w:val="none"/>
        </w:rPr>
      </w:pPr>
    </w:p>
    <w:p w14:paraId="594C7F05">
      <w:pPr>
        <w:pStyle w:val="13"/>
        <w:ind w:left="0" w:leftChars="0" w:firstLine="0" w:firstLineChars="0"/>
        <w:rPr>
          <w:rFonts w:hint="eastAsia"/>
          <w:color w:val="auto"/>
          <w:highlight w:val="none"/>
        </w:rPr>
      </w:pPr>
    </w:p>
    <w:p w14:paraId="3FB91ECC">
      <w:pPr>
        <w:spacing w:line="440" w:lineRule="exact"/>
        <w:rPr>
          <w:rFonts w:ascii="黑体" w:hAnsi="华文楷体" w:eastAsia="黑体"/>
          <w:color w:val="auto"/>
          <w:sz w:val="24"/>
          <w:highlight w:val="none"/>
        </w:rPr>
      </w:pPr>
      <w:r>
        <w:rPr>
          <w:rFonts w:hint="eastAsia" w:ascii="黑体" w:hAnsi="华文楷体" w:eastAsia="黑体"/>
          <w:color w:val="auto"/>
          <w:sz w:val="24"/>
          <w:highlight w:val="none"/>
        </w:rPr>
        <w:t>公司名称（盖章）：          委托代理人（签字）：        报价日期：      年    月   日</w:t>
      </w:r>
    </w:p>
    <w:p w14:paraId="02170FC2">
      <w:pPr>
        <w:rPr>
          <w:rFonts w:hint="eastAsia" w:ascii="黑体" w:hAnsi="华文楷体" w:eastAsia="黑体"/>
          <w:color w:val="auto"/>
          <w:szCs w:val="21"/>
          <w:highlight w:val="none"/>
        </w:rPr>
      </w:pPr>
    </w:p>
    <w:p w14:paraId="2145FEC5">
      <w:pPr>
        <w:rPr>
          <w:rFonts w:ascii="黑体" w:hAnsi="华文楷体" w:eastAsia="黑体"/>
          <w:color w:val="auto"/>
          <w:szCs w:val="21"/>
          <w:highlight w:val="none"/>
        </w:rPr>
      </w:pPr>
      <w:r>
        <w:rPr>
          <w:rFonts w:hint="eastAsia" w:ascii="黑体" w:hAnsi="华文楷体" w:eastAsia="黑体"/>
          <w:color w:val="auto"/>
          <w:szCs w:val="21"/>
          <w:highlight w:val="none"/>
        </w:rPr>
        <w:t>报价说明：1、报价公司提供的上述产品，应完全满足或者优于我校提出的需求。</w:t>
      </w:r>
    </w:p>
    <w:p w14:paraId="23A3B727">
      <w:pPr>
        <w:rPr>
          <w:rFonts w:ascii="黑体" w:hAnsi="华文楷体" w:eastAsia="黑体"/>
          <w:color w:val="auto"/>
          <w:szCs w:val="21"/>
          <w:highlight w:val="none"/>
        </w:rPr>
      </w:pPr>
      <w:r>
        <w:rPr>
          <w:rFonts w:hint="eastAsia" w:ascii="黑体" w:hAnsi="华文楷体" w:eastAsia="黑体"/>
          <w:color w:val="auto"/>
          <w:szCs w:val="21"/>
          <w:highlight w:val="none"/>
        </w:rPr>
        <w:t xml:space="preserve">          2、如属非标配产品，其技术指标（特别是优于我校需求的部分）请另行附页说明。</w:t>
      </w:r>
    </w:p>
    <w:p w14:paraId="168A93C8">
      <w:pPr>
        <w:rPr>
          <w:rFonts w:ascii="黑体" w:hAnsi="华文楷体" w:eastAsia="黑体"/>
          <w:color w:val="auto"/>
          <w:szCs w:val="21"/>
          <w:highlight w:val="none"/>
        </w:rPr>
      </w:pPr>
      <w:r>
        <w:rPr>
          <w:rFonts w:hint="eastAsia" w:ascii="黑体" w:hAnsi="华文楷体" w:eastAsia="黑体"/>
          <w:color w:val="auto"/>
          <w:szCs w:val="21"/>
          <w:highlight w:val="none"/>
        </w:rPr>
        <w:t xml:space="preserve">          3、特殊的售后服务措施、代理证明情况等需要说明的，请另行附页说明。</w:t>
      </w:r>
    </w:p>
    <w:p w14:paraId="79A3C77A">
      <w:pPr>
        <w:rPr>
          <w:rFonts w:hint="eastAsia" w:ascii="黑体" w:hAnsi="华文楷体" w:eastAsia="黑体"/>
          <w:color w:val="auto"/>
          <w:szCs w:val="21"/>
          <w:highlight w:val="none"/>
        </w:rPr>
      </w:pPr>
      <w:r>
        <w:rPr>
          <w:rFonts w:hint="eastAsia" w:ascii="黑体" w:hAnsi="华文楷体" w:eastAsia="黑体"/>
          <w:color w:val="auto"/>
          <w:szCs w:val="21"/>
          <w:highlight w:val="none"/>
        </w:rPr>
        <w:t xml:space="preserve">          4、报价单附页（如有）共</w:t>
      </w:r>
      <w:r>
        <w:rPr>
          <w:rFonts w:hint="eastAsia" w:ascii="黑体" w:hAnsi="华文楷体" w:eastAsia="黑体"/>
          <w:color w:val="auto"/>
          <w:szCs w:val="21"/>
          <w:highlight w:val="none"/>
          <w:u w:val="single"/>
        </w:rPr>
        <w:t xml:space="preserve">      </w:t>
      </w:r>
      <w:r>
        <w:rPr>
          <w:rFonts w:hint="eastAsia" w:ascii="黑体" w:hAnsi="华文楷体" w:eastAsia="黑体"/>
          <w:color w:val="auto"/>
          <w:szCs w:val="21"/>
          <w:highlight w:val="none"/>
        </w:rPr>
        <w:t>页。</w:t>
      </w:r>
    </w:p>
    <w:p w14:paraId="4403A77C">
      <w:pPr>
        <w:rPr>
          <w:rFonts w:hint="default" w:ascii="Times New Roman" w:hAnsi="Times New Roman" w:eastAsia="方正兰亭黑简体" w:cs="Times New Roman"/>
          <w:b/>
          <w:bCs/>
          <w:color w:val="auto"/>
          <w:kern w:val="0"/>
          <w:sz w:val="36"/>
          <w:szCs w:val="36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kern w:val="0"/>
          <w:sz w:val="36"/>
          <w:szCs w:val="36"/>
          <w:highlight w:val="none"/>
          <w:lang w:val="en-US" w:eastAsia="zh-CN"/>
        </w:rPr>
        <w:br w:type="page"/>
      </w:r>
    </w:p>
    <w:p w14:paraId="52BC3493">
      <w:pPr>
        <w:spacing w:after="120" w:afterLines="50" w:line="240" w:lineRule="auto"/>
        <w:ind w:left="0" w:leftChars="0" w:firstLine="0" w:firstLineChars="0"/>
        <w:jc w:val="center"/>
        <w:rPr>
          <w:rFonts w:ascii="仿宋" w:hAnsi="仿宋" w:eastAsia="仿宋"/>
          <w:b/>
          <w:bCs/>
          <w:color w:val="auto"/>
          <w:kern w:val="0"/>
          <w:sz w:val="36"/>
          <w:szCs w:val="36"/>
          <w:highlight w:val="none"/>
        </w:rPr>
      </w:pPr>
      <w:r>
        <w:rPr>
          <w:rFonts w:hint="eastAsia" w:ascii="仿宋" w:hAnsi="仿宋" w:eastAsia="仿宋"/>
          <w:b/>
          <w:bCs/>
          <w:color w:val="auto"/>
          <w:kern w:val="0"/>
          <w:sz w:val="36"/>
          <w:szCs w:val="36"/>
          <w:highlight w:val="none"/>
          <w:lang w:val="en-US" w:eastAsia="zh-CN"/>
        </w:rPr>
        <w:t>报价</w:t>
      </w:r>
      <w:r>
        <w:rPr>
          <w:rFonts w:hint="eastAsia" w:ascii="仿宋" w:hAnsi="仿宋" w:eastAsia="仿宋"/>
          <w:b/>
          <w:bCs/>
          <w:color w:val="auto"/>
          <w:kern w:val="0"/>
          <w:sz w:val="36"/>
          <w:szCs w:val="36"/>
          <w:highlight w:val="none"/>
        </w:rPr>
        <w:t>承诺函</w:t>
      </w:r>
    </w:p>
    <w:p w14:paraId="30BD6A0F">
      <w:pPr>
        <w:spacing w:after="120" w:afterLines="50" w:line="240" w:lineRule="auto"/>
        <w:rPr>
          <w:rFonts w:hint="default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/>
        </w:rPr>
        <w:t>致：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上海海事大学教育发展基金会</w:t>
      </w:r>
    </w:p>
    <w:p w14:paraId="79FAE468">
      <w:pPr>
        <w:spacing w:after="120" w:afterLines="50" w:line="240" w:lineRule="auto"/>
        <w:ind w:left="0" w:leftChars="0" w:firstLine="480" w:firstLineChars="200"/>
        <w:rPr>
          <w:rFonts w:ascii="仿宋" w:hAnsi="仿宋" w:eastAsia="仿宋" w:cs="宋体"/>
          <w:color w:val="auto"/>
          <w:sz w:val="24"/>
          <w:szCs w:val="24"/>
          <w:highlight w:val="none"/>
          <w:lang w:val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/>
        </w:rPr>
        <w:t>我</w:t>
      </w:r>
      <w:r>
        <w:rPr>
          <w:rFonts w:ascii="仿宋" w:hAnsi="仿宋" w:eastAsia="仿宋" w:cs="宋体"/>
          <w:color w:val="auto"/>
          <w:sz w:val="24"/>
          <w:szCs w:val="24"/>
          <w:highlight w:val="none"/>
          <w:lang w:val="zh-CN"/>
        </w:rPr>
        <w:t>公司在参加本次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比选采购</w:t>
      </w:r>
      <w:r>
        <w:rPr>
          <w:rFonts w:ascii="仿宋" w:hAnsi="仿宋" w:eastAsia="仿宋" w:cs="宋体"/>
          <w:color w:val="auto"/>
          <w:sz w:val="24"/>
          <w:szCs w:val="24"/>
          <w:highlight w:val="none"/>
          <w:lang w:val="zh-CN"/>
        </w:rPr>
        <w:t>活动中，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/>
        </w:rPr>
        <w:t>作出如下</w:t>
      </w:r>
      <w:r>
        <w:rPr>
          <w:rFonts w:ascii="仿宋" w:hAnsi="仿宋" w:eastAsia="仿宋" w:cs="宋体"/>
          <w:color w:val="auto"/>
          <w:sz w:val="24"/>
          <w:szCs w:val="24"/>
          <w:highlight w:val="none"/>
          <w:lang w:val="zh-CN"/>
        </w:rPr>
        <w:t>承诺：</w:t>
      </w:r>
    </w:p>
    <w:p w14:paraId="77572DB3">
      <w:pPr>
        <w:spacing w:after="120" w:afterLines="50" w:line="240" w:lineRule="auto"/>
        <w:ind w:left="0" w:leftChars="0" w:firstLine="480" w:firstLineChars="200"/>
        <w:rPr>
          <w:rFonts w:hint="default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一、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/>
        </w:rPr>
        <w:t>公司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具备独立法人资格，能够独立承担民事责任。</w:t>
      </w:r>
    </w:p>
    <w:p w14:paraId="04AA6CFC">
      <w:pPr>
        <w:spacing w:after="120" w:afterLines="50" w:line="240" w:lineRule="auto"/>
        <w:ind w:left="0" w:leftChars="0" w:firstLine="480" w:firstLineChars="200"/>
        <w:rPr>
          <w:rFonts w:hint="default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二、我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/>
        </w:rPr>
        <w:t>公司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财务状况良好，具备履行合同所需资金实力。</w:t>
      </w:r>
    </w:p>
    <w:p w14:paraId="67EFF31C">
      <w:pPr>
        <w:spacing w:after="120" w:afterLines="50" w:line="240" w:lineRule="auto"/>
        <w:ind w:left="0" w:leftChars="0" w:firstLine="480" w:firstLineChars="200"/>
        <w:rPr>
          <w:rFonts w:hint="default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三、我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公司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拥有履行项目所需的专业技术人员和先进的生产设备。</w:t>
      </w:r>
    </w:p>
    <w:p w14:paraId="7B96FC78">
      <w:pPr>
        <w:spacing w:after="120" w:afterLines="50" w:line="240" w:lineRule="auto"/>
        <w:ind w:left="0" w:leftChars="0" w:firstLine="480" w:firstLineChars="200"/>
        <w:rPr>
          <w:rFonts w:hint="default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四、我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公司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依法纳税，并按时缴纳社会保险费。</w:t>
      </w:r>
    </w:p>
    <w:p w14:paraId="56BE1398">
      <w:pPr>
        <w:spacing w:after="120" w:afterLines="50" w:line="240" w:lineRule="auto"/>
        <w:ind w:left="0" w:leftChars="0" w:firstLine="480" w:firstLineChars="200"/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五、我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公司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在最近三年内无任何违法违规行为，信誉良好。</w:t>
      </w:r>
    </w:p>
    <w:p w14:paraId="1D29F1A4">
      <w:pPr>
        <w:spacing w:after="120" w:afterLines="50" w:line="240" w:lineRule="auto"/>
        <w:ind w:left="0" w:leftChars="0" w:firstLine="480" w:firstLineChars="200"/>
        <w:rPr>
          <w:rFonts w:hint="default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六、我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公司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完全符合政府采购法及其他相关法律法规的规定。</w:t>
      </w:r>
    </w:p>
    <w:p w14:paraId="45ECE400">
      <w:pPr>
        <w:spacing w:after="120" w:afterLines="50" w:line="240" w:lineRule="auto"/>
        <w:ind w:left="0" w:leftChars="0" w:firstLine="480" w:firstLineChars="200"/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七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、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公司提供的相关文件均真实、有效。</w:t>
      </w:r>
    </w:p>
    <w:p w14:paraId="6466E917">
      <w:pPr>
        <w:spacing w:after="120" w:afterLines="50" w:line="240" w:lineRule="auto"/>
        <w:ind w:left="0" w:leftChars="0" w:firstLine="480" w:firstLineChars="200"/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八、我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公司未挂靠、借用资质进行投标等违法违规行为。</w:t>
      </w:r>
    </w:p>
    <w:p w14:paraId="231C6445">
      <w:pPr>
        <w:spacing w:after="120" w:afterLines="50" w:line="240" w:lineRule="auto"/>
        <w:ind w:left="0" w:leftChars="0" w:firstLine="480" w:firstLineChars="200"/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九、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我公司承诺在参加本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次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采购活动中，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不存在串标围标行为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，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不存在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损害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校方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或者其他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报价单位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利益的行为。</w:t>
      </w:r>
    </w:p>
    <w:p w14:paraId="4245BBF7">
      <w:pPr>
        <w:spacing w:after="120" w:afterLines="50" w:line="240" w:lineRule="auto"/>
        <w:ind w:left="0" w:leftChars="0" w:firstLine="480" w:firstLineChars="200"/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十、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我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公司管理层中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没有从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贵校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离职或退休3年以内的人员担任控股股东或实际控股人、董事、监事，也没有聘用从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贵校</w:t>
      </w: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  <w:t>离职或退休3年以内的人员。</w:t>
      </w:r>
    </w:p>
    <w:p w14:paraId="53E581FC">
      <w:pPr>
        <w:spacing w:after="120" w:afterLines="50" w:line="240" w:lineRule="auto"/>
        <w:ind w:left="0" w:leftChars="0" w:firstLine="480" w:firstLineChars="200"/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zh-CN" w:eastAsia="zh-CN"/>
        </w:rPr>
      </w:pPr>
      <w:r>
        <w:rPr>
          <w:rFonts w:hint="eastAsia" w:ascii="仿宋" w:hAnsi="仿宋" w:eastAsia="仿宋" w:cs="宋体"/>
          <w:color w:val="auto"/>
          <w:sz w:val="24"/>
          <w:szCs w:val="24"/>
          <w:highlight w:val="none"/>
          <w:lang w:val="en-US" w:eastAsia="zh-CN"/>
        </w:rPr>
        <w:t>我公司保证上述声明真实无误，如有不实，愿承担相应法律责任。</w:t>
      </w:r>
    </w:p>
    <w:p w14:paraId="32CDB2DD">
      <w:pPr>
        <w:spacing w:after="120" w:afterLines="50" w:line="240" w:lineRule="auto"/>
        <w:ind w:left="0" w:leftChars="0" w:firstLine="0" w:firstLineChars="0"/>
        <w:rPr>
          <w:rFonts w:ascii="仿宋" w:hAnsi="仿宋" w:eastAsia="仿宋" w:cs="宋体"/>
          <w:color w:val="auto"/>
          <w:sz w:val="24"/>
          <w:szCs w:val="24"/>
          <w:highlight w:val="none"/>
          <w:lang w:val="zh-CN"/>
        </w:rPr>
      </w:pPr>
    </w:p>
    <w:p w14:paraId="2270CD9B">
      <w:pPr>
        <w:spacing w:after="120" w:afterLines="50" w:line="240" w:lineRule="auto"/>
        <w:ind w:left="0" w:leftChars="0" w:firstLine="0" w:firstLineChars="0"/>
        <w:rPr>
          <w:rFonts w:ascii="黑体" w:hAnsi="华文楷体" w:eastAsia="黑体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华文楷体" w:eastAsia="黑体"/>
          <w:color w:val="auto"/>
          <w:sz w:val="24"/>
          <w:szCs w:val="24"/>
          <w:highlight w:val="none"/>
        </w:rPr>
        <w:t>公司名称（盖章）：                              委托代理人（签字）：</w:t>
      </w:r>
    </w:p>
    <w:p w14:paraId="6B2A2A3C">
      <w:pPr>
        <w:pStyle w:val="7"/>
        <w:rPr>
          <w:rFonts w:hint="default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</w:pPr>
    </w:p>
    <w:p w14:paraId="1ECFBD72">
      <w:pPr>
        <w:pStyle w:val="7"/>
        <w:rPr>
          <w:rFonts w:hint="default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</w:pPr>
    </w:p>
    <w:p w14:paraId="25636716">
      <w:pPr>
        <w:jc w:val="left"/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  <w:sectPr>
          <w:pgSz w:w="11906" w:h="16838"/>
          <w:pgMar w:top="1440" w:right="1083" w:bottom="1440" w:left="1083" w:header="851" w:footer="992" w:gutter="0"/>
          <w:pgNumType w:fmt="decimal"/>
          <w:cols w:space="0" w:num="1"/>
          <w:rtlGutter w:val="0"/>
          <w:docGrid w:type="lines" w:linePitch="314" w:charSpace="0"/>
        </w:sectPr>
      </w:pPr>
    </w:p>
    <w:p w14:paraId="7CDE4BA2">
      <w:pPr>
        <w:jc w:val="left"/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b/>
          <w:bCs/>
          <w:color w:val="auto"/>
          <w:sz w:val="22"/>
          <w:szCs w:val="28"/>
          <w:highlight w:val="none"/>
          <w:lang w:val="en-US" w:eastAsia="zh-CN"/>
        </w:rPr>
        <w:t>附件2：其他材料</w:t>
      </w:r>
    </w:p>
    <w:p w14:paraId="7D103AD2">
      <w:pPr>
        <w:pStyle w:val="6"/>
        <w:numPr>
          <w:ilvl w:val="0"/>
          <w:numId w:val="0"/>
        </w:numPr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  <w:t>包括但不限于：</w:t>
      </w:r>
    </w:p>
    <w:p w14:paraId="0B07932C">
      <w:pPr>
        <w:pStyle w:val="6"/>
        <w:numPr>
          <w:ilvl w:val="0"/>
          <w:numId w:val="0"/>
        </w:numPr>
        <w:ind w:left="0" w:leftChars="0" w:firstLine="0" w:firstLineChars="0"/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color w:val="auto"/>
          <w:kern w:val="2"/>
          <w:sz w:val="22"/>
          <w:szCs w:val="28"/>
          <w:highlight w:val="none"/>
          <w:lang w:val="en-US" w:eastAsia="zh-CN" w:bidi="ar-SA"/>
        </w:rPr>
        <w:t>1、</w:t>
      </w:r>
      <w:r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  <w:t>营业执照扫描件</w:t>
      </w:r>
    </w:p>
    <w:p w14:paraId="2B48E574">
      <w:pPr>
        <w:pStyle w:val="6"/>
        <w:numPr>
          <w:ilvl w:val="0"/>
          <w:numId w:val="0"/>
        </w:numPr>
        <w:ind w:left="0" w:leftChars="0" w:firstLine="0" w:firstLineChars="0"/>
        <w:rPr>
          <w:rFonts w:hint="default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方正兰亭黑简体" w:hAnsi="方正兰亭黑简体" w:eastAsia="方正兰亭黑简体" w:cs="方正兰亭黑简体"/>
          <w:color w:val="auto"/>
          <w:kern w:val="2"/>
          <w:sz w:val="22"/>
          <w:szCs w:val="28"/>
          <w:highlight w:val="none"/>
          <w:lang w:val="en-US" w:eastAsia="zh-CN" w:bidi="ar-SA"/>
        </w:rPr>
        <w:t>2、</w:t>
      </w:r>
      <w:r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  <w:t>产品资料（产品参数及性能、图片等）</w:t>
      </w:r>
    </w:p>
    <w:p w14:paraId="0492334C">
      <w:pPr>
        <w:pStyle w:val="6"/>
        <w:numPr>
          <w:ilvl w:val="0"/>
          <w:numId w:val="0"/>
        </w:numPr>
        <w:ind w:left="0" w:leftChars="0" w:firstLine="0" w:firstLineChars="0"/>
        <w:rPr>
          <w:rFonts w:hint="default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方正兰亭黑简体" w:hAnsi="方正兰亭黑简体" w:eastAsia="方正兰亭黑简体" w:cs="方正兰亭黑简体"/>
          <w:color w:val="auto"/>
          <w:kern w:val="2"/>
          <w:sz w:val="22"/>
          <w:szCs w:val="28"/>
          <w:highlight w:val="none"/>
          <w:lang w:val="en-US" w:eastAsia="zh-CN" w:bidi="ar-SA"/>
        </w:rPr>
        <w:t>3、</w:t>
      </w:r>
      <w:r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  <w:t>供货方案</w:t>
      </w:r>
    </w:p>
    <w:p w14:paraId="5856E4F7">
      <w:pPr>
        <w:pStyle w:val="6"/>
        <w:numPr>
          <w:ilvl w:val="0"/>
          <w:numId w:val="0"/>
        </w:numPr>
        <w:ind w:left="0" w:leftChars="0" w:firstLine="0" w:firstLineChars="0"/>
        <w:rPr>
          <w:rFonts w:hint="default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方正兰亭黑简体" w:hAnsi="方正兰亭黑简体" w:eastAsia="方正兰亭黑简体" w:cs="方正兰亭黑简体"/>
          <w:color w:val="auto"/>
          <w:kern w:val="2"/>
          <w:sz w:val="22"/>
          <w:szCs w:val="28"/>
          <w:highlight w:val="none"/>
          <w:lang w:val="en-US" w:eastAsia="zh-CN" w:bidi="ar-SA"/>
        </w:rPr>
        <w:t>4、</w:t>
      </w:r>
      <w:r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  <w:t>售后方案</w:t>
      </w:r>
    </w:p>
    <w:p w14:paraId="0E222C46">
      <w:pPr>
        <w:pStyle w:val="6"/>
        <w:numPr>
          <w:ilvl w:val="0"/>
          <w:numId w:val="0"/>
        </w:numPr>
        <w:ind w:left="0" w:leftChars="0" w:firstLine="0" w:firstLineChars="0"/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</w:pPr>
      <w:r>
        <w:rPr>
          <w:rFonts w:hint="default" w:ascii="方正兰亭黑简体" w:hAnsi="方正兰亭黑简体" w:eastAsia="方正兰亭黑简体" w:cs="方正兰亭黑简体"/>
          <w:color w:val="auto"/>
          <w:kern w:val="2"/>
          <w:sz w:val="22"/>
          <w:szCs w:val="28"/>
          <w:highlight w:val="none"/>
          <w:lang w:val="en-US" w:eastAsia="zh-CN" w:bidi="ar-SA"/>
        </w:rPr>
        <w:t>5、</w:t>
      </w:r>
      <w:r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  <w:t>业绩案例</w:t>
      </w:r>
    </w:p>
    <w:p w14:paraId="05EB73A9">
      <w:pPr>
        <w:pStyle w:val="6"/>
        <w:numPr>
          <w:ilvl w:val="0"/>
          <w:numId w:val="0"/>
        </w:numPr>
        <w:ind w:left="0" w:leftChars="0" w:firstLine="0" w:firstLineChars="0"/>
        <w:rPr>
          <w:rFonts w:hint="default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color w:val="auto"/>
          <w:sz w:val="22"/>
          <w:szCs w:val="28"/>
          <w:highlight w:val="none"/>
          <w:lang w:val="en-US" w:eastAsia="zh-CN"/>
        </w:rPr>
        <w:t>6、其他所必需的相关材料（体系认证、检测报告等）</w:t>
      </w:r>
    </w:p>
    <w:p w14:paraId="47D470CA">
      <w:pPr>
        <w:pStyle w:val="6"/>
        <w:numPr>
          <w:ilvl w:val="0"/>
          <w:numId w:val="0"/>
        </w:numPr>
        <w:ind w:left="0" w:leftChars="0" w:firstLine="0" w:firstLineChars="0"/>
        <w:rPr>
          <w:rFonts w:hint="default" w:ascii="Times New Roman" w:hAnsi="Times New Roman" w:eastAsia="方正兰亭黑简体" w:cs="Times New Roman"/>
          <w:color w:val="auto"/>
          <w:sz w:val="22"/>
          <w:szCs w:val="28"/>
          <w:highlight w:val="none"/>
          <w:lang w:val="en-US" w:eastAsia="zh-CN"/>
        </w:rPr>
      </w:pPr>
    </w:p>
    <w:sectPr>
      <w:pgSz w:w="11906" w:h="16838"/>
      <w:pgMar w:top="1440" w:right="1083" w:bottom="1440" w:left="1083" w:header="851" w:footer="992" w:gutter="0"/>
      <w:pgNumType w:fmt="decimal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515FD4B-B383-4879-9038-7E6BB5C209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Times New Roman (标题 CS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727D56A7-E429-4ABD-BB5C-272BFF1D1EE1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A7B5C375-19FF-45A0-8CCA-644E499E7F7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06150B1B-61A6-495F-8735-9DA11E83BE6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04268FD3-AD50-4CBC-B500-19339B94CE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0492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2FB9A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62FB9A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722401"/>
    <w:multiLevelType w:val="multilevel"/>
    <w:tmpl w:val="17722401"/>
    <w:lvl w:ilvl="0" w:tentative="0">
      <w:start w:val="1"/>
      <w:numFmt w:val="japaneseCounting"/>
      <w:pStyle w:val="2"/>
      <w:lvlText w:val="%1、"/>
      <w:lvlJc w:val="left"/>
      <w:pPr>
        <w:ind w:left="464" w:hanging="72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54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064" w:hanging="440"/>
      </w:pPr>
    </w:lvl>
    <w:lvl w:ilvl="3" w:tentative="0">
      <w:start w:val="1"/>
      <w:numFmt w:val="decimal"/>
      <w:lvlText w:val="%4."/>
      <w:lvlJc w:val="left"/>
      <w:pPr>
        <w:ind w:left="1504" w:hanging="440"/>
      </w:pPr>
    </w:lvl>
    <w:lvl w:ilvl="4" w:tentative="0">
      <w:start w:val="1"/>
      <w:numFmt w:val="lowerLetter"/>
      <w:lvlText w:val="%5)"/>
      <w:lvlJc w:val="left"/>
      <w:pPr>
        <w:ind w:left="1944" w:hanging="440"/>
      </w:pPr>
    </w:lvl>
    <w:lvl w:ilvl="5" w:tentative="0">
      <w:start w:val="1"/>
      <w:numFmt w:val="lowerRoman"/>
      <w:lvlText w:val="%6."/>
      <w:lvlJc w:val="right"/>
      <w:pPr>
        <w:ind w:left="2384" w:hanging="440"/>
      </w:pPr>
    </w:lvl>
    <w:lvl w:ilvl="6" w:tentative="0">
      <w:start w:val="1"/>
      <w:numFmt w:val="decimal"/>
      <w:lvlText w:val="%7."/>
      <w:lvlJc w:val="left"/>
      <w:pPr>
        <w:ind w:left="2824" w:hanging="440"/>
      </w:pPr>
    </w:lvl>
    <w:lvl w:ilvl="7" w:tentative="0">
      <w:start w:val="1"/>
      <w:numFmt w:val="lowerLetter"/>
      <w:lvlText w:val="%8)"/>
      <w:lvlJc w:val="left"/>
      <w:pPr>
        <w:ind w:left="3264" w:hanging="440"/>
      </w:pPr>
    </w:lvl>
    <w:lvl w:ilvl="8" w:tentative="0">
      <w:start w:val="1"/>
      <w:numFmt w:val="lowerRoman"/>
      <w:lvlText w:val="%9."/>
      <w:lvlJc w:val="right"/>
      <w:pPr>
        <w:ind w:left="3704" w:hanging="440"/>
      </w:pPr>
    </w:lvl>
  </w:abstractNum>
  <w:abstractNum w:abstractNumId="1">
    <w:nsid w:val="6EE46474"/>
    <w:multiLevelType w:val="multilevel"/>
    <w:tmpl w:val="6EE46474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D1014"/>
    <w:rsid w:val="02675436"/>
    <w:rsid w:val="029C08D4"/>
    <w:rsid w:val="07777D7A"/>
    <w:rsid w:val="0875321F"/>
    <w:rsid w:val="09642E33"/>
    <w:rsid w:val="09E86A86"/>
    <w:rsid w:val="0B7B6E53"/>
    <w:rsid w:val="146C6B60"/>
    <w:rsid w:val="157E6317"/>
    <w:rsid w:val="22AA0589"/>
    <w:rsid w:val="24050543"/>
    <w:rsid w:val="267A5A7C"/>
    <w:rsid w:val="2A5874BA"/>
    <w:rsid w:val="2DAA3F84"/>
    <w:rsid w:val="2FB07FD7"/>
    <w:rsid w:val="335175E5"/>
    <w:rsid w:val="389B2026"/>
    <w:rsid w:val="3A774F92"/>
    <w:rsid w:val="3CFB52B6"/>
    <w:rsid w:val="3D6469F5"/>
    <w:rsid w:val="3DBA1AA2"/>
    <w:rsid w:val="3E5C4869"/>
    <w:rsid w:val="3FCC680A"/>
    <w:rsid w:val="41007DAA"/>
    <w:rsid w:val="480A63EB"/>
    <w:rsid w:val="4A2362AE"/>
    <w:rsid w:val="4AFC4A60"/>
    <w:rsid w:val="4EFD134C"/>
    <w:rsid w:val="517A1226"/>
    <w:rsid w:val="5AEA704B"/>
    <w:rsid w:val="5CB31D19"/>
    <w:rsid w:val="5E8720EC"/>
    <w:rsid w:val="5EE9209B"/>
    <w:rsid w:val="628851CC"/>
    <w:rsid w:val="62DD78C6"/>
    <w:rsid w:val="63CE66A7"/>
    <w:rsid w:val="699E1F48"/>
    <w:rsid w:val="6C3138A4"/>
    <w:rsid w:val="6FC06751"/>
    <w:rsid w:val="769D2894"/>
    <w:rsid w:val="7C2C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numPr>
        <w:ilvl w:val="0"/>
        <w:numId w:val="1"/>
      </w:numPr>
      <w:spacing w:before="120" w:after="80"/>
      <w:ind w:firstLineChars="0"/>
      <w:outlineLvl w:val="0"/>
    </w:pPr>
    <w:rPr>
      <w:rFonts w:cs="Times New Roman (标题 CS)" w:asciiTheme="majorHAnsi" w:hAnsiTheme="majorHAnsi"/>
      <w:b/>
      <w:bCs/>
      <w:sz w:val="28"/>
      <w:szCs w:val="48"/>
    </w:rPr>
  </w:style>
  <w:style w:type="paragraph" w:styleId="3">
    <w:name w:val="heading 2"/>
    <w:basedOn w:val="1"/>
    <w:next w:val="1"/>
    <w:unhideWhenUsed/>
    <w:qFormat/>
    <w:uiPriority w:val="9"/>
    <w:pPr>
      <w:numPr>
        <w:ilvl w:val="1"/>
        <w:numId w:val="2"/>
      </w:numPr>
      <w:spacing w:before="80" w:after="80"/>
      <w:ind w:firstLineChars="0"/>
      <w:outlineLvl w:val="1"/>
    </w:pPr>
    <w:rPr>
      <w:rFonts w:cs="Times New Roman (标题 CS)" w:asciiTheme="majorHAnsi" w:hAnsiTheme="majorHAnsi"/>
      <w:b/>
      <w:bCs/>
      <w:color w:val="000000" w:themeColor="text1"/>
      <w:sz w:val="24"/>
      <w:szCs w:val="40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unhideWhenUsed/>
    <w:qFormat/>
    <w:uiPriority w:val="9"/>
    <w:pPr>
      <w:spacing w:before="160" w:after="80"/>
      <w:ind w:left="737" w:firstLine="0" w:firstLineChars="0"/>
      <w:outlineLvl w:val="2"/>
    </w:pPr>
    <w:rPr>
      <w:rFonts w:cs="Times New Roman (标题 CS)" w:asciiTheme="majorHAnsi" w:hAnsiTheme="majorHAnsi"/>
      <w:sz w:val="24"/>
      <w:szCs w:val="32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1"/>
    <w:qFormat/>
    <w:uiPriority w:val="0"/>
    <w:pPr>
      <w:spacing w:after="120"/>
    </w:pPr>
  </w:style>
  <w:style w:type="paragraph" w:styleId="6">
    <w:name w:val="Body Text Indent"/>
    <w:basedOn w:val="1"/>
    <w:qFormat/>
    <w:uiPriority w:val="0"/>
    <w:pPr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unhideWhenUsed/>
    <w:qFormat/>
    <w:uiPriority w:val="39"/>
    <w:rPr>
      <w:rFonts w:ascii="Calibri" w:hAnsi="Calibri" w:eastAsia="宋体" w:cs="Times New Roman"/>
    </w:rPr>
  </w:style>
  <w:style w:type="paragraph" w:styleId="11">
    <w:name w:val="Body Text Indent 3"/>
    <w:basedOn w:val="1"/>
    <w:qFormat/>
    <w:uiPriority w:val="0"/>
    <w:pPr>
      <w:ind w:firstLine="600" w:firstLineChars="200"/>
    </w:pPr>
    <w:rPr>
      <w:color w:val="FF0000"/>
      <w:sz w:val="30"/>
      <w:szCs w:val="20"/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Body Text First Indent"/>
    <w:basedOn w:val="5"/>
    <w:qFormat/>
    <w:uiPriority w:val="0"/>
    <w:pPr>
      <w:widowControl/>
      <w:spacing w:after="120"/>
      <w:ind w:firstLine="420" w:firstLineChars="100"/>
      <w:jc w:val="left"/>
    </w:pPr>
    <w:rPr>
      <w:rFonts w:ascii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22"/>
    <w:rPr>
      <w:b/>
      <w:bCs/>
    </w:rPr>
  </w:style>
  <w:style w:type="character" w:styleId="18">
    <w:name w:val="Hyperlink"/>
    <w:basedOn w:val="16"/>
    <w:unhideWhenUsed/>
    <w:qFormat/>
    <w:uiPriority w:val="99"/>
    <w:rPr>
      <w:color w:val="0000FF"/>
      <w:u w:val="single"/>
    </w:rPr>
  </w:style>
  <w:style w:type="paragraph" w:customStyle="1" w:styleId="19">
    <w:name w:val="列表段落1"/>
    <w:basedOn w:val="1"/>
    <w:qFormat/>
    <w:uiPriority w:val="0"/>
    <w:pPr>
      <w:ind w:firstLine="420" w:firstLineChars="200"/>
    </w:p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楷体" w:hAnsi="Times New Roman" w:eastAsia="楷体" w:cs="楷体"/>
      <w:color w:val="000000"/>
      <w:sz w:val="24"/>
      <w:szCs w:val="24"/>
      <w:lang w:val="en-US" w:eastAsia="zh-CN" w:bidi="ar-SA"/>
    </w:rPr>
  </w:style>
  <w:style w:type="character" w:customStyle="1" w:styleId="21">
    <w:name w:val="15"/>
    <w:basedOn w:val="16"/>
    <w:qFormat/>
    <w:uiPriority w:val="0"/>
    <w:rPr>
      <w:rFonts w:hint="default" w:ascii="Calibri" w:hAnsi="Calibri" w:cs="Calibri"/>
      <w:b/>
      <w:bCs/>
    </w:rPr>
  </w:style>
  <w:style w:type="paragraph" w:styleId="22">
    <w:name w:val="List Paragraph"/>
    <w:basedOn w:val="1"/>
    <w:qFormat/>
    <w:uiPriority w:val="34"/>
    <w:pPr>
      <w:ind w:left="720"/>
      <w:contextualSpacing/>
    </w:pPr>
  </w:style>
  <w:style w:type="character" w:customStyle="1" w:styleId="23">
    <w:name w:val="楷体 (中文) 楷体"/>
    <w:qFormat/>
    <w:uiPriority w:val="0"/>
    <w:rPr>
      <w:rFonts w:ascii="楷体" w:hAnsi="楷体" w:eastAsia="楷体"/>
      <w:kern w:val="1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3744</Words>
  <Characters>4293</Characters>
  <Lines>0</Lines>
  <Paragraphs>0</Paragraphs>
  <TotalTime>6</TotalTime>
  <ScaleCrop>false</ScaleCrop>
  <LinksUpToDate>false</LinksUpToDate>
  <CharactersWithSpaces>4649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2025-04-03T05:09:00Z</dcterms:created>
  <dc:creator>HP</dc:creator>
  <cp:lastModifiedBy>仲杰</cp:lastModifiedBy>
  <dcterms:modified xsi:type="dcterms:W3CDTF">2025-08-28T02:59:28Z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eyJoZGlkIjoiZGVmM2YzZmUwZjIwOWQ5MzUzZGEwZTI1OTc3MjFhOGYiLCJ1c2VySWQiOiIyOTgyOTgyOTEifQ==</vt:lpwstr>
  </property>
  <property fmtid="{D5CDD505-2E9C-101B-9397-08002B2CF9AE}" pid="4" name="ICV">
    <vt:lpwstr>2BFD31D5F3FB4B709DBC969892577809_12</vt:lpwstr>
  </property>
</Properties>
</file>