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7A075">
      <w:pPr>
        <w:jc w:val="center"/>
        <w:rPr>
          <w:rFonts w:ascii="方正兰亭黑简体" w:hAnsi="方正兰亭黑简体" w:eastAsia="方正兰亭黑简体" w:cs="方正兰亭黑简体"/>
          <w:b/>
          <w:bCs/>
          <w:color w:val="auto"/>
          <w:sz w:val="28"/>
          <w:szCs w:val="36"/>
          <w:highlight w:val="none"/>
        </w:rPr>
      </w:pPr>
    </w:p>
    <w:p w14:paraId="1E141798">
      <w:pPr>
        <w:jc w:val="center"/>
        <w:rPr>
          <w:rFonts w:ascii="方正兰亭黑简体" w:hAnsi="方正兰亭黑简体" w:eastAsia="方正兰亭黑简体" w:cs="方正兰亭黑简体"/>
          <w:b/>
          <w:bCs/>
          <w:color w:val="auto"/>
          <w:sz w:val="28"/>
          <w:szCs w:val="36"/>
          <w:highlight w:val="none"/>
        </w:rPr>
      </w:pPr>
    </w:p>
    <w:p w14:paraId="536572BC">
      <w:pPr>
        <w:jc w:val="center"/>
        <w:rPr>
          <w:rFonts w:ascii="方正兰亭黑简体" w:hAnsi="方正兰亭黑简体" w:eastAsia="方正兰亭黑简体" w:cs="方正兰亭黑简体"/>
          <w:b/>
          <w:bCs/>
          <w:color w:val="auto"/>
          <w:sz w:val="28"/>
          <w:szCs w:val="36"/>
          <w:highlight w:val="none"/>
        </w:rPr>
      </w:pPr>
    </w:p>
    <w:p w14:paraId="12997875">
      <w:pPr>
        <w:jc w:val="center"/>
        <w:rPr>
          <w:rFonts w:hint="eastAsia" w:ascii="方正兰亭黑简体" w:hAnsi="方正兰亭黑简体" w:eastAsia="方正兰亭黑简体" w:cs="方正兰亭黑简体"/>
          <w:b/>
          <w:bCs/>
          <w:color w:val="auto"/>
          <w:sz w:val="28"/>
          <w:szCs w:val="28"/>
          <w:highlight w:val="none"/>
          <w:lang w:eastAsia="zh-CN"/>
        </w:rPr>
      </w:pPr>
      <w:r>
        <w:rPr>
          <w:rFonts w:hint="eastAsia" w:ascii="方正兰亭黑简体" w:hAnsi="方正兰亭黑简体" w:eastAsia="方正兰亭黑简体" w:cs="方正兰亭黑简体"/>
          <w:b/>
          <w:bCs/>
          <w:color w:val="auto"/>
          <w:sz w:val="28"/>
          <w:szCs w:val="28"/>
          <w:highlight w:val="none"/>
          <w:lang w:eastAsia="zh-CN"/>
        </w:rPr>
        <w:t>2025年上海海事大学消防维保服务</w:t>
      </w:r>
    </w:p>
    <w:p w14:paraId="22C5E0C7">
      <w:pPr>
        <w:jc w:val="center"/>
        <w:rPr>
          <w:rFonts w:ascii="方正兰亭黑简体" w:hAnsi="方正兰亭黑简体" w:eastAsia="方正兰亭黑简体" w:cs="方正兰亭黑简体"/>
          <w:b/>
          <w:bCs/>
          <w:color w:val="auto"/>
          <w:sz w:val="28"/>
          <w:szCs w:val="28"/>
          <w:highlight w:val="none"/>
        </w:rPr>
      </w:pPr>
      <w:r>
        <w:rPr>
          <w:rFonts w:hint="eastAsia" w:ascii="方正兰亭黑简体" w:hAnsi="方正兰亭黑简体" w:eastAsia="方正兰亭黑简体" w:cs="方正兰亭黑简体"/>
          <w:b/>
          <w:bCs/>
          <w:color w:val="auto"/>
          <w:sz w:val="28"/>
          <w:szCs w:val="28"/>
          <w:highlight w:val="none"/>
        </w:rPr>
        <w:t>比选文件</w:t>
      </w:r>
    </w:p>
    <w:p w14:paraId="1FF602A1">
      <w:pPr>
        <w:jc w:val="center"/>
        <w:rPr>
          <w:rFonts w:ascii="方正兰亭黑简体" w:hAnsi="方正兰亭黑简体" w:eastAsia="方正兰亭黑简体" w:cs="方正兰亭黑简体"/>
          <w:b/>
          <w:bCs/>
          <w:color w:val="auto"/>
          <w:sz w:val="28"/>
          <w:szCs w:val="28"/>
          <w:highlight w:val="none"/>
        </w:rPr>
      </w:pPr>
    </w:p>
    <w:p w14:paraId="570D070E">
      <w:pPr>
        <w:jc w:val="center"/>
        <w:rPr>
          <w:rFonts w:ascii="方正兰亭黑简体" w:hAnsi="方正兰亭黑简体" w:eastAsia="方正兰亭黑简体" w:cs="方正兰亭黑简体"/>
          <w:b/>
          <w:bCs/>
          <w:color w:val="auto"/>
          <w:sz w:val="28"/>
          <w:szCs w:val="28"/>
          <w:highlight w:val="none"/>
        </w:rPr>
      </w:pPr>
    </w:p>
    <w:p w14:paraId="2A13211C">
      <w:pPr>
        <w:jc w:val="center"/>
        <w:rPr>
          <w:rFonts w:hint="eastAsia" w:ascii="方正兰亭黑简体" w:hAnsi="方正兰亭黑简体" w:eastAsia="方正兰亭黑简体" w:cs="方正兰亭黑简体"/>
          <w:b/>
          <w:bCs/>
          <w:color w:val="auto"/>
          <w:sz w:val="28"/>
          <w:szCs w:val="28"/>
          <w:highlight w:val="none"/>
          <w:lang w:eastAsia="zh-CN"/>
        </w:rPr>
      </w:pPr>
      <w:r>
        <w:rPr>
          <w:rFonts w:hint="eastAsia" w:ascii="方正兰亭黑简体" w:hAnsi="方正兰亭黑简体" w:eastAsia="方正兰亭黑简体" w:cs="方正兰亭黑简体"/>
          <w:b/>
          <w:bCs/>
          <w:color w:val="auto"/>
          <w:sz w:val="28"/>
          <w:szCs w:val="28"/>
          <w:highlight w:val="none"/>
        </w:rPr>
        <w:t>项目编号：</w:t>
      </w:r>
      <w:r>
        <w:rPr>
          <w:rFonts w:hint="eastAsia" w:ascii="方正兰亭黑简体" w:hAnsi="方正兰亭黑简体" w:eastAsia="方正兰亭黑简体" w:cs="方正兰亭黑简体"/>
          <w:color w:val="auto"/>
          <w:sz w:val="28"/>
          <w:szCs w:val="28"/>
          <w:highlight w:val="none"/>
          <w:lang w:eastAsia="zh-CN"/>
        </w:rPr>
        <w:t>HFBX2025086</w:t>
      </w:r>
    </w:p>
    <w:p w14:paraId="3DCF7C00">
      <w:pPr>
        <w:jc w:val="center"/>
        <w:rPr>
          <w:rFonts w:ascii="方正兰亭黑简体" w:hAnsi="方正兰亭黑简体" w:eastAsia="方正兰亭黑简体" w:cs="方正兰亭黑简体"/>
          <w:b/>
          <w:bCs/>
          <w:color w:val="auto"/>
          <w:sz w:val="24"/>
          <w:szCs w:val="32"/>
          <w:highlight w:val="none"/>
        </w:rPr>
      </w:pPr>
    </w:p>
    <w:p w14:paraId="04A837EF">
      <w:pPr>
        <w:jc w:val="center"/>
        <w:rPr>
          <w:rFonts w:ascii="方正兰亭黑简体" w:hAnsi="方正兰亭黑简体" w:eastAsia="方正兰亭黑简体" w:cs="方正兰亭黑简体"/>
          <w:b/>
          <w:bCs/>
          <w:color w:val="auto"/>
          <w:sz w:val="24"/>
          <w:szCs w:val="32"/>
          <w:highlight w:val="none"/>
        </w:rPr>
      </w:pPr>
    </w:p>
    <w:p w14:paraId="310CB8F8">
      <w:pPr>
        <w:jc w:val="center"/>
        <w:rPr>
          <w:rFonts w:ascii="方正兰亭黑简体" w:hAnsi="方正兰亭黑简体" w:eastAsia="方正兰亭黑简体" w:cs="方正兰亭黑简体"/>
          <w:b/>
          <w:bCs/>
          <w:color w:val="auto"/>
          <w:sz w:val="24"/>
          <w:szCs w:val="32"/>
          <w:highlight w:val="none"/>
        </w:rPr>
      </w:pPr>
    </w:p>
    <w:p w14:paraId="785FF987">
      <w:pPr>
        <w:jc w:val="center"/>
        <w:rPr>
          <w:rFonts w:ascii="方正兰亭黑简体" w:hAnsi="方正兰亭黑简体" w:eastAsia="方正兰亭黑简体" w:cs="方正兰亭黑简体"/>
          <w:b/>
          <w:bCs/>
          <w:color w:val="auto"/>
          <w:sz w:val="24"/>
          <w:szCs w:val="32"/>
          <w:highlight w:val="none"/>
        </w:rPr>
      </w:pPr>
    </w:p>
    <w:p w14:paraId="425A9FD1">
      <w:pPr>
        <w:jc w:val="center"/>
        <w:rPr>
          <w:rFonts w:ascii="方正兰亭黑简体" w:hAnsi="方正兰亭黑简体" w:eastAsia="方正兰亭黑简体" w:cs="方正兰亭黑简体"/>
          <w:b/>
          <w:bCs/>
          <w:color w:val="auto"/>
          <w:sz w:val="24"/>
          <w:szCs w:val="32"/>
          <w:highlight w:val="none"/>
        </w:rPr>
      </w:pPr>
    </w:p>
    <w:p w14:paraId="7E0AC163">
      <w:pPr>
        <w:jc w:val="center"/>
        <w:rPr>
          <w:rFonts w:ascii="方正兰亭黑简体" w:hAnsi="方正兰亭黑简体" w:eastAsia="方正兰亭黑简体" w:cs="方正兰亭黑简体"/>
          <w:b/>
          <w:bCs/>
          <w:color w:val="auto"/>
          <w:sz w:val="24"/>
          <w:szCs w:val="32"/>
          <w:highlight w:val="none"/>
        </w:rPr>
      </w:pPr>
    </w:p>
    <w:p w14:paraId="222ECAFE">
      <w:pPr>
        <w:jc w:val="center"/>
        <w:rPr>
          <w:rFonts w:ascii="方正兰亭黑简体" w:hAnsi="方正兰亭黑简体" w:eastAsia="方正兰亭黑简体" w:cs="方正兰亭黑简体"/>
          <w:b/>
          <w:bCs/>
          <w:color w:val="auto"/>
          <w:sz w:val="24"/>
          <w:szCs w:val="32"/>
          <w:highlight w:val="none"/>
        </w:rPr>
      </w:pPr>
    </w:p>
    <w:p w14:paraId="434B95E3">
      <w:pPr>
        <w:jc w:val="cente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采购人：上海海事大学</w:t>
      </w:r>
    </w:p>
    <w:p w14:paraId="132BC7B9">
      <w:pPr>
        <w:jc w:val="cente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二○二五年</w:t>
      </w:r>
      <w:r>
        <w:rPr>
          <w:rFonts w:hint="eastAsia" w:ascii="方正兰亭黑简体" w:hAnsi="方正兰亭黑简体" w:eastAsia="方正兰亭黑简体" w:cs="方正兰亭黑简体"/>
          <w:b/>
          <w:bCs/>
          <w:color w:val="auto"/>
          <w:sz w:val="24"/>
          <w:szCs w:val="32"/>
          <w:highlight w:val="none"/>
          <w:lang w:val="en-US" w:eastAsia="zh-CN"/>
        </w:rPr>
        <w:t>十</w:t>
      </w:r>
      <w:r>
        <w:rPr>
          <w:rFonts w:hint="eastAsia" w:ascii="方正兰亭黑简体" w:hAnsi="方正兰亭黑简体" w:eastAsia="方正兰亭黑简体" w:cs="方正兰亭黑简体"/>
          <w:b/>
          <w:bCs/>
          <w:color w:val="auto"/>
          <w:sz w:val="24"/>
          <w:szCs w:val="32"/>
          <w:highlight w:val="none"/>
        </w:rPr>
        <w:t>月</w:t>
      </w:r>
    </w:p>
    <w:p w14:paraId="79FF217C">
      <w:pP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br w:type="page"/>
      </w:r>
    </w:p>
    <w:p w14:paraId="2B58DFC1">
      <w:pPr>
        <w:jc w:val="cente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第一章 比选公告</w:t>
      </w:r>
    </w:p>
    <w:p w14:paraId="18AA6FE1">
      <w:pPr>
        <w:ind w:firstLine="440" w:firstLineChars="200"/>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为公开、公正、公平地做好各项货物与服务的采购工作，进一步提高采购过程的透明度，有利于我校选择性价比更高的产品及更优质的服务，欢迎各供应单位本着务实友好的工作态度，积极参与，并做好成本核算，进行一次性报价。我校将本着公开、公正、公平的工作原则，对各供应单位所提供的资料，进行综合评议，择优选购。为确保本次比选采购项目采购工作的顺利开展，请各报价单位按照下述要求提供报价单等相关资料。具体要求及相关注意事项如下：</w:t>
      </w:r>
    </w:p>
    <w:p w14:paraId="41BAB580">
      <w:pPr>
        <w:jc w:val="left"/>
        <w:rPr>
          <w:rFonts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一、项目基本情况</w:t>
      </w:r>
    </w:p>
    <w:p w14:paraId="3DE88992">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项目编号：</w:t>
      </w:r>
      <w:r>
        <w:rPr>
          <w:rFonts w:hint="eastAsia" w:ascii="方正兰亭黑简体" w:hAnsi="方正兰亭黑简体" w:eastAsia="方正兰亭黑简体" w:cs="方正兰亭黑简体"/>
          <w:color w:val="auto"/>
          <w:sz w:val="22"/>
          <w:szCs w:val="28"/>
          <w:highlight w:val="none"/>
          <w:lang w:eastAsia="zh-CN"/>
        </w:rPr>
        <w:t>HFBX2025086</w:t>
      </w:r>
      <w:r>
        <w:rPr>
          <w:rFonts w:hint="eastAsia" w:ascii="方正兰亭黑简体" w:hAnsi="方正兰亭黑简体" w:eastAsia="方正兰亭黑简体" w:cs="方正兰亭黑简体"/>
          <w:color w:val="auto"/>
          <w:sz w:val="22"/>
          <w:szCs w:val="28"/>
          <w:highlight w:val="none"/>
        </w:rPr>
        <w:t>；</w:t>
      </w:r>
    </w:p>
    <w:p w14:paraId="79F27DF6">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项目名称：</w:t>
      </w:r>
      <w:r>
        <w:rPr>
          <w:rFonts w:hint="eastAsia" w:ascii="方正兰亭黑简体" w:hAnsi="方正兰亭黑简体" w:eastAsia="方正兰亭黑简体" w:cs="方正兰亭黑简体"/>
          <w:color w:val="auto"/>
          <w:sz w:val="22"/>
          <w:szCs w:val="28"/>
          <w:highlight w:val="none"/>
          <w:lang w:eastAsia="zh-CN"/>
        </w:rPr>
        <w:t>2025年上海海事大学消防维保服务</w:t>
      </w:r>
      <w:r>
        <w:rPr>
          <w:rFonts w:hint="eastAsia" w:ascii="方正兰亭黑简体" w:hAnsi="方正兰亭黑简体" w:eastAsia="方正兰亭黑简体" w:cs="方正兰亭黑简体"/>
          <w:color w:val="auto"/>
          <w:sz w:val="22"/>
          <w:szCs w:val="28"/>
          <w:highlight w:val="none"/>
        </w:rPr>
        <w:t>；</w:t>
      </w:r>
    </w:p>
    <w:p w14:paraId="2F0DE10F">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采购方式：</w:t>
      </w:r>
      <w:r>
        <w:rPr>
          <w:rFonts w:hint="eastAsia" w:ascii="方正兰亭黑简体" w:hAnsi="方正兰亭黑简体" w:eastAsia="方正兰亭黑简体" w:cs="方正兰亭黑简体"/>
          <w:color w:val="auto"/>
          <w:sz w:val="22"/>
          <w:szCs w:val="28"/>
          <w:highlight w:val="none"/>
        </w:rPr>
        <w:t>学校比选</w:t>
      </w:r>
      <w:r>
        <w:rPr>
          <w:rFonts w:hint="eastAsia" w:ascii="方正兰亭黑简体" w:hAnsi="方正兰亭黑简体" w:eastAsia="方正兰亭黑简体" w:cs="方正兰亭黑简体"/>
          <w:color w:val="auto"/>
          <w:sz w:val="22"/>
          <w:szCs w:val="28"/>
          <w:highlight w:val="none"/>
        </w:rPr>
        <w:t>；</w:t>
      </w:r>
    </w:p>
    <w:p w14:paraId="0BB8BA45">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预算金额（亦是最高限价）：</w:t>
      </w:r>
      <w:r>
        <w:rPr>
          <w:rFonts w:hint="eastAsia" w:ascii="方正兰亭黑简体" w:hAnsi="方正兰亭黑简体" w:eastAsia="方正兰亭黑简体" w:cs="方正兰亭黑简体"/>
          <w:color w:val="auto"/>
          <w:sz w:val="22"/>
          <w:szCs w:val="28"/>
          <w:highlight w:val="none"/>
        </w:rPr>
        <w:t>人民币2</w:t>
      </w:r>
      <w:r>
        <w:rPr>
          <w:rFonts w:hint="eastAsia" w:ascii="方正兰亭黑简体" w:hAnsi="方正兰亭黑简体" w:eastAsia="方正兰亭黑简体" w:cs="方正兰亭黑简体"/>
          <w:color w:val="auto"/>
          <w:sz w:val="22"/>
          <w:szCs w:val="28"/>
          <w:highlight w:val="none"/>
          <w:lang w:val="en-US" w:eastAsia="zh-CN"/>
        </w:rPr>
        <w:t>6.2</w:t>
      </w:r>
      <w:r>
        <w:rPr>
          <w:rFonts w:hint="eastAsia" w:ascii="方正兰亭黑简体" w:hAnsi="方正兰亭黑简体" w:eastAsia="方正兰亭黑简体" w:cs="方正兰亭黑简体"/>
          <w:color w:val="auto"/>
          <w:sz w:val="22"/>
          <w:szCs w:val="28"/>
          <w:highlight w:val="none"/>
        </w:rPr>
        <w:t>万元；</w:t>
      </w:r>
    </w:p>
    <w:p w14:paraId="73E19390">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采购需求：</w:t>
      </w:r>
      <w:r>
        <w:rPr>
          <w:rFonts w:hint="eastAsia" w:ascii="方正兰亭黑简体" w:hAnsi="方正兰亭黑简体" w:eastAsia="方正兰亭黑简体" w:cs="方正兰亭黑简体"/>
          <w:color w:val="auto"/>
          <w:sz w:val="22"/>
          <w:szCs w:val="28"/>
          <w:highlight w:val="none"/>
          <w:lang w:val="en-US" w:eastAsia="zh-CN"/>
        </w:rPr>
        <w:t>委托专业供应商提供消防设备设施系统维保和技术服务</w:t>
      </w:r>
      <w:r>
        <w:rPr>
          <w:rFonts w:hint="eastAsia" w:ascii="方正兰亭黑简体" w:hAnsi="方正兰亭黑简体" w:eastAsia="方正兰亭黑简体" w:cs="方正兰亭黑简体"/>
          <w:color w:val="auto"/>
          <w:sz w:val="22"/>
          <w:szCs w:val="28"/>
          <w:highlight w:val="none"/>
        </w:rPr>
        <w:t>。</w:t>
      </w:r>
      <w:r>
        <w:rPr>
          <w:rFonts w:hint="eastAsia" w:ascii="方正兰亭黑简体" w:hAnsi="方正兰亭黑简体" w:eastAsia="方正兰亭黑简体" w:cs="方正兰亭黑简体"/>
          <w:color w:val="auto"/>
          <w:sz w:val="22"/>
          <w:szCs w:val="28"/>
          <w:highlight w:val="none"/>
        </w:rPr>
        <w:t>拟采取比选方式实施采购。（具体要求详见比选文件—第二章节采购需求）。</w:t>
      </w:r>
    </w:p>
    <w:p w14:paraId="3F91B59F">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服务</w:t>
      </w:r>
      <w:r>
        <w:rPr>
          <w:rFonts w:hint="eastAsia" w:ascii="方正兰亭黑简体" w:hAnsi="方正兰亭黑简体" w:eastAsia="方正兰亭黑简体" w:cs="方正兰亭黑简体"/>
          <w:color w:val="auto"/>
          <w:sz w:val="22"/>
          <w:szCs w:val="28"/>
          <w:highlight w:val="none"/>
          <w:lang w:val="en-US" w:eastAsia="zh-CN"/>
        </w:rPr>
        <w:t>范围：上海海事大学临港校区（上海市浦东新区海港大道1550号）、高恒大厦（上海市浦东大道1608号）；</w:t>
      </w:r>
    </w:p>
    <w:p w14:paraId="1DFB449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服务</w:t>
      </w:r>
      <w:r>
        <w:rPr>
          <w:rFonts w:hint="eastAsia" w:ascii="方正兰亭黑简体" w:hAnsi="方正兰亭黑简体" w:eastAsia="方正兰亭黑简体" w:cs="方正兰亭黑简体"/>
          <w:color w:val="auto"/>
          <w:sz w:val="22"/>
          <w:szCs w:val="28"/>
          <w:highlight w:val="none"/>
          <w:lang w:val="en-US" w:eastAsia="zh-CN"/>
        </w:rPr>
        <w:t>期限</w:t>
      </w:r>
      <w:r>
        <w:rPr>
          <w:rFonts w:hint="eastAsia" w:ascii="方正兰亭黑简体" w:hAnsi="方正兰亭黑简体" w:eastAsia="方正兰亭黑简体" w:cs="方正兰亭黑简体"/>
          <w:color w:val="auto"/>
          <w:sz w:val="22"/>
          <w:szCs w:val="28"/>
          <w:highlight w:val="none"/>
        </w:rPr>
        <w:t>：</w:t>
      </w:r>
      <w:r>
        <w:rPr>
          <w:rFonts w:hint="eastAsia" w:ascii="方正兰亭黑简体" w:hAnsi="方正兰亭黑简体" w:eastAsia="方正兰亭黑简体" w:cs="方正兰亭黑简体"/>
          <w:color w:val="auto"/>
          <w:sz w:val="22"/>
          <w:szCs w:val="28"/>
          <w:highlight w:val="none"/>
          <w:lang w:val="en-US" w:eastAsia="zh-CN"/>
        </w:rPr>
        <w:t>2025年11月1日-2026月12月31日；</w:t>
      </w:r>
    </w:p>
    <w:p w14:paraId="471151B5">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付款方式</w:t>
      </w:r>
      <w:r>
        <w:rPr>
          <w:rFonts w:hint="eastAsia" w:ascii="方正兰亭黑简体" w:hAnsi="方正兰亭黑简体" w:eastAsia="方正兰亭黑简体" w:cs="方正兰亭黑简体"/>
          <w:color w:val="auto"/>
          <w:sz w:val="22"/>
          <w:szCs w:val="28"/>
          <w:highlight w:val="none"/>
          <w:lang w:val="en-US" w:eastAsia="zh-CN"/>
        </w:rPr>
        <w:t>：本项目服务费用分两期，经考核合格后予以支付。第一期支付金额为合同总价的50%，于2026年6月底之前完成考核及支付，第二期支付金额为合同总价的50%，于2026年11月底前完成考核及支付。</w:t>
      </w:r>
    </w:p>
    <w:p w14:paraId="314A3A04">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耗材及维修配件费用支付：根据实际开展情况，校方按月审核确认，与服务费用一并进行支付。</w:t>
      </w:r>
    </w:p>
    <w:p w14:paraId="73587EF8">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二、报价人的资格要求</w:t>
      </w:r>
    </w:p>
    <w:p w14:paraId="3D57B446">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1、符合《中华人民共和国政府采购法》第二十二条之供应商资格规定。</w:t>
      </w:r>
    </w:p>
    <w:p w14:paraId="1CF34095">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2、供应商未被列入“信用中国”网站（www.creditchina.gov.cn）失信执行人名单、重大税收违法案件当事人名单，和中国政府采购网（www.ccgp.gov.cn）政府严重违法失信行为记录名单的供应商。</w:t>
      </w:r>
    </w:p>
    <w:p w14:paraId="677B3EF4">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3、经营范围及拟投标货物（服务）符合本次比选要求，具有与本次投标货物（服务）相应的经营、代理（经销）资质，能全程参与并完成本项目，且具有较强的服务能力，以及畅通的问题响应机制和渠道等。</w:t>
      </w:r>
    </w:p>
    <w:p w14:paraId="148755B9">
      <w:pPr>
        <w:jc w:val="left"/>
        <w:rPr>
          <w:rFonts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三、报名要求</w:t>
      </w:r>
    </w:p>
    <w:p w14:paraId="2DCCF7D0">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报名邮箱、时间：不单独组织报名，意向单位可在截止日期前递交响应文件。</w:t>
      </w:r>
    </w:p>
    <w:p w14:paraId="4EF8EBAB">
      <w:pPr>
        <w:jc w:val="left"/>
        <w:rPr>
          <w:rFonts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四、获取采购文件</w:t>
      </w:r>
    </w:p>
    <w:p w14:paraId="5CF8343B">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获取方式：公告页面下方自行下载</w:t>
      </w:r>
    </w:p>
    <w:p w14:paraId="414504FA">
      <w:pPr>
        <w:jc w:val="left"/>
        <w:rPr>
          <w:rFonts w:ascii="方正兰亭黑简体" w:hAnsi="方正兰亭黑简体" w:eastAsia="方正兰亭黑简体" w:cs="方正兰亭黑简体"/>
          <w:b/>
          <w:bCs/>
          <w:color w:val="auto"/>
          <w:sz w:val="22"/>
          <w:szCs w:val="28"/>
          <w:highlight w:val="none"/>
        </w:rPr>
      </w:pPr>
      <w:bookmarkStart w:id="0" w:name="_Toc28359005"/>
      <w:r>
        <w:rPr>
          <w:rFonts w:hint="eastAsia" w:ascii="方正兰亭黑简体" w:hAnsi="方正兰亭黑简体" w:eastAsia="方正兰亭黑简体" w:cs="方正兰亭黑简体"/>
          <w:b/>
          <w:bCs/>
          <w:color w:val="auto"/>
          <w:sz w:val="22"/>
          <w:szCs w:val="28"/>
          <w:highlight w:val="none"/>
        </w:rPr>
        <w:t>五、现场踏勘</w:t>
      </w:r>
      <w:bookmarkEnd w:id="0"/>
    </w:p>
    <w:p w14:paraId="539F97A8">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供应商可自行上门踏勘，须提前至少一天向校方报备入校信息，联系人：王老师15821788842。</w:t>
      </w:r>
    </w:p>
    <w:p w14:paraId="796F592B">
      <w:pPr>
        <w:jc w:val="left"/>
        <w:rPr>
          <w:rFonts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六、响应文件提交</w:t>
      </w:r>
    </w:p>
    <w:p w14:paraId="549B7D98">
      <w:pPr>
        <w:jc w:val="left"/>
        <w:rPr>
          <w:rFonts w:ascii="方正兰亭黑简体" w:hAnsi="方正兰亭黑简体" w:eastAsia="方正兰亭黑简体" w:cs="方正兰亭黑简体"/>
          <w:color w:val="auto"/>
          <w:sz w:val="22"/>
          <w:szCs w:val="28"/>
          <w:highlight w:val="none"/>
        </w:rPr>
      </w:pPr>
      <w:bookmarkStart w:id="1" w:name="_Toc35393795"/>
      <w:bookmarkEnd w:id="1"/>
      <w:bookmarkStart w:id="2" w:name="_Toc35393626"/>
      <w:r>
        <w:rPr>
          <w:rFonts w:hint="eastAsia" w:ascii="方正兰亭黑简体" w:hAnsi="方正兰亭黑简体" w:eastAsia="方正兰亭黑简体" w:cs="方正兰亭黑简体"/>
          <w:color w:val="auto"/>
          <w:sz w:val="22"/>
          <w:szCs w:val="28"/>
          <w:highlight w:val="none"/>
        </w:rPr>
        <w:t>截止</w:t>
      </w:r>
      <w:bookmarkEnd w:id="2"/>
      <w:r>
        <w:rPr>
          <w:rFonts w:hint="eastAsia" w:ascii="方正兰亭黑简体" w:hAnsi="方正兰亭黑简体" w:eastAsia="方正兰亭黑简体" w:cs="方正兰亭黑简体"/>
          <w:color w:val="auto"/>
          <w:sz w:val="22"/>
          <w:szCs w:val="28"/>
          <w:highlight w:val="none"/>
        </w:rPr>
        <w:t>时间：2025年</w:t>
      </w:r>
      <w:r>
        <w:rPr>
          <w:rFonts w:hint="eastAsia" w:ascii="方正兰亭黑简体" w:hAnsi="方正兰亭黑简体" w:eastAsia="方正兰亭黑简体" w:cs="方正兰亭黑简体"/>
          <w:color w:val="auto"/>
          <w:sz w:val="22"/>
          <w:szCs w:val="28"/>
          <w:highlight w:val="none"/>
          <w:lang w:val="en-US" w:eastAsia="zh-CN"/>
        </w:rPr>
        <w:t>10</w:t>
      </w:r>
      <w:r>
        <w:rPr>
          <w:rFonts w:hint="eastAsia" w:ascii="方正兰亭黑简体" w:hAnsi="方正兰亭黑简体" w:eastAsia="方正兰亭黑简体" w:cs="方正兰亭黑简体"/>
          <w:color w:val="auto"/>
          <w:sz w:val="22"/>
          <w:szCs w:val="28"/>
          <w:highlight w:val="none"/>
        </w:rPr>
        <w:t>月</w:t>
      </w:r>
      <w:r>
        <w:rPr>
          <w:rFonts w:hint="eastAsia" w:ascii="方正兰亭黑简体" w:hAnsi="方正兰亭黑简体" w:eastAsia="方正兰亭黑简体" w:cs="方正兰亭黑简体"/>
          <w:color w:val="auto"/>
          <w:sz w:val="22"/>
          <w:szCs w:val="28"/>
          <w:highlight w:val="none"/>
          <w:lang w:val="en-US" w:eastAsia="zh-CN"/>
        </w:rPr>
        <w:t>24</w:t>
      </w:r>
      <w:r>
        <w:rPr>
          <w:rFonts w:hint="eastAsia" w:ascii="方正兰亭黑简体" w:hAnsi="方正兰亭黑简体" w:eastAsia="方正兰亭黑简体" w:cs="方正兰亭黑简体"/>
          <w:color w:val="auto"/>
          <w:sz w:val="22"/>
          <w:szCs w:val="28"/>
          <w:highlight w:val="none"/>
        </w:rPr>
        <w:t>日（周</w:t>
      </w:r>
      <w:r>
        <w:rPr>
          <w:rFonts w:hint="eastAsia" w:ascii="方正兰亭黑简体" w:hAnsi="方正兰亭黑简体" w:eastAsia="方正兰亭黑简体" w:cs="方正兰亭黑简体"/>
          <w:color w:val="auto"/>
          <w:sz w:val="22"/>
          <w:szCs w:val="28"/>
          <w:highlight w:val="none"/>
          <w:lang w:val="en-US" w:eastAsia="zh-CN"/>
        </w:rPr>
        <w:t>五</w:t>
      </w:r>
      <w:bookmarkStart w:id="5" w:name="_GoBack"/>
      <w:bookmarkEnd w:id="5"/>
      <w:r>
        <w:rPr>
          <w:rFonts w:hint="eastAsia" w:ascii="方正兰亭黑简体" w:hAnsi="方正兰亭黑简体" w:eastAsia="方正兰亭黑简体" w:cs="方正兰亭黑简体"/>
          <w:color w:val="auto"/>
          <w:sz w:val="22"/>
          <w:szCs w:val="28"/>
          <w:highlight w:val="none"/>
        </w:rPr>
        <w:t>）上午11时00分</w:t>
      </w:r>
    </w:p>
    <w:p w14:paraId="2C1532CE">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提交方式：发送盖章扫描版PDF到指定邮箱，邮件名称：</w:t>
      </w:r>
      <w:r>
        <w:rPr>
          <w:rFonts w:hint="eastAsia" w:ascii="方正兰亭黑简体" w:hAnsi="方正兰亭黑简体" w:eastAsia="方正兰亭黑简体" w:cs="方正兰亭黑简体"/>
          <w:color w:val="auto"/>
          <w:sz w:val="22"/>
          <w:szCs w:val="28"/>
          <w:highlight w:val="none"/>
        </w:rPr>
        <w:t>项目编号+公司名称</w:t>
      </w:r>
    </w:p>
    <w:p w14:paraId="2E9E59E6">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邮箱地址：quotation@shmtu.edu.cn</w:t>
      </w:r>
    </w:p>
    <w:p w14:paraId="394E7063">
      <w:pPr>
        <w:jc w:val="left"/>
        <w:rPr>
          <w:rFonts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七、其他补充事宜</w:t>
      </w:r>
    </w:p>
    <w:p w14:paraId="16A0A237">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1.中标结果将通过发布比选公告的媒介进行公示，公示期为1个工作日，公示期内如对中标结果有异议可向校方提出书面质疑。</w:t>
      </w:r>
      <w:bookmarkStart w:id="3" w:name="_Toc35393627"/>
    </w:p>
    <w:p w14:paraId="679C5A60">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w:t>
      </w:r>
      <w:bookmarkEnd w:id="3"/>
      <w:r>
        <w:rPr>
          <w:rFonts w:hint="eastAsia" w:ascii="方正兰亭黑简体" w:hAnsi="方正兰亭黑简体" w:eastAsia="方正兰亭黑简体" w:cs="方正兰亭黑简体"/>
          <w:color w:val="auto"/>
          <w:sz w:val="22"/>
          <w:szCs w:val="28"/>
          <w:highlight w:val="none"/>
        </w:rPr>
        <w:t>凡对本次采购提出询问，请按以下方式联系：</w:t>
      </w:r>
    </w:p>
    <w:p w14:paraId="31E4F9C4">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商务信息：仲老师021-38284707</w:t>
      </w:r>
    </w:p>
    <w:p w14:paraId="09260FC9">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技术信息：</w:t>
      </w:r>
      <w:r>
        <w:rPr>
          <w:rFonts w:hint="eastAsia" w:ascii="方正兰亭黑简体" w:hAnsi="方正兰亭黑简体" w:eastAsia="方正兰亭黑简体" w:cs="方正兰亭黑简体"/>
          <w:color w:val="auto"/>
          <w:sz w:val="22"/>
          <w:szCs w:val="28"/>
          <w:highlight w:val="none"/>
          <w:lang w:val="en-US" w:eastAsia="zh-CN"/>
        </w:rPr>
        <w:t>王</w:t>
      </w:r>
      <w:r>
        <w:rPr>
          <w:rFonts w:hint="eastAsia" w:ascii="方正兰亭黑简体" w:hAnsi="方正兰亭黑简体" w:eastAsia="方正兰亭黑简体" w:cs="方正兰亭黑简体"/>
          <w:color w:val="auto"/>
          <w:sz w:val="22"/>
          <w:szCs w:val="28"/>
          <w:highlight w:val="none"/>
        </w:rPr>
        <w:t>老师021-</w:t>
      </w:r>
      <w:r>
        <w:rPr>
          <w:rFonts w:hint="eastAsia" w:ascii="方正兰亭黑简体" w:hAnsi="方正兰亭黑简体" w:eastAsia="方正兰亭黑简体" w:cs="方正兰亭黑简体"/>
          <w:color w:val="auto"/>
          <w:sz w:val="22"/>
          <w:szCs w:val="28"/>
          <w:highlight w:val="none"/>
          <w:lang w:val="en-US" w:eastAsia="zh-CN"/>
        </w:rPr>
        <w:t>38284519</w:t>
      </w:r>
    </w:p>
    <w:p w14:paraId="36C79748">
      <w:pP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br w:type="page"/>
      </w:r>
    </w:p>
    <w:p w14:paraId="50FB68D5">
      <w:pPr>
        <w:jc w:val="cente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第二章 采购需求</w:t>
      </w:r>
    </w:p>
    <w:p w14:paraId="7B62A25D">
      <w:pPr>
        <w:numPr>
          <w:ilvl w:val="0"/>
          <w:numId w:val="0"/>
        </w:numPr>
        <w:snapToGrid/>
        <w:spacing w:before="100" w:beforeAutospacing="0" w:after="100" w:afterAutospacing="0" w:line="360" w:lineRule="auto"/>
        <w:ind w:left="0" w:leftChars="0" w:right="0" w:rightChars="0" w:firstLine="0" w:firstLineChars="0"/>
        <w:jc w:val="left"/>
        <w:outlineLvl w:val="0"/>
        <w:rPr>
          <w:rFonts w:hint="eastAsia"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lang w:val="en-US" w:eastAsia="zh-CN" w:bidi="ar-SA"/>
        </w:rPr>
        <w:t>一、</w:t>
      </w:r>
      <w:r>
        <w:rPr>
          <w:rFonts w:hint="eastAsia" w:ascii="方正兰亭黑简体" w:hAnsi="方正兰亭黑简体" w:eastAsia="方正兰亭黑简体" w:cs="方正兰亭黑简体"/>
          <w:b/>
          <w:bCs/>
          <w:color w:val="auto"/>
          <w:sz w:val="22"/>
          <w:szCs w:val="22"/>
          <w:highlight w:val="none"/>
          <w:lang w:val="en-US" w:eastAsia="zh-CN"/>
        </w:rPr>
        <w:t>项目名称</w:t>
      </w:r>
    </w:p>
    <w:p w14:paraId="670F63EA">
      <w:pPr>
        <w:numPr>
          <w:ilvl w:val="0"/>
          <w:numId w:val="0"/>
        </w:numPr>
        <w:snapToGrid/>
        <w:spacing w:beforeAutospacing="0" w:afterAutospacing="0" w:line="360" w:lineRule="auto"/>
        <w:ind w:left="0" w:leftChars="0" w:right="0" w:rightChars="0" w:firstLine="0" w:firstLineChars="0"/>
        <w:jc w:val="left"/>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2025年上海海事大学消防维保服务</w:t>
      </w:r>
    </w:p>
    <w:p w14:paraId="3D5B5651">
      <w:pPr>
        <w:numPr>
          <w:ilvl w:val="0"/>
          <w:numId w:val="0"/>
        </w:numPr>
        <w:snapToGrid/>
        <w:spacing w:before="100" w:beforeAutospacing="0" w:after="100" w:afterAutospacing="0" w:line="360" w:lineRule="auto"/>
        <w:ind w:left="0" w:leftChars="0" w:right="0" w:rightChars="0" w:firstLine="0" w:firstLineChars="0"/>
        <w:jc w:val="left"/>
        <w:outlineLvl w:val="0"/>
        <w:rPr>
          <w:rFonts w:hint="eastAsia"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lang w:val="en-US" w:eastAsia="zh-CN" w:bidi="ar-SA"/>
        </w:rPr>
        <w:t>二、</w:t>
      </w:r>
      <w:r>
        <w:rPr>
          <w:rFonts w:hint="eastAsia" w:ascii="方正兰亭黑简体" w:hAnsi="方正兰亭黑简体" w:eastAsia="方正兰亭黑简体" w:cs="方正兰亭黑简体"/>
          <w:b/>
          <w:bCs/>
          <w:color w:val="auto"/>
          <w:sz w:val="22"/>
          <w:szCs w:val="22"/>
          <w:highlight w:val="none"/>
          <w:lang w:val="en-US" w:eastAsia="zh-CN"/>
        </w:rPr>
        <w:t>项目概况</w:t>
      </w:r>
    </w:p>
    <w:p w14:paraId="5F0BEEF9">
      <w:pPr>
        <w:numPr>
          <w:ilvl w:val="0"/>
          <w:numId w:val="0"/>
        </w:numPr>
        <w:snapToGrid/>
        <w:spacing w:beforeAutospacing="0" w:afterAutospacing="0" w:line="360" w:lineRule="auto"/>
        <w:ind w:left="0" w:leftChars="0" w:right="0" w:rightChars="0" w:firstLine="0" w:firstLineChars="0"/>
        <w:jc w:val="left"/>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kern w:val="2"/>
          <w:sz w:val="22"/>
          <w:szCs w:val="22"/>
          <w:highlight w:val="none"/>
          <w:lang w:val="en-US" w:eastAsia="zh-CN" w:bidi="ar-SA"/>
        </w:rPr>
        <w:t>（一）</w:t>
      </w:r>
      <w:r>
        <w:rPr>
          <w:rFonts w:hint="eastAsia" w:ascii="方正兰亭黑简体" w:hAnsi="方正兰亭黑简体" w:eastAsia="方正兰亭黑简体" w:cs="方正兰亭黑简体"/>
          <w:b w:val="0"/>
          <w:bCs w:val="0"/>
          <w:color w:val="auto"/>
          <w:sz w:val="22"/>
          <w:szCs w:val="22"/>
          <w:highlight w:val="none"/>
          <w:lang w:val="en-US" w:eastAsia="zh-CN"/>
        </w:rPr>
        <w:t>经费预算：26.2万元。</w:t>
      </w:r>
    </w:p>
    <w:p w14:paraId="4B8914D0">
      <w:pPr>
        <w:numPr>
          <w:ilvl w:val="0"/>
          <w:numId w:val="0"/>
        </w:numPr>
        <w:snapToGrid/>
        <w:spacing w:beforeAutospacing="0" w:afterAutospacing="0" w:line="360" w:lineRule="auto"/>
        <w:ind w:left="0" w:leftChars="0" w:right="0" w:rightChars="0" w:firstLine="0" w:firstLineChars="0"/>
        <w:jc w:val="left"/>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kern w:val="2"/>
          <w:sz w:val="22"/>
          <w:szCs w:val="22"/>
          <w:highlight w:val="none"/>
          <w:lang w:val="en-US" w:eastAsia="zh-CN" w:bidi="ar-SA"/>
        </w:rPr>
        <w:t>（二）</w:t>
      </w:r>
      <w:r>
        <w:rPr>
          <w:rFonts w:hint="eastAsia" w:ascii="方正兰亭黑简体" w:hAnsi="方正兰亭黑简体" w:eastAsia="方正兰亭黑简体" w:cs="方正兰亭黑简体"/>
          <w:b w:val="0"/>
          <w:bCs w:val="0"/>
          <w:color w:val="auto"/>
          <w:sz w:val="22"/>
          <w:szCs w:val="22"/>
          <w:highlight w:val="none"/>
          <w:lang w:val="en-US" w:eastAsia="zh-CN"/>
        </w:rPr>
        <w:t>服务时间：2025年11月1日-2026月12月31日。</w:t>
      </w:r>
    </w:p>
    <w:p w14:paraId="2F22EFCC">
      <w:pPr>
        <w:numPr>
          <w:ilvl w:val="0"/>
          <w:numId w:val="0"/>
        </w:numPr>
        <w:snapToGrid/>
        <w:spacing w:beforeAutospacing="0" w:afterAutospacing="0" w:line="360" w:lineRule="auto"/>
        <w:ind w:left="0" w:leftChars="0" w:right="0" w:rightChars="0" w:firstLine="0" w:firstLineChars="0"/>
        <w:jc w:val="left"/>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kern w:val="2"/>
          <w:sz w:val="22"/>
          <w:szCs w:val="22"/>
          <w:highlight w:val="none"/>
          <w:lang w:val="en-US" w:eastAsia="zh-CN" w:bidi="ar-SA"/>
        </w:rPr>
        <w:t>（三）</w:t>
      </w:r>
      <w:r>
        <w:rPr>
          <w:rFonts w:hint="eastAsia" w:ascii="方正兰亭黑简体" w:hAnsi="方正兰亭黑简体" w:eastAsia="方正兰亭黑简体" w:cs="方正兰亭黑简体"/>
          <w:b w:val="0"/>
          <w:bCs w:val="0"/>
          <w:color w:val="auto"/>
          <w:sz w:val="22"/>
          <w:szCs w:val="22"/>
          <w:highlight w:val="none"/>
          <w:lang w:val="en-US" w:eastAsia="zh-CN"/>
        </w:rPr>
        <w:t>服务范围：</w:t>
      </w:r>
    </w:p>
    <w:p w14:paraId="5A9BA03C">
      <w:pPr>
        <w:keepNext w:val="0"/>
        <w:keepLines w:val="0"/>
        <w:pageBreakBefore w:val="0"/>
        <w:widowControl w:val="0"/>
        <w:numPr>
          <w:ilvl w:val="0"/>
          <w:numId w:val="0"/>
        </w:numPr>
        <w:tabs>
          <w:tab w:val="left" w:pos="960"/>
          <w:tab w:val="left" w:pos="1200"/>
          <w:tab w:val="left" w:pos="1440"/>
          <w:tab w:val="left" w:pos="1680"/>
        </w:tabs>
        <w:kinsoku/>
        <w:wordWrap/>
        <w:overflowPunct/>
        <w:topLinePunct w:val="0"/>
        <w:autoSpaceDE/>
        <w:autoSpaceDN/>
        <w:bidi w:val="0"/>
        <w:adjustRightInd w:val="0"/>
        <w:snapToGrid/>
        <w:spacing w:beforeAutospacing="0" w:afterAutospacing="0" w:line="360" w:lineRule="auto"/>
        <w:ind w:left="0" w:leftChars="0" w:right="0" w:rightChars="0" w:firstLine="0" w:firstLineChars="0"/>
        <w:jc w:val="left"/>
        <w:textAlignment w:val="baseline"/>
        <w:rPr>
          <w:rFonts w:hint="eastAsia" w:ascii="方正兰亭黑简体" w:hAnsi="方正兰亭黑简体" w:eastAsia="方正兰亭黑简体" w:cs="方正兰亭黑简体"/>
          <w:b w:val="0"/>
          <w:bCs w:val="0"/>
          <w:color w:val="auto"/>
          <w:sz w:val="22"/>
          <w:szCs w:val="22"/>
          <w:highlight w:val="none"/>
          <w:lang w:eastAsia="zh-CN"/>
        </w:rPr>
      </w:pPr>
      <w:r>
        <w:rPr>
          <w:rFonts w:hint="default" w:ascii="方正兰亭黑简体" w:hAnsi="方正兰亭黑简体" w:eastAsia="方正兰亭黑简体" w:cs="方正兰亭黑简体"/>
          <w:b w:val="0"/>
          <w:bCs w:val="0"/>
          <w:color w:val="auto"/>
          <w:kern w:val="2"/>
          <w:sz w:val="22"/>
          <w:szCs w:val="22"/>
          <w:highlight w:val="none"/>
          <w:lang w:val="en-US" w:eastAsia="zh-CN" w:bidi="ar-SA"/>
        </w:rPr>
        <w:t>1</w:t>
      </w:r>
      <w:r>
        <w:rPr>
          <w:rFonts w:hint="eastAsia" w:ascii="方正兰亭黑简体" w:hAnsi="方正兰亭黑简体" w:eastAsia="方正兰亭黑简体" w:cs="方正兰亭黑简体"/>
          <w:b w:val="0"/>
          <w:bCs w:val="0"/>
          <w:color w:val="auto"/>
          <w:kern w:val="2"/>
          <w:sz w:val="22"/>
          <w:szCs w:val="22"/>
          <w:highlight w:val="none"/>
          <w:lang w:val="en-US" w:eastAsia="zh-CN" w:bidi="ar-SA"/>
        </w:rPr>
        <w:t>、</w:t>
      </w:r>
      <w:r>
        <w:rPr>
          <w:rFonts w:hint="eastAsia" w:ascii="方正兰亭黑简体" w:hAnsi="方正兰亭黑简体" w:eastAsia="方正兰亭黑简体" w:cs="方正兰亭黑简体"/>
          <w:b w:val="0"/>
          <w:bCs w:val="0"/>
          <w:color w:val="auto"/>
          <w:sz w:val="22"/>
          <w:szCs w:val="22"/>
          <w:highlight w:val="none"/>
          <w:lang w:val="en-US" w:eastAsia="zh-CN"/>
        </w:rPr>
        <w:t>临港校区（地址：上海市浦东新区海港大道1550号），校区内所有</w:t>
      </w:r>
      <w:r>
        <w:rPr>
          <w:rFonts w:hint="eastAsia" w:ascii="方正兰亭黑简体" w:hAnsi="方正兰亭黑简体" w:eastAsia="方正兰亭黑简体" w:cs="方正兰亭黑简体"/>
          <w:b w:val="0"/>
          <w:bCs w:val="0"/>
          <w:color w:val="auto"/>
          <w:sz w:val="22"/>
          <w:szCs w:val="22"/>
          <w:highlight w:val="none"/>
        </w:rPr>
        <w:t>建筑消防</w:t>
      </w:r>
      <w:r>
        <w:rPr>
          <w:rFonts w:hint="eastAsia" w:ascii="方正兰亭黑简体" w:hAnsi="方正兰亭黑简体" w:eastAsia="方正兰亭黑简体" w:cs="方正兰亭黑简体"/>
          <w:b w:val="0"/>
          <w:bCs w:val="0"/>
          <w:color w:val="auto"/>
          <w:sz w:val="22"/>
          <w:szCs w:val="22"/>
          <w:highlight w:val="none"/>
          <w:lang w:val="en-US" w:eastAsia="zh-CN"/>
        </w:rPr>
        <w:t>设备</w:t>
      </w:r>
      <w:r>
        <w:rPr>
          <w:rFonts w:hint="eastAsia" w:ascii="方正兰亭黑简体" w:hAnsi="方正兰亭黑简体" w:eastAsia="方正兰亭黑简体" w:cs="方正兰亭黑简体"/>
          <w:b w:val="0"/>
          <w:bCs w:val="0"/>
          <w:color w:val="auto"/>
          <w:sz w:val="22"/>
          <w:szCs w:val="22"/>
          <w:highlight w:val="none"/>
        </w:rPr>
        <w:t>设施系统的技术维保，建筑面积约</w:t>
      </w:r>
      <w:r>
        <w:rPr>
          <w:rFonts w:hint="eastAsia" w:ascii="方正兰亭黑简体" w:hAnsi="方正兰亭黑简体" w:eastAsia="方正兰亭黑简体" w:cs="方正兰亭黑简体"/>
          <w:b w:val="0"/>
          <w:bCs w:val="0"/>
          <w:color w:val="auto"/>
          <w:sz w:val="22"/>
          <w:szCs w:val="22"/>
          <w:highlight w:val="none"/>
          <w:lang w:val="en-US" w:eastAsia="zh-CN"/>
        </w:rPr>
        <w:t>85</w:t>
      </w:r>
      <w:r>
        <w:rPr>
          <w:rFonts w:hint="eastAsia" w:ascii="方正兰亭黑简体" w:hAnsi="方正兰亭黑简体" w:eastAsia="方正兰亭黑简体" w:cs="方正兰亭黑简体"/>
          <w:b w:val="0"/>
          <w:bCs w:val="0"/>
          <w:color w:val="auto"/>
          <w:sz w:val="22"/>
          <w:szCs w:val="22"/>
          <w:highlight w:val="none"/>
        </w:rPr>
        <w:t>万平方米。</w:t>
      </w:r>
    </w:p>
    <w:p w14:paraId="25AC9856">
      <w:pPr>
        <w:keepNext w:val="0"/>
        <w:keepLines w:val="0"/>
        <w:pageBreakBefore w:val="0"/>
        <w:widowControl w:val="0"/>
        <w:numPr>
          <w:ilvl w:val="0"/>
          <w:numId w:val="0"/>
        </w:numPr>
        <w:tabs>
          <w:tab w:val="left" w:pos="960"/>
          <w:tab w:val="left" w:pos="1200"/>
          <w:tab w:val="left" w:pos="1440"/>
          <w:tab w:val="left" w:pos="1680"/>
        </w:tabs>
        <w:kinsoku/>
        <w:wordWrap/>
        <w:overflowPunct/>
        <w:topLinePunct w:val="0"/>
        <w:autoSpaceDE/>
        <w:autoSpaceDN/>
        <w:bidi w:val="0"/>
        <w:adjustRightInd w:val="0"/>
        <w:snapToGrid/>
        <w:spacing w:beforeAutospacing="0" w:afterAutospacing="0" w:line="360" w:lineRule="auto"/>
        <w:ind w:left="0" w:leftChars="0" w:right="0" w:rightChars="0" w:firstLine="0" w:firstLineChars="0"/>
        <w:jc w:val="left"/>
        <w:textAlignment w:val="baseline"/>
        <w:rPr>
          <w:rFonts w:hint="eastAsia" w:ascii="方正兰亭黑简体" w:hAnsi="方正兰亭黑简体" w:eastAsia="方正兰亭黑简体" w:cs="方正兰亭黑简体"/>
          <w:b w:val="0"/>
          <w:bCs w:val="0"/>
          <w:color w:val="auto"/>
          <w:sz w:val="22"/>
          <w:szCs w:val="22"/>
          <w:highlight w:val="none"/>
          <w:lang w:eastAsia="zh-CN"/>
        </w:rPr>
      </w:pPr>
      <w:r>
        <w:rPr>
          <w:rFonts w:hint="default" w:ascii="方正兰亭黑简体" w:hAnsi="方正兰亭黑简体" w:eastAsia="方正兰亭黑简体" w:cs="方正兰亭黑简体"/>
          <w:b w:val="0"/>
          <w:bCs w:val="0"/>
          <w:color w:val="auto"/>
          <w:kern w:val="2"/>
          <w:sz w:val="22"/>
          <w:szCs w:val="22"/>
          <w:highlight w:val="none"/>
          <w:lang w:val="en-US" w:eastAsia="zh-CN" w:bidi="ar-SA"/>
        </w:rPr>
        <w:t>2</w:t>
      </w:r>
      <w:r>
        <w:rPr>
          <w:rFonts w:hint="eastAsia" w:ascii="方正兰亭黑简体" w:hAnsi="方正兰亭黑简体" w:eastAsia="方正兰亭黑简体" w:cs="方正兰亭黑简体"/>
          <w:b w:val="0"/>
          <w:bCs w:val="0"/>
          <w:color w:val="auto"/>
          <w:kern w:val="2"/>
          <w:sz w:val="22"/>
          <w:szCs w:val="22"/>
          <w:highlight w:val="none"/>
          <w:lang w:val="en-US" w:eastAsia="zh-CN" w:bidi="ar-SA"/>
        </w:rPr>
        <w:t>、</w:t>
      </w:r>
      <w:r>
        <w:rPr>
          <w:rFonts w:hint="eastAsia" w:ascii="方正兰亭黑简体" w:hAnsi="方正兰亭黑简体" w:eastAsia="方正兰亭黑简体" w:cs="方正兰亭黑简体"/>
          <w:b w:val="0"/>
          <w:bCs w:val="0"/>
          <w:color w:val="auto"/>
          <w:sz w:val="22"/>
          <w:szCs w:val="22"/>
          <w:highlight w:val="none"/>
          <w:lang w:val="en-US" w:eastAsia="zh-CN"/>
        </w:rPr>
        <w:t>高恒大厦（地址：上海市浦东大道1608号），建筑地上26层，地下1层，建筑面积约3.3万平方米。预计高恒大厦2026年7月份启动全面大修。</w:t>
      </w:r>
    </w:p>
    <w:p w14:paraId="4E741A15">
      <w:pPr>
        <w:numPr>
          <w:ilvl w:val="0"/>
          <w:numId w:val="0"/>
        </w:numPr>
        <w:snapToGrid/>
        <w:spacing w:before="100" w:beforeAutospacing="0" w:after="100" w:afterAutospacing="0" w:line="360" w:lineRule="auto"/>
        <w:ind w:left="0" w:leftChars="0" w:right="0" w:rightChars="0" w:firstLine="0" w:firstLineChars="0"/>
        <w:jc w:val="left"/>
        <w:outlineLvl w:val="0"/>
        <w:rPr>
          <w:rFonts w:hint="eastAsia"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lang w:val="en-US" w:eastAsia="zh-CN" w:bidi="ar-SA"/>
        </w:rPr>
        <w:t>三、</w:t>
      </w:r>
      <w:r>
        <w:rPr>
          <w:rFonts w:hint="eastAsia" w:ascii="方正兰亭黑简体" w:hAnsi="方正兰亭黑简体" w:eastAsia="方正兰亭黑简体" w:cs="方正兰亭黑简体"/>
          <w:b/>
          <w:bCs/>
          <w:color w:val="auto"/>
          <w:sz w:val="22"/>
          <w:szCs w:val="22"/>
          <w:highlight w:val="none"/>
          <w:lang w:eastAsia="zh-CN"/>
        </w:rPr>
        <w:t>服务内容</w:t>
      </w:r>
    </w:p>
    <w:p w14:paraId="4C32999C">
      <w:pPr>
        <w:numPr>
          <w:ilvl w:val="0"/>
          <w:numId w:val="0"/>
        </w:numPr>
        <w:snapToGrid/>
        <w:spacing w:before="100" w:beforeAutospacing="0" w:after="100" w:afterAutospacing="0" w:line="360" w:lineRule="auto"/>
        <w:ind w:left="0" w:leftChars="0" w:right="0" w:rightChars="0" w:firstLine="0" w:firstLineChars="0"/>
        <w:jc w:val="left"/>
        <w:outlineLvl w:val="0"/>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kern w:val="2"/>
          <w:sz w:val="22"/>
          <w:szCs w:val="22"/>
          <w:highlight w:val="none"/>
          <w:lang w:val="en-US" w:eastAsia="zh-CN" w:bidi="ar-SA"/>
        </w:rPr>
        <w:t>（一）</w:t>
      </w:r>
      <w:r>
        <w:rPr>
          <w:rFonts w:hint="eastAsia" w:ascii="方正兰亭黑简体" w:hAnsi="方正兰亭黑简体" w:eastAsia="方正兰亭黑简体" w:cs="方正兰亭黑简体"/>
          <w:b w:val="0"/>
          <w:bCs w:val="0"/>
          <w:color w:val="auto"/>
          <w:sz w:val="22"/>
          <w:szCs w:val="22"/>
          <w:highlight w:val="none"/>
          <w:lang w:val="en-US" w:eastAsia="zh-CN"/>
        </w:rPr>
        <w:t>消防设备设施系统维护保养。具体包括：火灾自动报警系统、消防供水设施、消火栓系统、自动喷淋灭火系统、防排烟系统、应急照明疏散指示系统、应急广播系统、消防电话、防火分隔设施、消防电梯、气体灭火系统、消防灭火器材等</w:t>
      </w:r>
      <w:r>
        <w:rPr>
          <w:rFonts w:hint="eastAsia" w:ascii="方正兰亭黑简体" w:hAnsi="方正兰亭黑简体" w:eastAsia="方正兰亭黑简体" w:cs="方正兰亭黑简体"/>
          <w:b/>
          <w:bCs/>
          <w:color w:val="auto"/>
          <w:sz w:val="22"/>
          <w:szCs w:val="22"/>
          <w:highlight w:val="none"/>
          <w:lang w:val="en-US" w:eastAsia="zh-CN"/>
        </w:rPr>
        <w:t>（临港校区现有消防设备清单详见附件1）</w:t>
      </w:r>
      <w:r>
        <w:rPr>
          <w:rFonts w:hint="eastAsia" w:ascii="方正兰亭黑简体" w:hAnsi="方正兰亭黑简体" w:eastAsia="方正兰亭黑简体" w:cs="方正兰亭黑简体"/>
          <w:b w:val="0"/>
          <w:bCs w:val="0"/>
          <w:color w:val="auto"/>
          <w:sz w:val="22"/>
          <w:szCs w:val="22"/>
          <w:highlight w:val="none"/>
          <w:lang w:val="en-US" w:eastAsia="zh-CN"/>
        </w:rPr>
        <w:t>。</w:t>
      </w:r>
    </w:p>
    <w:p w14:paraId="5027FE2E">
      <w:pPr>
        <w:numPr>
          <w:ilvl w:val="0"/>
          <w:numId w:val="0"/>
        </w:numPr>
        <w:snapToGrid/>
        <w:spacing w:before="100" w:beforeAutospacing="0" w:after="100" w:afterAutospacing="0" w:line="360" w:lineRule="auto"/>
        <w:ind w:left="0" w:leftChars="0" w:right="0" w:rightChars="0" w:firstLine="0" w:firstLineChars="0"/>
        <w:jc w:val="left"/>
        <w:outlineLvl w:val="0"/>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kern w:val="2"/>
          <w:sz w:val="22"/>
          <w:szCs w:val="22"/>
          <w:highlight w:val="none"/>
          <w:lang w:val="en-US" w:eastAsia="zh-CN" w:bidi="ar-SA"/>
        </w:rPr>
        <w:t>（二）</w:t>
      </w:r>
      <w:r>
        <w:rPr>
          <w:rFonts w:hint="eastAsia" w:ascii="方正兰亭黑简体" w:hAnsi="方正兰亭黑简体" w:eastAsia="方正兰亭黑简体" w:cs="方正兰亭黑简体"/>
          <w:b w:val="0"/>
          <w:bCs w:val="0"/>
          <w:color w:val="auto"/>
          <w:sz w:val="22"/>
          <w:szCs w:val="22"/>
          <w:highlight w:val="none"/>
          <w:lang w:val="en-US" w:eastAsia="zh-CN"/>
        </w:rPr>
        <w:t>与消防业务相关的校园活动、培训宣传及技术支持。</w:t>
      </w:r>
    </w:p>
    <w:p w14:paraId="29D681F0">
      <w:pPr>
        <w:numPr>
          <w:ilvl w:val="0"/>
          <w:numId w:val="0"/>
        </w:numPr>
        <w:snapToGrid/>
        <w:spacing w:before="100" w:beforeAutospacing="0" w:after="100" w:afterAutospacing="0" w:line="360" w:lineRule="auto"/>
        <w:ind w:left="0" w:leftChars="0" w:right="0" w:rightChars="0" w:firstLine="0" w:firstLineChars="0"/>
        <w:jc w:val="left"/>
        <w:outlineLvl w:val="0"/>
        <w:rPr>
          <w:rFonts w:hint="eastAsia"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lang w:val="en-US" w:eastAsia="zh-CN" w:bidi="ar-SA"/>
        </w:rPr>
        <w:t>四、</w:t>
      </w:r>
      <w:r>
        <w:rPr>
          <w:rFonts w:hint="eastAsia" w:ascii="方正兰亭黑简体" w:hAnsi="方正兰亭黑简体" w:eastAsia="方正兰亭黑简体" w:cs="方正兰亭黑简体"/>
          <w:b/>
          <w:bCs/>
          <w:color w:val="auto"/>
          <w:sz w:val="22"/>
          <w:szCs w:val="22"/>
          <w:highlight w:val="none"/>
          <w:lang w:val="en-US" w:eastAsia="zh-CN"/>
        </w:rPr>
        <w:t>服务要求</w:t>
      </w:r>
    </w:p>
    <w:p w14:paraId="282DB375">
      <w:pPr>
        <w:numPr>
          <w:ilvl w:val="0"/>
          <w:numId w:val="0"/>
        </w:numPr>
        <w:snapToGrid/>
        <w:spacing w:before="100" w:beforeAutospacing="0" w:after="100" w:afterAutospacing="0" w:line="360" w:lineRule="auto"/>
        <w:ind w:left="0" w:leftChars="0" w:right="0" w:rightChars="0" w:firstLine="0" w:firstLineChars="0"/>
        <w:jc w:val="left"/>
        <w:outlineLvl w:val="0"/>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kern w:val="2"/>
          <w:sz w:val="22"/>
          <w:szCs w:val="22"/>
          <w:highlight w:val="none"/>
          <w:lang w:val="en-US" w:eastAsia="zh-CN" w:bidi="ar-SA"/>
        </w:rPr>
        <w:t>（一）</w:t>
      </w:r>
      <w:r>
        <w:rPr>
          <w:rFonts w:hint="eastAsia" w:ascii="方正兰亭黑简体" w:hAnsi="方正兰亭黑简体" w:eastAsia="方正兰亭黑简体" w:cs="方正兰亭黑简体"/>
          <w:b w:val="0"/>
          <w:bCs w:val="0"/>
          <w:color w:val="auto"/>
          <w:sz w:val="22"/>
          <w:szCs w:val="22"/>
          <w:highlight w:val="none"/>
          <w:lang w:val="en-US" w:eastAsia="zh-CN"/>
        </w:rPr>
        <w:t>基本要求</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7227"/>
        <w:gridCol w:w="1500"/>
      </w:tblGrid>
      <w:tr w14:paraId="46F1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vAlign w:val="center"/>
          </w:tcPr>
          <w:p w14:paraId="6AF21B86">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eastAsia="zh-CN"/>
              </w:rPr>
              <w:t>分类</w:t>
            </w:r>
          </w:p>
        </w:tc>
        <w:tc>
          <w:tcPr>
            <w:tcW w:w="3628" w:type="pct"/>
            <w:vAlign w:val="center"/>
          </w:tcPr>
          <w:p w14:paraId="36B21674">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基本要求</w:t>
            </w:r>
          </w:p>
        </w:tc>
        <w:tc>
          <w:tcPr>
            <w:tcW w:w="751" w:type="pct"/>
            <w:vAlign w:val="center"/>
          </w:tcPr>
          <w:p w14:paraId="60294194">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eastAsia="zh-CN"/>
              </w:rPr>
              <w:t>周期</w:t>
            </w:r>
          </w:p>
        </w:tc>
      </w:tr>
      <w:tr w14:paraId="2EC2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vAlign w:val="center"/>
          </w:tcPr>
          <w:p w14:paraId="7238ED36">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eastAsia="zh-CN"/>
              </w:rPr>
              <w:t>火灾自动报警系统</w:t>
            </w:r>
          </w:p>
        </w:tc>
        <w:tc>
          <w:tcPr>
            <w:tcW w:w="3628" w:type="pct"/>
            <w:vAlign w:val="center"/>
          </w:tcPr>
          <w:p w14:paraId="4003F29F">
            <w:p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（1）火灾报警控制器自检、消音复位、故障报警、火灾优先、报警记忆和主备电源自动转换等相关功能正常完好。</w:t>
            </w:r>
          </w:p>
          <w:p w14:paraId="2C8DCA72">
            <w:p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（2）消防控制室以及火灾报警控制器、联动控制器、层显（或区域控制器）、探测器、手动报警按钮等状态正常完好。</w:t>
            </w:r>
          </w:p>
          <w:p w14:paraId="2A84FB83">
            <w:p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（3）电话插孔、重要场所的对讲电话、播音设备、扬声器等状态正常完好。</w:t>
            </w:r>
          </w:p>
        </w:tc>
        <w:tc>
          <w:tcPr>
            <w:tcW w:w="751" w:type="pct"/>
            <w:vAlign w:val="center"/>
          </w:tcPr>
          <w:p w14:paraId="16BA51F8">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每月检查</w:t>
            </w:r>
          </w:p>
        </w:tc>
      </w:tr>
      <w:tr w14:paraId="5ACE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vAlign w:val="center"/>
          </w:tcPr>
          <w:p w14:paraId="00E66ACC">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eastAsia="zh-CN"/>
              </w:rPr>
              <w:t>消防供水系统</w:t>
            </w:r>
          </w:p>
        </w:tc>
        <w:tc>
          <w:tcPr>
            <w:tcW w:w="3628" w:type="pct"/>
            <w:vAlign w:val="center"/>
          </w:tcPr>
          <w:p w14:paraId="5879D16A">
            <w:p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(1)</w:t>
            </w:r>
            <w:r>
              <w:rPr>
                <w:rFonts w:hint="eastAsia" w:ascii="方正兰亭黑简体" w:hAnsi="方正兰亭黑简体" w:eastAsia="方正兰亭黑简体" w:cs="方正兰亭黑简体"/>
                <w:b w:val="0"/>
                <w:bCs w:val="0"/>
                <w:color w:val="auto"/>
                <w:sz w:val="22"/>
                <w:szCs w:val="22"/>
                <w:highlight w:val="none"/>
                <w:lang w:eastAsia="zh-CN"/>
              </w:rPr>
              <w:t>消防水池</w:t>
            </w:r>
            <w:r>
              <w:rPr>
                <w:rFonts w:hint="eastAsia" w:ascii="方正兰亭黑简体" w:hAnsi="方正兰亭黑简体" w:eastAsia="方正兰亭黑简体" w:cs="方正兰亭黑简体"/>
                <w:b w:val="0"/>
                <w:bCs w:val="0"/>
                <w:color w:val="auto"/>
                <w:sz w:val="22"/>
                <w:szCs w:val="22"/>
                <w:highlight w:val="none"/>
                <w:lang w:val="en-US" w:eastAsia="zh-CN"/>
              </w:rPr>
              <w:t>、水箱的水位及水压状态正常完好</w:t>
            </w:r>
          </w:p>
          <w:p w14:paraId="03B025D0">
            <w:p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(2)消防水泵的运行、启停、远程操作及压力状态正常完好。</w:t>
            </w:r>
          </w:p>
          <w:p w14:paraId="083B4D68">
            <w:p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(3)消防增压稳压设备的运行、启停及压力状态正常完好。</w:t>
            </w:r>
          </w:p>
        </w:tc>
        <w:tc>
          <w:tcPr>
            <w:tcW w:w="751" w:type="pct"/>
            <w:vAlign w:val="center"/>
          </w:tcPr>
          <w:p w14:paraId="0C65148B">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每月检查</w:t>
            </w:r>
          </w:p>
        </w:tc>
      </w:tr>
      <w:tr w14:paraId="414B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vAlign w:val="center"/>
          </w:tcPr>
          <w:p w14:paraId="4AEDBF7D">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eastAsia="zh-CN"/>
              </w:rPr>
              <w:t>消火栓系统</w:t>
            </w:r>
          </w:p>
        </w:tc>
        <w:tc>
          <w:tcPr>
            <w:tcW w:w="3628" w:type="pct"/>
            <w:vAlign w:val="center"/>
          </w:tcPr>
          <w:p w14:paraId="6A59EE0B">
            <w:p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eastAsia="zh-CN"/>
              </w:rPr>
              <w:t>消防泵房工作环境及消防泵</w:t>
            </w:r>
            <w:r>
              <w:rPr>
                <w:rFonts w:hint="eastAsia" w:ascii="方正兰亭黑简体" w:hAnsi="方正兰亭黑简体" w:eastAsia="方正兰亭黑简体" w:cs="方正兰亭黑简体"/>
                <w:b w:val="0"/>
                <w:bCs w:val="0"/>
                <w:color w:val="auto"/>
                <w:sz w:val="22"/>
                <w:szCs w:val="22"/>
                <w:highlight w:val="none"/>
                <w:lang w:val="en-US" w:eastAsia="zh-CN"/>
              </w:rPr>
              <w:t>、稳压设备、电源控制柜、管网、阀门、水泵接合器、室内外消火栓、储水设施等状态正常完好。</w:t>
            </w:r>
          </w:p>
        </w:tc>
        <w:tc>
          <w:tcPr>
            <w:tcW w:w="751" w:type="pct"/>
            <w:vAlign w:val="center"/>
          </w:tcPr>
          <w:p w14:paraId="24B24F4E">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每月检查</w:t>
            </w:r>
          </w:p>
        </w:tc>
      </w:tr>
      <w:tr w14:paraId="453E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vAlign w:val="center"/>
          </w:tcPr>
          <w:p w14:paraId="483B9B58">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eastAsia="zh-CN"/>
              </w:rPr>
              <w:t>自动喷淋灭火系统</w:t>
            </w:r>
          </w:p>
        </w:tc>
        <w:tc>
          <w:tcPr>
            <w:tcW w:w="3628" w:type="pct"/>
            <w:vAlign w:val="center"/>
          </w:tcPr>
          <w:p w14:paraId="51788AF9">
            <w:pPr>
              <w:numPr>
                <w:ilvl w:val="0"/>
                <w:numId w:val="0"/>
              </w:num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(1)</w:t>
            </w:r>
            <w:r>
              <w:rPr>
                <w:rFonts w:hint="eastAsia" w:ascii="方正兰亭黑简体" w:hAnsi="方正兰亭黑简体" w:eastAsia="方正兰亭黑简体" w:cs="方正兰亭黑简体"/>
                <w:b w:val="0"/>
                <w:bCs w:val="0"/>
                <w:color w:val="auto"/>
                <w:sz w:val="22"/>
                <w:szCs w:val="22"/>
                <w:highlight w:val="none"/>
                <w:lang w:eastAsia="zh-CN"/>
              </w:rPr>
              <w:t>泵房工作环境及消防泵</w:t>
            </w:r>
            <w:r>
              <w:rPr>
                <w:rFonts w:hint="eastAsia" w:ascii="方正兰亭黑简体" w:hAnsi="方正兰亭黑简体" w:eastAsia="方正兰亭黑简体" w:cs="方正兰亭黑简体"/>
                <w:b w:val="0"/>
                <w:bCs w:val="0"/>
                <w:color w:val="auto"/>
                <w:sz w:val="22"/>
                <w:szCs w:val="22"/>
                <w:highlight w:val="none"/>
                <w:lang w:val="en-US" w:eastAsia="zh-CN"/>
              </w:rPr>
              <w:t>、稳压设备、电源控制柜、湿式报警阀、管网阀门、喷头、水泵接合器、储水设施等状态正常完好。</w:t>
            </w:r>
          </w:p>
          <w:p w14:paraId="3DC24597">
            <w:pPr>
              <w:numPr>
                <w:ilvl w:val="0"/>
                <w:numId w:val="0"/>
              </w:num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(2)试验消防泵能否正常工作。</w:t>
            </w:r>
          </w:p>
        </w:tc>
        <w:tc>
          <w:tcPr>
            <w:tcW w:w="751" w:type="pct"/>
            <w:vAlign w:val="center"/>
          </w:tcPr>
          <w:p w14:paraId="4C164441">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每月检查</w:t>
            </w:r>
          </w:p>
        </w:tc>
      </w:tr>
      <w:tr w14:paraId="473D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vAlign w:val="center"/>
          </w:tcPr>
          <w:p w14:paraId="1027AA6D">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eastAsia="zh-CN"/>
              </w:rPr>
              <w:t>防排烟系统</w:t>
            </w:r>
          </w:p>
        </w:tc>
        <w:tc>
          <w:tcPr>
            <w:tcW w:w="3628" w:type="pct"/>
            <w:vAlign w:val="center"/>
          </w:tcPr>
          <w:p w14:paraId="04952CC5">
            <w:p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eastAsia="zh-CN"/>
              </w:rPr>
              <w:t>送风</w:t>
            </w:r>
            <w:r>
              <w:rPr>
                <w:rFonts w:hint="eastAsia" w:ascii="方正兰亭黑简体" w:hAnsi="方正兰亭黑简体" w:eastAsia="方正兰亭黑简体" w:cs="方正兰亭黑简体"/>
                <w:b w:val="0"/>
                <w:bCs w:val="0"/>
                <w:color w:val="auto"/>
                <w:sz w:val="22"/>
                <w:szCs w:val="22"/>
                <w:highlight w:val="none"/>
                <w:lang w:val="en-US" w:eastAsia="zh-CN"/>
              </w:rPr>
              <w:t>、排烟机房工作环境以及送风机、排烟机、电源控制柜、送风口、排烟口、防火阀等状态正常完好。</w:t>
            </w:r>
          </w:p>
        </w:tc>
        <w:tc>
          <w:tcPr>
            <w:tcW w:w="751" w:type="pct"/>
            <w:vAlign w:val="center"/>
          </w:tcPr>
          <w:p w14:paraId="4E9B777D">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每月检查</w:t>
            </w:r>
          </w:p>
        </w:tc>
      </w:tr>
      <w:tr w14:paraId="5768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vAlign w:val="center"/>
          </w:tcPr>
          <w:p w14:paraId="3F49F593">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eastAsia="zh-CN"/>
              </w:rPr>
              <w:t>应急照明疏散指示系统</w:t>
            </w:r>
          </w:p>
        </w:tc>
        <w:tc>
          <w:tcPr>
            <w:tcW w:w="3628" w:type="pct"/>
            <w:vAlign w:val="center"/>
          </w:tcPr>
          <w:p w14:paraId="50E77200">
            <w:p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eastAsia="zh-CN"/>
              </w:rPr>
              <w:t>安全出口</w:t>
            </w:r>
            <w:r>
              <w:rPr>
                <w:rFonts w:hint="eastAsia" w:ascii="方正兰亭黑简体" w:hAnsi="方正兰亭黑简体" w:eastAsia="方正兰亭黑简体" w:cs="方正兰亭黑简体"/>
                <w:b w:val="0"/>
                <w:bCs w:val="0"/>
                <w:color w:val="auto"/>
                <w:sz w:val="22"/>
                <w:szCs w:val="22"/>
                <w:highlight w:val="none"/>
                <w:lang w:val="en-US" w:eastAsia="zh-CN"/>
              </w:rPr>
              <w:t>、疏散通道、重要场所的应急照明或疏散指示标志等消防应急灯具状态正常完好。</w:t>
            </w:r>
          </w:p>
        </w:tc>
        <w:tc>
          <w:tcPr>
            <w:tcW w:w="751" w:type="pct"/>
            <w:vAlign w:val="center"/>
          </w:tcPr>
          <w:p w14:paraId="0B6BA5ED">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每月检查</w:t>
            </w:r>
          </w:p>
        </w:tc>
      </w:tr>
      <w:tr w14:paraId="6E9B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vAlign w:val="center"/>
          </w:tcPr>
          <w:p w14:paraId="71FB3F66">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eastAsia="zh-CN"/>
              </w:rPr>
              <w:t>应急广播</w:t>
            </w:r>
          </w:p>
        </w:tc>
        <w:tc>
          <w:tcPr>
            <w:tcW w:w="3628" w:type="pct"/>
            <w:vAlign w:val="center"/>
          </w:tcPr>
          <w:p w14:paraId="1A04B226">
            <w:p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eastAsia="zh-CN"/>
              </w:rPr>
              <w:t>电话插孔</w:t>
            </w:r>
            <w:r>
              <w:rPr>
                <w:rFonts w:hint="eastAsia" w:ascii="方正兰亭黑简体" w:hAnsi="方正兰亭黑简体" w:eastAsia="方正兰亭黑简体" w:cs="方正兰亭黑简体"/>
                <w:b w:val="0"/>
                <w:bCs w:val="0"/>
                <w:color w:val="auto"/>
                <w:sz w:val="22"/>
                <w:szCs w:val="22"/>
                <w:highlight w:val="none"/>
                <w:lang w:val="en-US" w:eastAsia="zh-CN"/>
              </w:rPr>
              <w:t>、重要场所的对讲电话、播音设备、扬声器等状态正常完好。</w:t>
            </w:r>
          </w:p>
        </w:tc>
        <w:tc>
          <w:tcPr>
            <w:tcW w:w="751" w:type="pct"/>
            <w:vAlign w:val="center"/>
          </w:tcPr>
          <w:p w14:paraId="467B7177">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每月检查</w:t>
            </w:r>
          </w:p>
        </w:tc>
      </w:tr>
      <w:tr w14:paraId="47AD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vAlign w:val="center"/>
          </w:tcPr>
          <w:p w14:paraId="09C65937">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消防电话</w:t>
            </w:r>
          </w:p>
        </w:tc>
        <w:tc>
          <w:tcPr>
            <w:tcW w:w="3628" w:type="pct"/>
            <w:vAlign w:val="center"/>
          </w:tcPr>
          <w:p w14:paraId="4470B9FA">
            <w:p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消防电话主机及分机电话通话质量、功能正常完好。</w:t>
            </w:r>
          </w:p>
        </w:tc>
        <w:tc>
          <w:tcPr>
            <w:tcW w:w="751" w:type="pct"/>
            <w:vAlign w:val="center"/>
          </w:tcPr>
          <w:p w14:paraId="6F3493E1">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每月检查</w:t>
            </w:r>
          </w:p>
        </w:tc>
      </w:tr>
      <w:tr w14:paraId="470E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vAlign w:val="center"/>
          </w:tcPr>
          <w:p w14:paraId="3AB98CC6">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eastAsia="zh-CN"/>
              </w:rPr>
              <w:t>防火分隔设施</w:t>
            </w:r>
          </w:p>
        </w:tc>
        <w:tc>
          <w:tcPr>
            <w:tcW w:w="3628" w:type="pct"/>
            <w:vAlign w:val="center"/>
          </w:tcPr>
          <w:p w14:paraId="508D3B00">
            <w:p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eastAsia="zh-CN"/>
              </w:rPr>
              <w:t>防火门</w:t>
            </w:r>
            <w:r>
              <w:rPr>
                <w:rFonts w:hint="eastAsia" w:ascii="方正兰亭黑简体" w:hAnsi="方正兰亭黑简体" w:eastAsia="方正兰亭黑简体" w:cs="方正兰亭黑简体"/>
                <w:b w:val="0"/>
                <w:bCs w:val="0"/>
                <w:color w:val="auto"/>
                <w:sz w:val="22"/>
                <w:szCs w:val="22"/>
                <w:highlight w:val="none"/>
                <w:lang w:val="en-US" w:eastAsia="zh-CN"/>
              </w:rPr>
              <w:t>、防火卷帘门周围无影响正常启闭的障碍物，附件齐全完好，门的启、闭功能状态正常完好。</w:t>
            </w:r>
          </w:p>
        </w:tc>
        <w:tc>
          <w:tcPr>
            <w:tcW w:w="751" w:type="pct"/>
            <w:vAlign w:val="center"/>
          </w:tcPr>
          <w:p w14:paraId="04A6123E">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每月检查</w:t>
            </w:r>
          </w:p>
        </w:tc>
      </w:tr>
      <w:tr w14:paraId="5979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vAlign w:val="center"/>
          </w:tcPr>
          <w:p w14:paraId="5E4139E5">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eastAsia="zh-CN"/>
              </w:rPr>
              <w:t>消防电梯</w:t>
            </w:r>
          </w:p>
        </w:tc>
        <w:tc>
          <w:tcPr>
            <w:tcW w:w="3628" w:type="pct"/>
            <w:vAlign w:val="center"/>
          </w:tcPr>
          <w:p w14:paraId="375EC3DF">
            <w:p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测试首层按钮控制回首层功能,通过报警联动，检查电梯自动迫降功能正常完好。</w:t>
            </w:r>
          </w:p>
        </w:tc>
        <w:tc>
          <w:tcPr>
            <w:tcW w:w="751" w:type="pct"/>
            <w:vAlign w:val="center"/>
          </w:tcPr>
          <w:p w14:paraId="1DF1FD35">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每月检查</w:t>
            </w:r>
          </w:p>
        </w:tc>
      </w:tr>
      <w:tr w14:paraId="4FB4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vAlign w:val="center"/>
          </w:tcPr>
          <w:p w14:paraId="6713FB00">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eastAsia="zh-CN"/>
              </w:rPr>
              <w:t>气体灭火系统</w:t>
            </w:r>
          </w:p>
        </w:tc>
        <w:tc>
          <w:tcPr>
            <w:tcW w:w="3628" w:type="pct"/>
            <w:vAlign w:val="center"/>
          </w:tcPr>
          <w:p w14:paraId="24A5A8DE">
            <w:pPr>
              <w:numPr>
                <w:ilvl w:val="0"/>
                <w:numId w:val="1"/>
              </w:num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eastAsia="zh-CN"/>
              </w:rPr>
              <w:t>检查组件是否固定牢固，手动操作装置的铅封正常完好。</w:t>
            </w:r>
          </w:p>
          <w:p w14:paraId="0CA005A5">
            <w:pPr>
              <w:numPr>
                <w:ilvl w:val="0"/>
                <w:numId w:val="1"/>
              </w:num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eastAsia="zh-CN"/>
              </w:rPr>
              <w:t>测试检漏报警、紧急启动/停止按钮的紧急功能正常完好。</w:t>
            </w:r>
          </w:p>
          <w:p w14:paraId="7CD32B4F">
            <w:pPr>
              <w:numPr>
                <w:ilvl w:val="0"/>
                <w:numId w:val="1"/>
              </w:num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eastAsia="zh-CN"/>
              </w:rPr>
              <w:t>测试启动装置、选择阀手动启动功能正常完好。</w:t>
            </w:r>
          </w:p>
          <w:p w14:paraId="2B64AA0B">
            <w:pPr>
              <w:numPr>
                <w:ilvl w:val="0"/>
                <w:numId w:val="1"/>
              </w:num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eastAsia="zh-CN"/>
              </w:rPr>
              <w:t>以自动方式进行模拟喷气试验，检验系统报警、联动功能正常完好。</w:t>
            </w:r>
          </w:p>
        </w:tc>
        <w:tc>
          <w:tcPr>
            <w:tcW w:w="751" w:type="pct"/>
            <w:vAlign w:val="center"/>
          </w:tcPr>
          <w:p w14:paraId="1B983F98">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每月检查</w:t>
            </w:r>
          </w:p>
          <w:p w14:paraId="58517810">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每季度检查</w:t>
            </w:r>
          </w:p>
        </w:tc>
      </w:tr>
      <w:tr w14:paraId="2D35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vAlign w:val="center"/>
          </w:tcPr>
          <w:p w14:paraId="059F8784">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eastAsia="zh-CN"/>
              </w:rPr>
              <w:t>灭火器材</w:t>
            </w:r>
          </w:p>
        </w:tc>
        <w:tc>
          <w:tcPr>
            <w:tcW w:w="3628" w:type="pct"/>
            <w:vAlign w:val="center"/>
          </w:tcPr>
          <w:p w14:paraId="00A71B6E">
            <w:p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检查</w:t>
            </w:r>
            <w:r>
              <w:rPr>
                <w:rFonts w:hint="eastAsia" w:ascii="方正兰亭黑简体" w:hAnsi="方正兰亭黑简体" w:eastAsia="方正兰亭黑简体" w:cs="方正兰亭黑简体"/>
                <w:b w:val="0"/>
                <w:bCs w:val="0"/>
                <w:color w:val="auto"/>
                <w:sz w:val="22"/>
                <w:szCs w:val="22"/>
                <w:highlight w:val="none"/>
                <w:lang w:eastAsia="zh-CN"/>
              </w:rPr>
              <w:t>灭火</w:t>
            </w:r>
            <w:r>
              <w:rPr>
                <w:rFonts w:hint="eastAsia" w:ascii="方正兰亭黑简体" w:hAnsi="方正兰亭黑简体" w:eastAsia="方正兰亭黑简体" w:cs="方正兰亭黑简体"/>
                <w:b w:val="0"/>
                <w:bCs w:val="0"/>
                <w:color w:val="auto"/>
                <w:sz w:val="22"/>
                <w:szCs w:val="22"/>
                <w:highlight w:val="none"/>
                <w:lang w:val="en-US" w:eastAsia="zh-CN"/>
              </w:rPr>
              <w:t>器材</w:t>
            </w:r>
            <w:r>
              <w:rPr>
                <w:rFonts w:hint="eastAsia" w:ascii="方正兰亭黑简体" w:hAnsi="方正兰亭黑简体" w:eastAsia="方正兰亭黑简体" w:cs="方正兰亭黑简体"/>
                <w:b w:val="0"/>
                <w:bCs w:val="0"/>
                <w:color w:val="auto"/>
                <w:sz w:val="22"/>
                <w:szCs w:val="22"/>
                <w:highlight w:val="none"/>
                <w:lang w:eastAsia="zh-CN"/>
              </w:rPr>
              <w:t>的使用现状检查，确保灭火器、</w:t>
            </w:r>
            <w:r>
              <w:rPr>
                <w:rFonts w:hint="eastAsia" w:ascii="方正兰亭黑简体" w:hAnsi="方正兰亭黑简体" w:eastAsia="方正兰亭黑简体" w:cs="方正兰亭黑简体"/>
                <w:b w:val="0"/>
                <w:bCs w:val="0"/>
                <w:color w:val="auto"/>
                <w:sz w:val="22"/>
                <w:szCs w:val="22"/>
                <w:highlight w:val="none"/>
                <w:lang w:val="en-US" w:eastAsia="zh-CN"/>
              </w:rPr>
              <w:t>消防水带</w:t>
            </w:r>
            <w:r>
              <w:rPr>
                <w:rFonts w:hint="eastAsia" w:ascii="方正兰亭黑简体" w:hAnsi="方正兰亭黑简体" w:eastAsia="方正兰亭黑简体" w:cs="方正兰亭黑简体"/>
                <w:b w:val="0"/>
                <w:bCs w:val="0"/>
                <w:color w:val="auto"/>
                <w:sz w:val="22"/>
                <w:szCs w:val="22"/>
                <w:highlight w:val="none"/>
                <w:lang w:eastAsia="zh-CN"/>
              </w:rPr>
              <w:t>处于完好有效状态。</w:t>
            </w:r>
          </w:p>
        </w:tc>
        <w:tc>
          <w:tcPr>
            <w:tcW w:w="751" w:type="pct"/>
            <w:vAlign w:val="center"/>
          </w:tcPr>
          <w:p w14:paraId="32A02BD0">
            <w:p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eastAsia="zh-CN"/>
              </w:rPr>
              <w:t>每月检查</w:t>
            </w:r>
          </w:p>
        </w:tc>
      </w:tr>
      <w:tr w14:paraId="19BF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vAlign w:val="center"/>
          </w:tcPr>
          <w:p w14:paraId="75B87D0F">
            <w:pPr>
              <w:numPr>
                <w:ilvl w:val="0"/>
                <w:numId w:val="0"/>
              </w:num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其他</w:t>
            </w:r>
          </w:p>
        </w:tc>
        <w:tc>
          <w:tcPr>
            <w:tcW w:w="3628" w:type="pct"/>
            <w:vAlign w:val="center"/>
          </w:tcPr>
          <w:p w14:paraId="7F7C1B5E">
            <w:pPr>
              <w:numPr>
                <w:ilvl w:val="0"/>
                <w:numId w:val="0"/>
              </w:num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(1)</w:t>
            </w:r>
            <w:r>
              <w:rPr>
                <w:rFonts w:hint="eastAsia" w:ascii="方正兰亭黑简体" w:hAnsi="方正兰亭黑简体" w:eastAsia="方正兰亭黑简体" w:cs="方正兰亭黑简体"/>
                <w:b w:val="0"/>
                <w:bCs w:val="0"/>
                <w:color w:val="auto"/>
                <w:sz w:val="22"/>
                <w:szCs w:val="22"/>
                <w:highlight w:val="none"/>
                <w:lang w:eastAsia="zh-CN"/>
              </w:rPr>
              <w:t>协助招标方管理部门（保卫处）开展消防教育培训、消防演练等工作。</w:t>
            </w:r>
          </w:p>
          <w:p w14:paraId="133F0FD7">
            <w:pPr>
              <w:numPr>
                <w:ilvl w:val="0"/>
                <w:numId w:val="0"/>
              </w:num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(2)</w:t>
            </w:r>
            <w:r>
              <w:rPr>
                <w:rFonts w:hint="eastAsia" w:ascii="方正兰亭黑简体" w:hAnsi="方正兰亭黑简体" w:eastAsia="方正兰亭黑简体" w:cs="方正兰亭黑简体"/>
                <w:b w:val="0"/>
                <w:bCs w:val="0"/>
                <w:color w:val="auto"/>
                <w:sz w:val="22"/>
                <w:szCs w:val="22"/>
                <w:highlight w:val="none"/>
                <w:lang w:eastAsia="zh-CN"/>
              </w:rPr>
              <w:t>提供招标方有关消防工作的技术支持。</w:t>
            </w:r>
          </w:p>
          <w:p w14:paraId="71B6779E">
            <w:pPr>
              <w:numPr>
                <w:ilvl w:val="0"/>
                <w:numId w:val="0"/>
              </w:numPr>
              <w:tabs>
                <w:tab w:val="left" w:pos="1080"/>
              </w:tabs>
              <w:spacing w:line="360" w:lineRule="auto"/>
              <w:ind w:left="0" w:leftChars="0" w:firstLine="0" w:firstLineChars="0"/>
              <w:jc w:val="left"/>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(3)按相关新规要求需列入维保服务的相关内容。</w:t>
            </w:r>
          </w:p>
        </w:tc>
        <w:tc>
          <w:tcPr>
            <w:tcW w:w="751" w:type="pct"/>
            <w:vAlign w:val="center"/>
          </w:tcPr>
          <w:p w14:paraId="0BE42476">
            <w:pPr>
              <w:numPr>
                <w:ilvl w:val="0"/>
                <w:numId w:val="0"/>
              </w:num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按要求实施</w:t>
            </w:r>
          </w:p>
        </w:tc>
      </w:tr>
      <w:tr w14:paraId="53BE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54434278">
            <w:pPr>
              <w:numPr>
                <w:ilvl w:val="0"/>
                <w:numId w:val="0"/>
              </w:numPr>
              <w:tabs>
                <w:tab w:val="left" w:pos="1080"/>
              </w:tabs>
              <w:spacing w:line="360" w:lineRule="auto"/>
              <w:ind w:left="0" w:leftChars="0" w:firstLine="0" w:firstLineChars="0"/>
              <w:jc w:val="center"/>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服务方</w:t>
            </w:r>
            <w:r>
              <w:rPr>
                <w:rFonts w:hint="eastAsia" w:ascii="方正兰亭黑简体" w:hAnsi="方正兰亭黑简体" w:eastAsia="方正兰亭黑简体" w:cs="方正兰亭黑简体"/>
                <w:b w:val="0"/>
                <w:bCs w:val="0"/>
                <w:color w:val="auto"/>
                <w:sz w:val="22"/>
                <w:szCs w:val="22"/>
                <w:highlight w:val="none"/>
                <w:lang w:eastAsia="zh-CN"/>
              </w:rPr>
              <w:t>每半年对维保范围内的消防设施要进行一次全面的测试，并出具一份较为详细的维保</w:t>
            </w:r>
            <w:r>
              <w:rPr>
                <w:rFonts w:hint="eastAsia" w:ascii="方正兰亭黑简体" w:hAnsi="方正兰亭黑简体" w:eastAsia="方正兰亭黑简体" w:cs="方正兰亭黑简体"/>
                <w:b w:val="0"/>
                <w:bCs w:val="0"/>
                <w:color w:val="auto"/>
                <w:sz w:val="22"/>
                <w:szCs w:val="22"/>
                <w:highlight w:val="none"/>
                <w:lang w:val="en-US" w:eastAsia="zh-CN"/>
              </w:rPr>
              <w:t>工作报告</w:t>
            </w:r>
            <w:r>
              <w:rPr>
                <w:rFonts w:hint="eastAsia" w:ascii="方正兰亭黑简体" w:hAnsi="方正兰亭黑简体" w:eastAsia="方正兰亭黑简体" w:cs="方正兰亭黑简体"/>
                <w:b w:val="0"/>
                <w:bCs w:val="0"/>
                <w:color w:val="auto"/>
                <w:sz w:val="22"/>
                <w:szCs w:val="22"/>
                <w:highlight w:val="none"/>
                <w:lang w:eastAsia="zh-CN"/>
              </w:rPr>
              <w:t>。</w:t>
            </w:r>
          </w:p>
        </w:tc>
      </w:tr>
    </w:tbl>
    <w:p w14:paraId="7474EBAD">
      <w:pPr>
        <w:numPr>
          <w:ilvl w:val="0"/>
          <w:numId w:val="0"/>
        </w:numPr>
        <w:snapToGrid/>
        <w:spacing w:before="100" w:beforeAutospacing="0" w:after="100" w:afterAutospacing="0" w:line="360" w:lineRule="auto"/>
        <w:ind w:left="0" w:leftChars="0" w:right="0" w:rightChars="0" w:firstLine="0" w:firstLineChars="0"/>
        <w:jc w:val="left"/>
        <w:outlineLvl w:val="0"/>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kern w:val="2"/>
          <w:sz w:val="22"/>
          <w:szCs w:val="22"/>
          <w:highlight w:val="none"/>
          <w:lang w:val="en-US" w:eastAsia="zh-CN" w:bidi="ar-SA"/>
        </w:rPr>
        <w:t>（二）</w:t>
      </w:r>
      <w:r>
        <w:rPr>
          <w:rFonts w:hint="eastAsia" w:ascii="方正兰亭黑简体" w:hAnsi="方正兰亭黑简体" w:eastAsia="方正兰亭黑简体" w:cs="方正兰亭黑简体"/>
          <w:b w:val="0"/>
          <w:bCs w:val="0"/>
          <w:color w:val="auto"/>
          <w:sz w:val="22"/>
          <w:szCs w:val="22"/>
          <w:highlight w:val="none"/>
          <w:lang w:val="en-US" w:eastAsia="zh-CN"/>
        </w:rPr>
        <w:t>记录要求：</w:t>
      </w:r>
    </w:p>
    <w:p w14:paraId="72822345">
      <w:pPr>
        <w:numPr>
          <w:ilvl w:val="0"/>
          <w:numId w:val="0"/>
        </w:numPr>
        <w:snapToGrid/>
        <w:spacing w:before="100" w:beforeAutospacing="0" w:after="100" w:afterAutospacing="0" w:line="360" w:lineRule="auto"/>
        <w:ind w:left="0" w:leftChars="0" w:right="0" w:rightChars="0" w:firstLine="0" w:firstLineChars="0"/>
        <w:jc w:val="left"/>
        <w:outlineLvl w:val="1"/>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default" w:ascii="方正兰亭黑简体" w:hAnsi="方正兰亭黑简体" w:eastAsia="方正兰亭黑简体" w:cs="方正兰亭黑简体"/>
          <w:b w:val="0"/>
          <w:bCs w:val="0"/>
          <w:color w:val="auto"/>
          <w:kern w:val="2"/>
          <w:sz w:val="22"/>
          <w:szCs w:val="22"/>
          <w:highlight w:val="none"/>
          <w:lang w:val="en-US" w:eastAsia="zh-CN" w:bidi="ar-SA"/>
        </w:rPr>
        <w:t>1</w:t>
      </w:r>
      <w:r>
        <w:rPr>
          <w:rFonts w:hint="eastAsia" w:ascii="方正兰亭黑简体" w:hAnsi="方正兰亭黑简体" w:eastAsia="方正兰亭黑简体" w:cs="方正兰亭黑简体"/>
          <w:b w:val="0"/>
          <w:bCs w:val="0"/>
          <w:color w:val="auto"/>
          <w:kern w:val="2"/>
          <w:sz w:val="22"/>
          <w:szCs w:val="22"/>
          <w:highlight w:val="none"/>
          <w:lang w:val="en-US" w:eastAsia="zh-CN" w:bidi="ar-SA"/>
        </w:rPr>
        <w:t>、</w:t>
      </w:r>
      <w:r>
        <w:rPr>
          <w:rFonts w:hint="eastAsia" w:ascii="方正兰亭黑简体" w:hAnsi="方正兰亭黑简体" w:eastAsia="方正兰亭黑简体" w:cs="方正兰亭黑简体"/>
          <w:b w:val="0"/>
          <w:bCs w:val="0"/>
          <w:color w:val="auto"/>
          <w:sz w:val="22"/>
          <w:szCs w:val="22"/>
          <w:highlight w:val="none"/>
          <w:lang w:val="en-US" w:eastAsia="zh-CN"/>
        </w:rPr>
        <w:t xml:space="preserve">质量记录 </w:t>
      </w:r>
    </w:p>
    <w:p w14:paraId="7A1CCF46">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val="0"/>
          <w:bCs w:val="0"/>
          <w:color w:val="auto"/>
          <w:sz w:val="22"/>
          <w:szCs w:val="22"/>
          <w:highlight w:val="none"/>
        </w:rPr>
      </w:pPr>
      <w:r>
        <w:rPr>
          <w:rFonts w:hint="eastAsia" w:ascii="方正兰亭黑简体" w:hAnsi="方正兰亭黑简体" w:eastAsia="方正兰亭黑简体" w:cs="方正兰亭黑简体"/>
          <w:b w:val="0"/>
          <w:bCs w:val="0"/>
          <w:color w:val="auto"/>
          <w:sz w:val="22"/>
          <w:szCs w:val="22"/>
          <w:highlight w:val="none"/>
        </w:rPr>
        <w:t>完成检查或测试后需在被检的系统或设备上张贴检查信息（检查时间、运行状态、检查人），并形成《消防系统</w:t>
      </w:r>
      <w:r>
        <w:rPr>
          <w:rFonts w:hint="eastAsia" w:ascii="方正兰亭黑简体" w:hAnsi="方正兰亭黑简体" w:eastAsia="方正兰亭黑简体" w:cs="方正兰亭黑简体"/>
          <w:b w:val="0"/>
          <w:bCs w:val="0"/>
          <w:color w:val="auto"/>
          <w:sz w:val="22"/>
          <w:szCs w:val="22"/>
          <w:highlight w:val="none"/>
          <w:lang w:val="en-US" w:eastAsia="zh-CN"/>
        </w:rPr>
        <w:t>维护保养</w:t>
      </w:r>
      <w:r>
        <w:rPr>
          <w:rFonts w:hint="eastAsia" w:ascii="方正兰亭黑简体" w:hAnsi="方正兰亭黑简体" w:eastAsia="方正兰亭黑简体" w:cs="方正兰亭黑简体"/>
          <w:b w:val="0"/>
          <w:bCs w:val="0"/>
          <w:color w:val="auto"/>
          <w:sz w:val="22"/>
          <w:szCs w:val="22"/>
          <w:highlight w:val="none"/>
        </w:rPr>
        <w:t>记录表》，及时报送招标方管理部门（保卫处），经管理人员核查确认签字后，视为检查工作的完成，并存档作为维保工作年终考核依据。</w:t>
      </w:r>
    </w:p>
    <w:p w14:paraId="7ACD9E08">
      <w:pPr>
        <w:numPr>
          <w:ilvl w:val="0"/>
          <w:numId w:val="0"/>
        </w:numPr>
        <w:snapToGrid/>
        <w:spacing w:before="100" w:beforeAutospacing="0" w:after="100" w:afterAutospacing="0" w:line="360" w:lineRule="auto"/>
        <w:ind w:left="0" w:leftChars="0" w:right="0" w:rightChars="0" w:firstLine="0" w:firstLineChars="0"/>
        <w:jc w:val="left"/>
        <w:outlineLvl w:val="1"/>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default" w:ascii="方正兰亭黑简体" w:hAnsi="方正兰亭黑简体" w:eastAsia="方正兰亭黑简体" w:cs="方正兰亭黑简体"/>
          <w:b w:val="0"/>
          <w:bCs w:val="0"/>
          <w:color w:val="auto"/>
          <w:kern w:val="2"/>
          <w:sz w:val="22"/>
          <w:szCs w:val="22"/>
          <w:highlight w:val="none"/>
          <w:lang w:val="en-US" w:eastAsia="zh-CN" w:bidi="ar-SA"/>
        </w:rPr>
        <w:t>2</w:t>
      </w:r>
      <w:r>
        <w:rPr>
          <w:rFonts w:hint="eastAsia" w:ascii="方正兰亭黑简体" w:hAnsi="方正兰亭黑简体" w:eastAsia="方正兰亭黑简体" w:cs="方正兰亭黑简体"/>
          <w:b w:val="0"/>
          <w:bCs w:val="0"/>
          <w:color w:val="auto"/>
          <w:kern w:val="2"/>
          <w:sz w:val="22"/>
          <w:szCs w:val="22"/>
          <w:highlight w:val="none"/>
          <w:lang w:val="en-US" w:eastAsia="zh-CN" w:bidi="ar-SA"/>
        </w:rPr>
        <w:t>、</w:t>
      </w:r>
      <w:r>
        <w:rPr>
          <w:rFonts w:hint="eastAsia" w:ascii="方正兰亭黑简体" w:hAnsi="方正兰亭黑简体" w:eastAsia="方正兰亭黑简体" w:cs="方正兰亭黑简体"/>
          <w:b w:val="0"/>
          <w:bCs w:val="0"/>
          <w:color w:val="auto"/>
          <w:sz w:val="22"/>
          <w:szCs w:val="22"/>
          <w:highlight w:val="none"/>
          <w:lang w:val="en-US" w:eastAsia="zh-CN"/>
        </w:rPr>
        <w:t>故障反馈</w:t>
      </w:r>
    </w:p>
    <w:p w14:paraId="19791045">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val="0"/>
          <w:bCs w:val="0"/>
          <w:color w:val="auto"/>
          <w:sz w:val="22"/>
          <w:szCs w:val="22"/>
          <w:highlight w:val="none"/>
        </w:rPr>
      </w:pPr>
      <w:r>
        <w:rPr>
          <w:rFonts w:hint="eastAsia" w:ascii="方正兰亭黑简体" w:hAnsi="方正兰亭黑简体" w:eastAsia="方正兰亭黑简体" w:cs="方正兰亭黑简体"/>
          <w:b w:val="0"/>
          <w:bCs w:val="0"/>
          <w:color w:val="auto"/>
          <w:sz w:val="22"/>
          <w:szCs w:val="22"/>
          <w:highlight w:val="none"/>
        </w:rPr>
        <w:t>检查中发现系统、设备处于异常状态时，1小时内形成《消防系统故障</w:t>
      </w:r>
      <w:r>
        <w:rPr>
          <w:rFonts w:hint="eastAsia" w:ascii="方正兰亭黑简体" w:hAnsi="方正兰亭黑简体" w:eastAsia="方正兰亭黑简体" w:cs="方正兰亭黑简体"/>
          <w:b w:val="0"/>
          <w:bCs w:val="0"/>
          <w:color w:val="auto"/>
          <w:sz w:val="22"/>
          <w:szCs w:val="22"/>
          <w:highlight w:val="none"/>
          <w:lang w:val="en-US" w:eastAsia="zh-CN"/>
        </w:rPr>
        <w:t>报修</w:t>
      </w:r>
      <w:r>
        <w:rPr>
          <w:rFonts w:hint="eastAsia" w:ascii="方正兰亭黑简体" w:hAnsi="方正兰亭黑简体" w:eastAsia="方正兰亭黑简体" w:cs="方正兰亭黑简体"/>
          <w:b w:val="0"/>
          <w:bCs w:val="0"/>
          <w:color w:val="auto"/>
          <w:sz w:val="22"/>
          <w:szCs w:val="22"/>
          <w:highlight w:val="none"/>
        </w:rPr>
        <w:t>流程</w:t>
      </w:r>
      <w:r>
        <w:rPr>
          <w:rFonts w:hint="eastAsia" w:ascii="方正兰亭黑简体" w:hAnsi="方正兰亭黑简体" w:eastAsia="方正兰亭黑简体" w:cs="方正兰亭黑简体"/>
          <w:b w:val="0"/>
          <w:bCs w:val="0"/>
          <w:color w:val="auto"/>
          <w:sz w:val="22"/>
          <w:szCs w:val="22"/>
          <w:highlight w:val="none"/>
          <w:lang w:eastAsia="zh-CN"/>
        </w:rPr>
        <w:t>单</w:t>
      </w:r>
      <w:r>
        <w:rPr>
          <w:rFonts w:hint="eastAsia" w:ascii="方正兰亭黑简体" w:hAnsi="方正兰亭黑简体" w:eastAsia="方正兰亭黑简体" w:cs="方正兰亭黑简体"/>
          <w:b w:val="0"/>
          <w:bCs w:val="0"/>
          <w:color w:val="auto"/>
          <w:sz w:val="22"/>
          <w:szCs w:val="22"/>
          <w:highlight w:val="none"/>
        </w:rPr>
        <w:t>》，表内阐明故障位置、故障现象、故障原因及维修建议，并上报招标方管理部门（保卫处）审核。</w:t>
      </w:r>
    </w:p>
    <w:p w14:paraId="69D7B012">
      <w:pPr>
        <w:numPr>
          <w:ilvl w:val="0"/>
          <w:numId w:val="0"/>
        </w:numPr>
        <w:snapToGrid/>
        <w:spacing w:before="100" w:beforeAutospacing="0" w:after="100" w:afterAutospacing="0" w:line="360" w:lineRule="auto"/>
        <w:ind w:left="0" w:leftChars="0" w:right="0" w:rightChars="0" w:firstLine="0" w:firstLineChars="0"/>
        <w:jc w:val="left"/>
        <w:outlineLvl w:val="0"/>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kern w:val="2"/>
          <w:sz w:val="22"/>
          <w:szCs w:val="22"/>
          <w:highlight w:val="none"/>
          <w:lang w:val="en-US" w:eastAsia="zh-CN" w:bidi="ar-SA"/>
        </w:rPr>
        <w:t>（三）</w:t>
      </w:r>
      <w:r>
        <w:rPr>
          <w:rFonts w:hint="eastAsia" w:ascii="方正兰亭黑简体" w:hAnsi="方正兰亭黑简体" w:eastAsia="方正兰亭黑简体" w:cs="方正兰亭黑简体"/>
          <w:b w:val="0"/>
          <w:bCs w:val="0"/>
          <w:color w:val="auto"/>
          <w:sz w:val="22"/>
          <w:szCs w:val="22"/>
          <w:highlight w:val="none"/>
          <w:lang w:val="en-US" w:eastAsia="zh-CN"/>
        </w:rPr>
        <w:t>工作要求：</w:t>
      </w:r>
    </w:p>
    <w:p w14:paraId="4A7DB1A6">
      <w:pPr>
        <w:numPr>
          <w:ilvl w:val="0"/>
          <w:numId w:val="0"/>
        </w:numPr>
        <w:snapToGrid/>
        <w:spacing w:before="100" w:beforeAutospacing="0" w:after="100" w:afterAutospacing="0" w:line="360" w:lineRule="auto"/>
        <w:ind w:left="0" w:leftChars="0" w:right="0" w:rightChars="0" w:firstLine="0" w:firstLineChars="0"/>
        <w:jc w:val="left"/>
        <w:outlineLvl w:val="1"/>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default" w:ascii="方正兰亭黑简体" w:hAnsi="方正兰亭黑简体" w:eastAsia="方正兰亭黑简体" w:cs="方正兰亭黑简体"/>
          <w:b w:val="0"/>
          <w:bCs w:val="0"/>
          <w:color w:val="auto"/>
          <w:kern w:val="2"/>
          <w:sz w:val="22"/>
          <w:szCs w:val="22"/>
          <w:highlight w:val="none"/>
          <w:lang w:val="en-US" w:eastAsia="zh-CN" w:bidi="ar-SA"/>
        </w:rPr>
        <w:t>1</w:t>
      </w:r>
      <w:r>
        <w:rPr>
          <w:rFonts w:hint="eastAsia" w:ascii="方正兰亭黑简体" w:hAnsi="方正兰亭黑简体" w:eastAsia="方正兰亭黑简体" w:cs="方正兰亭黑简体"/>
          <w:b w:val="0"/>
          <w:bCs w:val="0"/>
          <w:color w:val="auto"/>
          <w:kern w:val="2"/>
          <w:sz w:val="22"/>
          <w:szCs w:val="22"/>
          <w:highlight w:val="none"/>
          <w:lang w:val="en-US" w:eastAsia="zh-CN" w:bidi="ar-SA"/>
        </w:rPr>
        <w:t>、</w:t>
      </w:r>
      <w:r>
        <w:rPr>
          <w:rFonts w:hint="eastAsia" w:ascii="方正兰亭黑简体" w:hAnsi="方正兰亭黑简体" w:eastAsia="方正兰亭黑简体" w:cs="方正兰亭黑简体"/>
          <w:b w:val="0"/>
          <w:bCs w:val="0"/>
          <w:color w:val="auto"/>
          <w:sz w:val="22"/>
          <w:szCs w:val="22"/>
          <w:highlight w:val="none"/>
          <w:lang w:val="en-US" w:eastAsia="zh-CN"/>
        </w:rPr>
        <w:t>维修工作</w:t>
      </w:r>
    </w:p>
    <w:p w14:paraId="6AC671FC">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对日常零星故障维修及耗材更新：由服务方联系招标方授权</w:t>
      </w:r>
      <w:r>
        <w:rPr>
          <w:rFonts w:hint="eastAsia" w:ascii="方正兰亭黑简体" w:hAnsi="方正兰亭黑简体" w:eastAsia="方正兰亭黑简体" w:cs="方正兰亭黑简体"/>
          <w:b w:val="0"/>
          <w:bCs w:val="0"/>
          <w:color w:val="auto"/>
          <w:sz w:val="22"/>
          <w:szCs w:val="22"/>
          <w:highlight w:val="none"/>
          <w:lang w:eastAsia="zh-CN"/>
        </w:rPr>
        <w:t>物业</w:t>
      </w:r>
      <w:r>
        <w:rPr>
          <w:rFonts w:hint="eastAsia" w:ascii="方正兰亭黑简体" w:hAnsi="方正兰亭黑简体" w:eastAsia="方正兰亭黑简体" w:cs="方正兰亭黑简体"/>
          <w:b w:val="0"/>
          <w:bCs w:val="0"/>
          <w:color w:val="auto"/>
          <w:sz w:val="22"/>
          <w:szCs w:val="22"/>
          <w:highlight w:val="none"/>
          <w:lang w:val="en-US" w:eastAsia="zh-CN"/>
        </w:rPr>
        <w:t>服务单位</w:t>
      </w:r>
      <w:r>
        <w:rPr>
          <w:rFonts w:hint="eastAsia" w:ascii="方正兰亭黑简体" w:hAnsi="方正兰亭黑简体" w:eastAsia="方正兰亭黑简体" w:cs="方正兰亭黑简体"/>
          <w:b w:val="0"/>
          <w:bCs w:val="0"/>
          <w:color w:val="auto"/>
          <w:sz w:val="22"/>
          <w:szCs w:val="22"/>
          <w:highlight w:val="none"/>
          <w:lang w:eastAsia="zh-CN"/>
        </w:rPr>
        <w:t>现场确认，</w:t>
      </w:r>
      <w:r>
        <w:rPr>
          <w:rFonts w:hint="eastAsia" w:ascii="方正兰亭黑简体" w:hAnsi="方正兰亭黑简体" w:eastAsia="方正兰亭黑简体" w:cs="方正兰亭黑简体"/>
          <w:b w:val="0"/>
          <w:bCs w:val="0"/>
          <w:color w:val="auto"/>
          <w:sz w:val="22"/>
          <w:szCs w:val="22"/>
          <w:highlight w:val="none"/>
          <w:lang w:val="en-US" w:eastAsia="zh-CN"/>
        </w:rPr>
        <w:t>并填报</w:t>
      </w:r>
      <w:r>
        <w:rPr>
          <w:rFonts w:hint="eastAsia" w:ascii="方正兰亭黑简体" w:hAnsi="方正兰亭黑简体" w:eastAsia="方正兰亭黑简体" w:cs="方正兰亭黑简体"/>
          <w:b w:val="0"/>
          <w:bCs w:val="0"/>
          <w:color w:val="auto"/>
          <w:sz w:val="22"/>
          <w:szCs w:val="22"/>
          <w:highlight w:val="none"/>
        </w:rPr>
        <w:t>《消防系统故障报修流程</w:t>
      </w:r>
      <w:r>
        <w:rPr>
          <w:rFonts w:hint="eastAsia" w:ascii="方正兰亭黑简体" w:hAnsi="方正兰亭黑简体" w:eastAsia="方正兰亭黑简体" w:cs="方正兰亭黑简体"/>
          <w:b w:val="0"/>
          <w:bCs w:val="0"/>
          <w:color w:val="auto"/>
          <w:sz w:val="22"/>
          <w:szCs w:val="22"/>
          <w:highlight w:val="none"/>
          <w:lang w:eastAsia="zh-CN"/>
        </w:rPr>
        <w:t>单</w:t>
      </w:r>
      <w:r>
        <w:rPr>
          <w:rFonts w:hint="eastAsia" w:ascii="方正兰亭黑简体" w:hAnsi="方正兰亭黑简体" w:eastAsia="方正兰亭黑简体" w:cs="方正兰亭黑简体"/>
          <w:b w:val="0"/>
          <w:bCs w:val="0"/>
          <w:color w:val="auto"/>
          <w:sz w:val="22"/>
          <w:szCs w:val="22"/>
          <w:highlight w:val="none"/>
        </w:rPr>
        <w:t>》</w:t>
      </w:r>
      <w:r>
        <w:rPr>
          <w:rFonts w:hint="eastAsia" w:ascii="方正兰亭黑简体" w:hAnsi="方正兰亭黑简体" w:eastAsia="方正兰亭黑简体" w:cs="方正兰亭黑简体"/>
          <w:b w:val="0"/>
          <w:bCs w:val="0"/>
          <w:color w:val="auto"/>
          <w:sz w:val="22"/>
          <w:szCs w:val="22"/>
          <w:highlight w:val="none"/>
          <w:lang w:eastAsia="zh-CN"/>
        </w:rPr>
        <w:t>，</w:t>
      </w:r>
      <w:r>
        <w:rPr>
          <w:rFonts w:hint="eastAsia" w:ascii="方正兰亭黑简体" w:hAnsi="方正兰亭黑简体" w:eastAsia="方正兰亭黑简体" w:cs="方正兰亭黑简体"/>
          <w:b w:val="0"/>
          <w:bCs w:val="0"/>
          <w:color w:val="auto"/>
          <w:sz w:val="22"/>
          <w:szCs w:val="22"/>
          <w:highlight w:val="none"/>
          <w:lang w:val="en-US" w:eastAsia="zh-CN"/>
        </w:rPr>
        <w:t>经</w:t>
      </w:r>
      <w:r>
        <w:rPr>
          <w:rFonts w:hint="eastAsia" w:ascii="方正兰亭黑简体" w:hAnsi="方正兰亭黑简体" w:eastAsia="方正兰亭黑简体" w:cs="方正兰亭黑简体"/>
          <w:b w:val="0"/>
          <w:bCs w:val="0"/>
          <w:color w:val="auto"/>
          <w:sz w:val="22"/>
          <w:szCs w:val="22"/>
          <w:highlight w:val="none"/>
        </w:rPr>
        <w:t>招标方管理部门（保卫处）审核</w:t>
      </w:r>
      <w:r>
        <w:rPr>
          <w:rFonts w:hint="eastAsia" w:ascii="方正兰亭黑简体" w:hAnsi="方正兰亭黑简体" w:eastAsia="方正兰亭黑简体" w:cs="方正兰亭黑简体"/>
          <w:b w:val="0"/>
          <w:bCs w:val="0"/>
          <w:color w:val="auto"/>
          <w:sz w:val="22"/>
          <w:szCs w:val="22"/>
          <w:highlight w:val="none"/>
          <w:lang w:eastAsia="zh-CN"/>
        </w:rPr>
        <w:t>，</w:t>
      </w:r>
      <w:r>
        <w:rPr>
          <w:rFonts w:hint="eastAsia" w:ascii="方正兰亭黑简体" w:hAnsi="方正兰亭黑简体" w:eastAsia="方正兰亭黑简体" w:cs="方正兰亭黑简体"/>
          <w:b w:val="0"/>
          <w:bCs w:val="0"/>
          <w:color w:val="auto"/>
          <w:sz w:val="22"/>
          <w:szCs w:val="22"/>
          <w:highlight w:val="none"/>
          <w:lang w:val="en-US" w:eastAsia="zh-CN"/>
        </w:rPr>
        <w:t>交由服务方完成维修，服务方做好维修记录并存档</w:t>
      </w:r>
      <w:r>
        <w:rPr>
          <w:rFonts w:hint="eastAsia" w:ascii="方正兰亭黑简体" w:hAnsi="方正兰亭黑简体" w:eastAsia="方正兰亭黑简体" w:cs="方正兰亭黑简体"/>
          <w:b w:val="0"/>
          <w:bCs w:val="0"/>
          <w:color w:val="auto"/>
          <w:sz w:val="22"/>
          <w:szCs w:val="22"/>
          <w:highlight w:val="none"/>
        </w:rPr>
        <w:t>，作为维保工作年终考核依据</w:t>
      </w:r>
      <w:r>
        <w:rPr>
          <w:rFonts w:hint="eastAsia" w:ascii="方正兰亭黑简体" w:hAnsi="方正兰亭黑简体" w:eastAsia="方正兰亭黑简体" w:cs="方正兰亭黑简体"/>
          <w:b w:val="0"/>
          <w:bCs w:val="0"/>
          <w:color w:val="auto"/>
          <w:sz w:val="22"/>
          <w:szCs w:val="22"/>
          <w:highlight w:val="none"/>
          <w:lang w:eastAsia="zh-CN"/>
        </w:rPr>
        <w:t>。</w:t>
      </w:r>
    </w:p>
    <w:p w14:paraId="698DB3DD">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对校园运行影响面大的突发性故障，服务方必须</w:t>
      </w:r>
      <w:r>
        <w:rPr>
          <w:rFonts w:hint="eastAsia" w:ascii="方正兰亭黑简体" w:hAnsi="方正兰亭黑简体" w:eastAsia="方正兰亭黑简体" w:cs="方正兰亭黑简体"/>
          <w:b w:val="0"/>
          <w:bCs w:val="0"/>
          <w:color w:val="auto"/>
          <w:sz w:val="22"/>
          <w:szCs w:val="22"/>
          <w:highlight w:val="none"/>
        </w:rPr>
        <w:t>30分钟内到达现场</w:t>
      </w:r>
      <w:r>
        <w:rPr>
          <w:rFonts w:hint="eastAsia" w:ascii="方正兰亭黑简体" w:hAnsi="方正兰亭黑简体" w:eastAsia="方正兰亭黑简体" w:cs="方正兰亭黑简体"/>
          <w:b w:val="0"/>
          <w:bCs w:val="0"/>
          <w:color w:val="auto"/>
          <w:sz w:val="22"/>
          <w:szCs w:val="22"/>
          <w:highlight w:val="none"/>
          <w:lang w:eastAsia="zh-CN"/>
        </w:rPr>
        <w:t>，</w:t>
      </w:r>
      <w:r>
        <w:rPr>
          <w:rFonts w:hint="eastAsia" w:ascii="方正兰亭黑简体" w:hAnsi="方正兰亭黑简体" w:eastAsia="方正兰亭黑简体" w:cs="方正兰亭黑简体"/>
          <w:b w:val="0"/>
          <w:bCs w:val="0"/>
          <w:color w:val="auto"/>
          <w:sz w:val="22"/>
          <w:szCs w:val="22"/>
          <w:highlight w:val="none"/>
          <w:lang w:val="en-US" w:eastAsia="zh-CN"/>
        </w:rPr>
        <w:t>及时采取有效措施，控制故障事态扩大。</w:t>
      </w:r>
    </w:p>
    <w:p w14:paraId="3B75A1B5">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对维修量大、涉及工程管理及</w:t>
      </w:r>
      <w:r>
        <w:rPr>
          <w:rFonts w:hint="eastAsia" w:ascii="方正兰亭黑简体" w:hAnsi="方正兰亭黑简体" w:eastAsia="方正兰亭黑简体" w:cs="方正兰亭黑简体"/>
          <w:b w:val="0"/>
          <w:bCs w:val="0"/>
          <w:color w:val="auto"/>
          <w:sz w:val="22"/>
          <w:szCs w:val="22"/>
          <w:highlight w:val="none"/>
        </w:rPr>
        <w:t>本招标清单中未涵盖的消防系统维修</w:t>
      </w:r>
      <w:r>
        <w:rPr>
          <w:rFonts w:hint="eastAsia" w:ascii="方正兰亭黑简体" w:hAnsi="方正兰亭黑简体" w:eastAsia="方正兰亭黑简体" w:cs="方正兰亭黑简体"/>
          <w:b w:val="0"/>
          <w:bCs w:val="0"/>
          <w:color w:val="auto"/>
          <w:sz w:val="22"/>
          <w:szCs w:val="22"/>
          <w:highlight w:val="none"/>
          <w:lang w:val="en-US" w:eastAsia="zh-CN"/>
        </w:rPr>
        <w:t>，由服务方提供维修方案及经费预算，报</w:t>
      </w:r>
      <w:r>
        <w:rPr>
          <w:rFonts w:hint="eastAsia" w:ascii="方正兰亭黑简体" w:hAnsi="方正兰亭黑简体" w:eastAsia="方正兰亭黑简体" w:cs="方正兰亭黑简体"/>
          <w:b w:val="0"/>
          <w:bCs w:val="0"/>
          <w:color w:val="auto"/>
          <w:sz w:val="22"/>
          <w:szCs w:val="22"/>
          <w:highlight w:val="none"/>
        </w:rPr>
        <w:t>招标方</w:t>
      </w:r>
      <w:r>
        <w:rPr>
          <w:rFonts w:hint="eastAsia" w:ascii="方正兰亭黑简体" w:hAnsi="方正兰亭黑简体" w:eastAsia="方正兰亭黑简体" w:cs="方正兰亭黑简体"/>
          <w:b w:val="0"/>
          <w:bCs w:val="0"/>
          <w:color w:val="auto"/>
          <w:sz w:val="22"/>
          <w:szCs w:val="22"/>
          <w:highlight w:val="none"/>
          <w:lang w:val="en-US" w:eastAsia="zh-CN"/>
        </w:rPr>
        <w:t>管理部门</w:t>
      </w:r>
      <w:r>
        <w:rPr>
          <w:rFonts w:hint="eastAsia" w:ascii="方正兰亭黑简体" w:hAnsi="方正兰亭黑简体" w:eastAsia="方正兰亭黑简体" w:cs="方正兰亭黑简体"/>
          <w:b w:val="0"/>
          <w:bCs w:val="0"/>
          <w:color w:val="auto"/>
          <w:sz w:val="22"/>
          <w:szCs w:val="22"/>
          <w:highlight w:val="none"/>
          <w:lang w:eastAsia="zh-CN"/>
        </w:rPr>
        <w:t>（保卫处）</w:t>
      </w:r>
      <w:r>
        <w:rPr>
          <w:rFonts w:hint="eastAsia" w:ascii="方正兰亭黑简体" w:hAnsi="方正兰亭黑简体" w:eastAsia="方正兰亭黑简体" w:cs="方正兰亭黑简体"/>
          <w:b w:val="0"/>
          <w:bCs w:val="0"/>
          <w:color w:val="auto"/>
          <w:sz w:val="22"/>
          <w:szCs w:val="22"/>
          <w:highlight w:val="none"/>
          <w:lang w:val="en-US" w:eastAsia="zh-CN"/>
        </w:rPr>
        <w:t>审批并确定维修单位落实维修，服务方做好维修配合工作。</w:t>
      </w:r>
    </w:p>
    <w:p w14:paraId="454F0552">
      <w:pPr>
        <w:tabs>
          <w:tab w:val="left" w:pos="1080"/>
        </w:tabs>
        <w:snapToGrid/>
        <w:spacing w:beforeAutospacing="0" w:afterAutospacing="0" w:line="360" w:lineRule="auto"/>
        <w:ind w:left="0" w:leftChars="0" w:right="0" w:rightChars="0" w:firstLine="0" w:firstLineChars="0"/>
        <w:jc w:val="left"/>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2、保养工作</w:t>
      </w:r>
    </w:p>
    <w:p w14:paraId="1F24B36D">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按照服务内容明细及周期要求，做好相关检查、调试及模拟运行工作。</w:t>
      </w:r>
    </w:p>
    <w:p w14:paraId="7DA32E00">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val="0"/>
          <w:bCs w:val="0"/>
          <w:color w:val="auto"/>
          <w:sz w:val="22"/>
          <w:szCs w:val="22"/>
          <w:highlight w:val="none"/>
          <w:lang w:eastAsia="zh-CN"/>
        </w:rPr>
      </w:pPr>
      <w:r>
        <w:rPr>
          <w:rFonts w:hint="eastAsia" w:ascii="方正兰亭黑简体" w:hAnsi="方正兰亭黑简体" w:eastAsia="方正兰亭黑简体" w:cs="方正兰亭黑简体"/>
          <w:b w:val="0"/>
          <w:bCs w:val="0"/>
          <w:color w:val="auto"/>
          <w:sz w:val="22"/>
          <w:szCs w:val="22"/>
          <w:highlight w:val="none"/>
        </w:rPr>
        <w:t>每半年对各消防泵房的阀门件、固定件、易锈蚀件等部件开展一次油封、加固保养。</w:t>
      </w:r>
    </w:p>
    <w:p w14:paraId="7092BCDB">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val="0"/>
          <w:bCs w:val="0"/>
          <w:color w:val="auto"/>
          <w:sz w:val="22"/>
          <w:szCs w:val="22"/>
          <w:highlight w:val="none"/>
        </w:rPr>
      </w:pPr>
      <w:r>
        <w:rPr>
          <w:rFonts w:hint="eastAsia" w:ascii="方正兰亭黑简体" w:hAnsi="方正兰亭黑简体" w:eastAsia="方正兰亭黑简体" w:cs="方正兰亭黑简体"/>
          <w:b w:val="0"/>
          <w:bCs w:val="0"/>
          <w:color w:val="auto"/>
          <w:sz w:val="22"/>
          <w:szCs w:val="22"/>
          <w:highlight w:val="none"/>
        </w:rPr>
        <w:t>每</w:t>
      </w:r>
      <w:r>
        <w:rPr>
          <w:rFonts w:hint="eastAsia" w:ascii="方正兰亭黑简体" w:hAnsi="方正兰亭黑简体" w:eastAsia="方正兰亭黑简体" w:cs="方正兰亭黑简体"/>
          <w:b w:val="0"/>
          <w:bCs w:val="0"/>
          <w:color w:val="auto"/>
          <w:sz w:val="22"/>
          <w:szCs w:val="22"/>
          <w:highlight w:val="none"/>
          <w:lang w:val="en-US" w:eastAsia="zh-CN"/>
        </w:rPr>
        <w:t>半年（冬至和立夏前）</w:t>
      </w:r>
      <w:r>
        <w:rPr>
          <w:rFonts w:hint="eastAsia" w:ascii="方正兰亭黑简体" w:hAnsi="方正兰亭黑简体" w:eastAsia="方正兰亭黑简体" w:cs="方正兰亭黑简体"/>
          <w:b w:val="0"/>
          <w:bCs w:val="0"/>
          <w:color w:val="auto"/>
          <w:sz w:val="22"/>
          <w:szCs w:val="22"/>
          <w:highlight w:val="none"/>
        </w:rPr>
        <w:t>对室外消火栓、室内消火栓开展一次</w:t>
      </w:r>
      <w:r>
        <w:rPr>
          <w:rFonts w:hint="eastAsia" w:ascii="方正兰亭黑简体" w:hAnsi="方正兰亭黑简体" w:eastAsia="方正兰亭黑简体" w:cs="方正兰亭黑简体"/>
          <w:b w:val="0"/>
          <w:bCs w:val="0"/>
          <w:color w:val="auto"/>
          <w:sz w:val="22"/>
          <w:szCs w:val="22"/>
          <w:highlight w:val="none"/>
          <w:lang w:val="en-US" w:eastAsia="zh-CN"/>
        </w:rPr>
        <w:t>全面检查和润滑</w:t>
      </w:r>
      <w:r>
        <w:rPr>
          <w:rFonts w:hint="eastAsia" w:ascii="方正兰亭黑简体" w:hAnsi="方正兰亭黑简体" w:eastAsia="方正兰亭黑简体" w:cs="方正兰亭黑简体"/>
          <w:b w:val="0"/>
          <w:bCs w:val="0"/>
          <w:color w:val="auto"/>
          <w:sz w:val="22"/>
          <w:szCs w:val="22"/>
          <w:highlight w:val="none"/>
        </w:rPr>
        <w:t>保养。</w:t>
      </w:r>
    </w:p>
    <w:p w14:paraId="7033FA64">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val="0"/>
          <w:bCs w:val="0"/>
          <w:color w:val="auto"/>
          <w:sz w:val="22"/>
          <w:szCs w:val="22"/>
          <w:highlight w:val="none"/>
        </w:rPr>
      </w:pPr>
      <w:r>
        <w:rPr>
          <w:rFonts w:hint="eastAsia" w:ascii="方正兰亭黑简体" w:hAnsi="方正兰亭黑简体" w:eastAsia="方正兰亭黑简体" w:cs="方正兰亭黑简体"/>
          <w:b w:val="0"/>
          <w:bCs w:val="0"/>
          <w:color w:val="auto"/>
          <w:sz w:val="22"/>
          <w:szCs w:val="22"/>
          <w:highlight w:val="none"/>
        </w:rPr>
        <w:t>在日常检查中发现需保养的情况后应立即开展。</w:t>
      </w:r>
    </w:p>
    <w:p w14:paraId="063A8903">
      <w:pPr>
        <w:tabs>
          <w:tab w:val="left" w:pos="1080"/>
        </w:tabs>
        <w:snapToGrid/>
        <w:spacing w:beforeAutospacing="0" w:afterAutospacing="0" w:line="360" w:lineRule="auto"/>
        <w:ind w:left="437" w:leftChars="208" w:right="0" w:rightChars="0" w:firstLine="0" w:firstLineChars="0"/>
        <w:jc w:val="left"/>
        <w:rPr>
          <w:rFonts w:hint="eastAsia" w:ascii="方正兰亭黑简体" w:hAnsi="方正兰亭黑简体" w:eastAsia="方正兰亭黑简体" w:cs="方正兰亭黑简体"/>
          <w:b w:val="0"/>
          <w:bCs w:val="0"/>
          <w:color w:val="auto"/>
          <w:sz w:val="22"/>
          <w:szCs w:val="22"/>
          <w:highlight w:val="none"/>
        </w:rPr>
      </w:pPr>
      <w:r>
        <w:rPr>
          <w:rFonts w:hint="eastAsia" w:ascii="方正兰亭黑简体" w:hAnsi="方正兰亭黑简体" w:eastAsia="方正兰亭黑简体" w:cs="方正兰亭黑简体"/>
          <w:b w:val="0"/>
          <w:bCs w:val="0"/>
          <w:color w:val="auto"/>
          <w:sz w:val="22"/>
          <w:szCs w:val="22"/>
          <w:highlight w:val="none"/>
        </w:rPr>
        <w:t>保养工作完成后，</w:t>
      </w:r>
      <w:r>
        <w:rPr>
          <w:rFonts w:hint="eastAsia" w:ascii="方正兰亭黑简体" w:hAnsi="方正兰亭黑简体" w:eastAsia="方正兰亭黑简体" w:cs="方正兰亭黑简体"/>
          <w:b w:val="0"/>
          <w:bCs w:val="0"/>
          <w:color w:val="auto"/>
          <w:sz w:val="22"/>
          <w:szCs w:val="22"/>
          <w:highlight w:val="none"/>
          <w:lang w:val="en-US" w:eastAsia="zh-CN"/>
        </w:rPr>
        <w:t>及时</w:t>
      </w:r>
      <w:r>
        <w:rPr>
          <w:rFonts w:hint="eastAsia" w:ascii="方正兰亭黑简体" w:hAnsi="方正兰亭黑简体" w:eastAsia="方正兰亭黑简体" w:cs="方正兰亭黑简体"/>
          <w:b w:val="0"/>
          <w:bCs w:val="0"/>
          <w:color w:val="auto"/>
          <w:sz w:val="22"/>
          <w:szCs w:val="22"/>
          <w:highlight w:val="none"/>
        </w:rPr>
        <w:t>形成《消防系统保养记录表》，报招标方管理部门（保卫处）审核，并存档作为维保工作年终考核依据。</w:t>
      </w:r>
    </w:p>
    <w:p w14:paraId="6C07B4D5">
      <w:pPr>
        <w:tabs>
          <w:tab w:val="left" w:pos="1080"/>
        </w:tabs>
        <w:snapToGrid/>
        <w:spacing w:beforeAutospacing="0" w:afterAutospacing="0" w:line="360" w:lineRule="auto"/>
        <w:ind w:left="0" w:leftChars="0" w:right="0" w:rightChars="0" w:firstLine="0" w:firstLineChars="0"/>
        <w:jc w:val="left"/>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3、维保服务人员要求：</w:t>
      </w:r>
    </w:p>
    <w:p w14:paraId="666A4B44">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val="0"/>
          <w:bCs w:val="0"/>
          <w:color w:val="auto"/>
          <w:sz w:val="22"/>
          <w:szCs w:val="22"/>
          <w:highlight w:val="none"/>
        </w:rPr>
      </w:pPr>
      <w:r>
        <w:rPr>
          <w:rFonts w:hint="eastAsia" w:ascii="方正兰亭黑简体" w:hAnsi="方正兰亭黑简体" w:eastAsia="方正兰亭黑简体" w:cs="方正兰亭黑简体"/>
          <w:b w:val="0"/>
          <w:bCs w:val="0"/>
          <w:color w:val="auto"/>
          <w:sz w:val="22"/>
          <w:szCs w:val="22"/>
          <w:highlight w:val="none"/>
          <w:lang w:eastAsia="zh-CN"/>
        </w:rPr>
        <w:t>（</w:t>
      </w:r>
      <w:r>
        <w:rPr>
          <w:rFonts w:hint="eastAsia" w:ascii="方正兰亭黑简体" w:hAnsi="方正兰亭黑简体" w:eastAsia="方正兰亭黑简体" w:cs="方正兰亭黑简体"/>
          <w:b w:val="0"/>
          <w:bCs w:val="0"/>
          <w:color w:val="auto"/>
          <w:sz w:val="22"/>
          <w:szCs w:val="22"/>
          <w:highlight w:val="none"/>
          <w:lang w:val="en-US" w:eastAsia="zh-CN"/>
        </w:rPr>
        <w:t>1</w:t>
      </w:r>
      <w:r>
        <w:rPr>
          <w:rFonts w:hint="eastAsia" w:ascii="方正兰亭黑简体" w:hAnsi="方正兰亭黑简体" w:eastAsia="方正兰亭黑简体" w:cs="方正兰亭黑简体"/>
          <w:b w:val="0"/>
          <w:bCs w:val="0"/>
          <w:color w:val="auto"/>
          <w:sz w:val="22"/>
          <w:szCs w:val="22"/>
          <w:highlight w:val="none"/>
          <w:lang w:eastAsia="zh-CN"/>
        </w:rPr>
        <w:t>）</w:t>
      </w:r>
      <w:r>
        <w:rPr>
          <w:rFonts w:hint="eastAsia" w:ascii="方正兰亭黑简体" w:hAnsi="方正兰亭黑简体" w:eastAsia="方正兰亭黑简体" w:cs="方正兰亭黑简体"/>
          <w:b w:val="0"/>
          <w:bCs w:val="0"/>
          <w:color w:val="auto"/>
          <w:sz w:val="22"/>
          <w:szCs w:val="22"/>
          <w:highlight w:val="none"/>
        </w:rPr>
        <w:t>临港校区人员配备</w:t>
      </w:r>
    </w:p>
    <w:p w14:paraId="6A6C0556">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val="0"/>
          <w:bCs w:val="0"/>
          <w:color w:val="auto"/>
          <w:sz w:val="22"/>
          <w:szCs w:val="22"/>
          <w:highlight w:val="none"/>
        </w:rPr>
      </w:pPr>
      <w:r>
        <w:rPr>
          <w:rFonts w:hint="eastAsia" w:ascii="方正兰亭黑简体" w:hAnsi="方正兰亭黑简体" w:eastAsia="方正兰亭黑简体" w:cs="方正兰亭黑简体"/>
          <w:b w:val="0"/>
          <w:bCs w:val="0"/>
          <w:color w:val="auto"/>
          <w:sz w:val="22"/>
          <w:szCs w:val="22"/>
          <w:highlight w:val="none"/>
          <w:lang w:val="en-US" w:eastAsia="zh-CN"/>
        </w:rPr>
        <w:t>服务</w:t>
      </w:r>
      <w:r>
        <w:rPr>
          <w:rFonts w:hint="eastAsia" w:ascii="方正兰亭黑简体" w:hAnsi="方正兰亭黑简体" w:eastAsia="方正兰亭黑简体" w:cs="方正兰亭黑简体"/>
          <w:b w:val="0"/>
          <w:bCs w:val="0"/>
          <w:color w:val="auto"/>
          <w:sz w:val="22"/>
          <w:szCs w:val="22"/>
          <w:highlight w:val="none"/>
        </w:rPr>
        <w:t>期内，投标人必须</w:t>
      </w:r>
      <w:r>
        <w:rPr>
          <w:rFonts w:hint="eastAsia" w:ascii="方正兰亭黑简体" w:hAnsi="方正兰亭黑简体" w:eastAsia="方正兰亭黑简体" w:cs="方正兰亭黑简体"/>
          <w:b w:val="0"/>
          <w:bCs w:val="0"/>
          <w:color w:val="auto"/>
          <w:sz w:val="22"/>
          <w:szCs w:val="22"/>
          <w:highlight w:val="none"/>
          <w:lang w:val="en-US" w:eastAsia="zh-CN"/>
        </w:rPr>
        <w:t>提供</w:t>
      </w:r>
      <w:r>
        <w:rPr>
          <w:rFonts w:hint="eastAsia" w:ascii="方正兰亭黑简体" w:hAnsi="方正兰亭黑简体" w:eastAsia="方正兰亭黑简体" w:cs="方正兰亭黑简体"/>
          <w:b w:val="0"/>
          <w:bCs w:val="0"/>
          <w:color w:val="auto"/>
          <w:sz w:val="22"/>
          <w:szCs w:val="22"/>
          <w:highlight w:val="none"/>
        </w:rPr>
        <w:t>至少1名</w:t>
      </w:r>
      <w:r>
        <w:rPr>
          <w:rFonts w:hint="eastAsia" w:ascii="方正兰亭黑简体" w:hAnsi="方正兰亭黑简体" w:eastAsia="方正兰亭黑简体" w:cs="方正兰亭黑简体"/>
          <w:b w:val="0"/>
          <w:bCs w:val="0"/>
          <w:color w:val="auto"/>
          <w:sz w:val="22"/>
          <w:szCs w:val="22"/>
          <w:highlight w:val="none"/>
          <w:lang w:val="en-US" w:eastAsia="zh-CN"/>
        </w:rPr>
        <w:t>长期</w:t>
      </w:r>
      <w:r>
        <w:rPr>
          <w:rFonts w:hint="eastAsia" w:ascii="方正兰亭黑简体" w:hAnsi="方正兰亭黑简体" w:eastAsia="方正兰亭黑简体" w:cs="方正兰亭黑简体"/>
          <w:b w:val="0"/>
          <w:bCs w:val="0"/>
          <w:color w:val="auto"/>
          <w:sz w:val="22"/>
          <w:szCs w:val="22"/>
          <w:highlight w:val="none"/>
        </w:rPr>
        <w:t>驻场维保人员（驻场人员</w:t>
      </w:r>
      <w:r>
        <w:rPr>
          <w:rFonts w:hint="eastAsia" w:ascii="方正兰亭黑简体" w:hAnsi="方正兰亭黑简体" w:eastAsia="方正兰亭黑简体" w:cs="方正兰亭黑简体"/>
          <w:b w:val="0"/>
          <w:bCs w:val="0"/>
          <w:color w:val="auto"/>
          <w:sz w:val="22"/>
          <w:szCs w:val="22"/>
          <w:highlight w:val="none"/>
          <w:lang w:val="en-US" w:eastAsia="zh-CN"/>
        </w:rPr>
        <w:t>必须为公司在编在册人员，由公司承担相关社保缴费，</w:t>
      </w:r>
      <w:r>
        <w:rPr>
          <w:rFonts w:hint="eastAsia" w:ascii="方正兰亭黑简体" w:hAnsi="方正兰亭黑简体" w:eastAsia="方正兰亭黑简体" w:cs="方正兰亭黑简体"/>
          <w:b w:val="0"/>
          <w:bCs w:val="0"/>
          <w:color w:val="auto"/>
          <w:sz w:val="22"/>
          <w:szCs w:val="22"/>
          <w:highlight w:val="none"/>
        </w:rPr>
        <w:t>具备四级消防维保证书，年龄不得超过40周岁）</w:t>
      </w:r>
      <w:r>
        <w:rPr>
          <w:rFonts w:hint="eastAsia" w:ascii="方正兰亭黑简体" w:hAnsi="方正兰亭黑简体" w:eastAsia="方正兰亭黑简体" w:cs="方正兰亭黑简体"/>
          <w:b w:val="0"/>
          <w:bCs w:val="0"/>
          <w:color w:val="auto"/>
          <w:sz w:val="22"/>
          <w:szCs w:val="22"/>
          <w:highlight w:val="none"/>
          <w:lang w:eastAsia="zh-CN"/>
        </w:rPr>
        <w:t>，</w:t>
      </w:r>
    </w:p>
    <w:p w14:paraId="0B3366E6">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val="0"/>
          <w:bCs w:val="0"/>
          <w:color w:val="auto"/>
          <w:sz w:val="22"/>
          <w:szCs w:val="22"/>
          <w:highlight w:val="none"/>
        </w:rPr>
      </w:pPr>
      <w:r>
        <w:rPr>
          <w:rFonts w:hint="eastAsia" w:ascii="方正兰亭黑简体" w:hAnsi="方正兰亭黑简体" w:eastAsia="方正兰亭黑简体" w:cs="方正兰亭黑简体"/>
          <w:b w:val="0"/>
          <w:bCs w:val="0"/>
          <w:color w:val="auto"/>
          <w:sz w:val="22"/>
          <w:szCs w:val="22"/>
          <w:highlight w:val="none"/>
        </w:rPr>
        <w:t>驻场</w:t>
      </w:r>
      <w:r>
        <w:rPr>
          <w:rFonts w:hint="eastAsia" w:ascii="方正兰亭黑简体" w:hAnsi="方正兰亭黑简体" w:eastAsia="方正兰亭黑简体" w:cs="方正兰亭黑简体"/>
          <w:b w:val="0"/>
          <w:bCs w:val="0"/>
          <w:color w:val="auto"/>
          <w:sz w:val="22"/>
          <w:szCs w:val="22"/>
          <w:highlight w:val="none"/>
          <w:lang w:val="en-US" w:eastAsia="zh-CN"/>
        </w:rPr>
        <w:t>作息</w:t>
      </w:r>
      <w:r>
        <w:rPr>
          <w:rFonts w:hint="eastAsia" w:ascii="方正兰亭黑简体" w:hAnsi="方正兰亭黑简体" w:eastAsia="方正兰亭黑简体" w:cs="方正兰亭黑简体"/>
          <w:b w:val="0"/>
          <w:bCs w:val="0"/>
          <w:color w:val="auto"/>
          <w:sz w:val="22"/>
          <w:szCs w:val="22"/>
          <w:highlight w:val="none"/>
        </w:rPr>
        <w:t>要求</w:t>
      </w:r>
      <w:r>
        <w:rPr>
          <w:rFonts w:hint="eastAsia" w:ascii="方正兰亭黑简体" w:hAnsi="方正兰亭黑简体" w:eastAsia="方正兰亭黑简体" w:cs="方正兰亭黑简体"/>
          <w:b w:val="0"/>
          <w:bCs w:val="0"/>
          <w:color w:val="auto"/>
          <w:sz w:val="22"/>
          <w:szCs w:val="22"/>
          <w:highlight w:val="none"/>
          <w:lang w:eastAsia="zh-CN"/>
        </w:rPr>
        <w:t>：</w:t>
      </w:r>
      <w:r>
        <w:rPr>
          <w:rFonts w:hint="eastAsia" w:ascii="方正兰亭黑简体" w:hAnsi="方正兰亭黑简体" w:eastAsia="方正兰亭黑简体" w:cs="方正兰亭黑简体"/>
          <w:b w:val="0"/>
          <w:bCs w:val="0"/>
          <w:color w:val="auto"/>
          <w:sz w:val="22"/>
          <w:szCs w:val="22"/>
          <w:highlight w:val="none"/>
        </w:rPr>
        <w:t>工作日，驻场人员工作时间与招标人同步；非工作时间，投标人及驻场人员必须确保</w:t>
      </w:r>
      <w:r>
        <w:rPr>
          <w:rFonts w:hint="eastAsia" w:ascii="方正兰亭黑简体" w:hAnsi="方正兰亭黑简体" w:eastAsia="方正兰亭黑简体" w:cs="方正兰亭黑简体"/>
          <w:b w:val="0"/>
          <w:bCs w:val="0"/>
          <w:color w:val="auto"/>
          <w:sz w:val="22"/>
          <w:szCs w:val="22"/>
          <w:highlight w:val="none"/>
          <w:lang w:eastAsia="zh-CN"/>
        </w:rPr>
        <w:t>通信畅通</w:t>
      </w:r>
      <w:r>
        <w:rPr>
          <w:rFonts w:hint="eastAsia" w:ascii="方正兰亭黑简体" w:hAnsi="方正兰亭黑简体" w:eastAsia="方正兰亭黑简体" w:cs="方正兰亭黑简体"/>
          <w:b w:val="0"/>
          <w:bCs w:val="0"/>
          <w:color w:val="auto"/>
          <w:sz w:val="22"/>
          <w:szCs w:val="22"/>
          <w:highlight w:val="none"/>
        </w:rPr>
        <w:t>，在接到招标方消防管理部门的电话通知后，必</w:t>
      </w:r>
      <w:r>
        <w:rPr>
          <w:rFonts w:hint="eastAsia" w:ascii="方正兰亭黑简体" w:hAnsi="方正兰亭黑简体" w:eastAsia="方正兰亭黑简体" w:cs="方正兰亭黑简体"/>
          <w:b w:val="0"/>
          <w:bCs w:val="0"/>
          <w:color w:val="auto"/>
          <w:sz w:val="22"/>
          <w:szCs w:val="22"/>
          <w:highlight w:val="none"/>
          <w:lang w:eastAsia="zh-CN"/>
        </w:rPr>
        <w:t>须在</w:t>
      </w:r>
      <w:r>
        <w:rPr>
          <w:rFonts w:hint="eastAsia" w:ascii="方正兰亭黑简体" w:hAnsi="方正兰亭黑简体" w:eastAsia="方正兰亭黑简体" w:cs="方正兰亭黑简体"/>
          <w:b w:val="0"/>
          <w:bCs w:val="0"/>
          <w:color w:val="auto"/>
          <w:sz w:val="22"/>
          <w:szCs w:val="22"/>
          <w:highlight w:val="none"/>
        </w:rPr>
        <w:t>30分钟内到达现场，并进入工作状态；应急抢修需要在投标备用人员中增派。</w:t>
      </w:r>
    </w:p>
    <w:p w14:paraId="5C1C94FC">
      <w:pPr>
        <w:tabs>
          <w:tab w:val="left" w:pos="1080"/>
        </w:tabs>
        <w:snapToGrid/>
        <w:spacing w:beforeAutospacing="0" w:afterAutospacing="0" w:line="360" w:lineRule="auto"/>
        <w:ind w:right="0" w:rightChars="0" w:firstLine="440" w:firstLineChars="200"/>
        <w:jc w:val="left"/>
        <w:rPr>
          <w:rFonts w:hint="eastAsia" w:ascii="方正兰亭黑简体" w:hAnsi="方正兰亭黑简体" w:eastAsia="方正兰亭黑简体" w:cs="方正兰亭黑简体"/>
          <w:b w:val="0"/>
          <w:bCs w:val="0"/>
          <w:color w:val="auto"/>
          <w:sz w:val="22"/>
          <w:szCs w:val="22"/>
          <w:highlight w:val="none"/>
        </w:rPr>
      </w:pPr>
      <w:r>
        <w:rPr>
          <w:rFonts w:hint="eastAsia" w:ascii="方正兰亭黑简体" w:hAnsi="方正兰亭黑简体" w:eastAsia="方正兰亭黑简体" w:cs="方正兰亭黑简体"/>
          <w:b w:val="0"/>
          <w:bCs w:val="0"/>
          <w:color w:val="auto"/>
          <w:sz w:val="22"/>
          <w:szCs w:val="22"/>
          <w:highlight w:val="none"/>
        </w:rPr>
        <w:t>驻场</w:t>
      </w:r>
      <w:r>
        <w:rPr>
          <w:rFonts w:hint="eastAsia" w:ascii="方正兰亭黑简体" w:hAnsi="方正兰亭黑简体" w:eastAsia="方正兰亭黑简体" w:cs="方正兰亭黑简体"/>
          <w:b w:val="0"/>
          <w:bCs w:val="0"/>
          <w:color w:val="auto"/>
          <w:sz w:val="22"/>
          <w:szCs w:val="22"/>
          <w:highlight w:val="none"/>
          <w:lang w:val="en-US" w:eastAsia="zh-CN"/>
        </w:rPr>
        <w:t>纪律要求：驻场人员</w:t>
      </w:r>
      <w:r>
        <w:rPr>
          <w:rFonts w:hint="eastAsia" w:ascii="方正兰亭黑简体" w:hAnsi="方正兰亭黑简体" w:eastAsia="方正兰亭黑简体" w:cs="方正兰亭黑简体"/>
          <w:b w:val="0"/>
          <w:bCs w:val="0"/>
          <w:color w:val="auto"/>
          <w:sz w:val="22"/>
          <w:szCs w:val="22"/>
          <w:highlight w:val="none"/>
        </w:rPr>
        <w:t>必须严格遵守招标人（学校）的相关管理规定，注重工作中的安全操作与规范文明，服从</w:t>
      </w:r>
      <w:r>
        <w:rPr>
          <w:rFonts w:hint="eastAsia" w:ascii="方正兰亭黑简体" w:hAnsi="方正兰亭黑简体" w:eastAsia="方正兰亭黑简体" w:cs="方正兰亭黑简体"/>
          <w:b w:val="0"/>
          <w:bCs w:val="0"/>
          <w:color w:val="auto"/>
          <w:sz w:val="22"/>
          <w:szCs w:val="22"/>
          <w:highlight w:val="none"/>
          <w:lang w:val="en-US" w:eastAsia="zh-CN"/>
        </w:rPr>
        <w:t>并</w:t>
      </w:r>
      <w:r>
        <w:rPr>
          <w:rFonts w:hint="eastAsia" w:ascii="方正兰亭黑简体" w:hAnsi="方正兰亭黑简体" w:eastAsia="方正兰亭黑简体" w:cs="方正兰亭黑简体"/>
          <w:b w:val="0"/>
          <w:bCs w:val="0"/>
          <w:color w:val="auto"/>
          <w:sz w:val="22"/>
          <w:szCs w:val="22"/>
          <w:highlight w:val="none"/>
        </w:rPr>
        <w:t>积极配合招标人消防管理部门（保卫处）的工作安排，工作认真负责。</w:t>
      </w:r>
    </w:p>
    <w:p w14:paraId="26B6C9F7">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val="0"/>
          <w:bCs w:val="0"/>
          <w:color w:val="auto"/>
          <w:sz w:val="22"/>
          <w:szCs w:val="22"/>
          <w:highlight w:val="none"/>
        </w:rPr>
      </w:pPr>
      <w:r>
        <w:rPr>
          <w:rFonts w:hint="eastAsia" w:ascii="方正兰亭黑简体" w:hAnsi="方正兰亭黑简体" w:eastAsia="方正兰亭黑简体" w:cs="方正兰亭黑简体"/>
          <w:b w:val="0"/>
          <w:bCs w:val="0"/>
          <w:color w:val="auto"/>
          <w:sz w:val="22"/>
          <w:szCs w:val="22"/>
          <w:highlight w:val="none"/>
          <w:lang w:eastAsia="zh-CN"/>
        </w:rPr>
        <w:t>（</w:t>
      </w:r>
      <w:r>
        <w:rPr>
          <w:rFonts w:hint="eastAsia" w:ascii="方正兰亭黑简体" w:hAnsi="方正兰亭黑简体" w:eastAsia="方正兰亭黑简体" w:cs="方正兰亭黑简体"/>
          <w:b w:val="0"/>
          <w:bCs w:val="0"/>
          <w:color w:val="auto"/>
          <w:sz w:val="22"/>
          <w:szCs w:val="22"/>
          <w:highlight w:val="none"/>
          <w:lang w:val="en-US" w:eastAsia="zh-CN"/>
        </w:rPr>
        <w:t>2）</w:t>
      </w:r>
      <w:r>
        <w:rPr>
          <w:rFonts w:hint="eastAsia" w:ascii="方正兰亭黑简体" w:hAnsi="方正兰亭黑简体" w:eastAsia="方正兰亭黑简体" w:cs="方正兰亭黑简体"/>
          <w:b w:val="0"/>
          <w:bCs w:val="0"/>
          <w:color w:val="auto"/>
          <w:sz w:val="22"/>
          <w:szCs w:val="22"/>
          <w:highlight w:val="none"/>
        </w:rPr>
        <w:t>高恒大厦人员配备</w:t>
      </w:r>
    </w:p>
    <w:p w14:paraId="6F30875E">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val="0"/>
          <w:bCs w:val="0"/>
          <w:color w:val="auto"/>
          <w:sz w:val="22"/>
          <w:szCs w:val="22"/>
          <w:highlight w:val="none"/>
        </w:rPr>
      </w:pPr>
      <w:r>
        <w:rPr>
          <w:rFonts w:hint="eastAsia" w:ascii="方正兰亭黑简体" w:hAnsi="方正兰亭黑简体" w:eastAsia="方正兰亭黑简体" w:cs="方正兰亭黑简体"/>
          <w:b w:val="0"/>
          <w:bCs w:val="0"/>
          <w:color w:val="auto"/>
          <w:sz w:val="22"/>
          <w:szCs w:val="22"/>
          <w:highlight w:val="none"/>
          <w:lang w:val="en-US" w:eastAsia="zh-CN"/>
        </w:rPr>
        <w:t>维保人员可以不驻场，但需按照上述维保服务内容及基本要求开展实施。一般性故障，即查即修；突发性故障，接到招标人通知后，维保人员须30分钟内到达现场。</w:t>
      </w:r>
    </w:p>
    <w:p w14:paraId="7C596F7D">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val="0"/>
          <w:bCs w:val="0"/>
          <w:color w:val="auto"/>
          <w:sz w:val="22"/>
          <w:szCs w:val="22"/>
          <w:highlight w:val="none"/>
          <w:lang w:val="en-US" w:eastAsia="zh-CN"/>
        </w:rPr>
      </w:pPr>
      <w:bookmarkStart w:id="4" w:name="_Toc16616"/>
      <w:r>
        <w:rPr>
          <w:rFonts w:hint="eastAsia" w:ascii="方正兰亭黑简体" w:hAnsi="方正兰亭黑简体" w:eastAsia="方正兰亭黑简体" w:cs="方正兰亭黑简体"/>
          <w:b w:val="0"/>
          <w:bCs w:val="0"/>
          <w:color w:val="auto"/>
          <w:sz w:val="22"/>
          <w:szCs w:val="22"/>
          <w:highlight w:val="none"/>
          <w:lang w:eastAsia="zh-CN"/>
        </w:rPr>
        <w:t>（</w:t>
      </w:r>
      <w:r>
        <w:rPr>
          <w:rFonts w:hint="eastAsia" w:ascii="方正兰亭黑简体" w:hAnsi="方正兰亭黑简体" w:eastAsia="方正兰亭黑简体" w:cs="方正兰亭黑简体"/>
          <w:b w:val="0"/>
          <w:bCs w:val="0"/>
          <w:color w:val="auto"/>
          <w:sz w:val="22"/>
          <w:szCs w:val="22"/>
          <w:highlight w:val="none"/>
          <w:lang w:val="en-US" w:eastAsia="zh-CN"/>
        </w:rPr>
        <w:t>3</w:t>
      </w:r>
      <w:r>
        <w:rPr>
          <w:rFonts w:hint="eastAsia" w:ascii="方正兰亭黑简体" w:hAnsi="方正兰亭黑简体" w:eastAsia="方正兰亭黑简体" w:cs="方正兰亭黑简体"/>
          <w:b w:val="0"/>
          <w:bCs w:val="0"/>
          <w:color w:val="auto"/>
          <w:sz w:val="22"/>
          <w:szCs w:val="22"/>
          <w:highlight w:val="none"/>
          <w:lang w:eastAsia="zh-CN"/>
        </w:rPr>
        <w:t>）</w:t>
      </w:r>
      <w:r>
        <w:rPr>
          <w:rFonts w:hint="eastAsia" w:ascii="方正兰亭黑简体" w:hAnsi="方正兰亭黑简体" w:eastAsia="方正兰亭黑简体" w:cs="方正兰亭黑简体"/>
          <w:b w:val="0"/>
          <w:bCs w:val="0"/>
          <w:color w:val="auto"/>
          <w:sz w:val="22"/>
          <w:szCs w:val="22"/>
          <w:highlight w:val="none"/>
          <w:lang w:val="en-US" w:eastAsia="zh-CN"/>
        </w:rPr>
        <w:t>其他要求</w:t>
      </w:r>
      <w:bookmarkEnd w:id="4"/>
      <w:r>
        <w:rPr>
          <w:rFonts w:hint="eastAsia" w:ascii="方正兰亭黑简体" w:hAnsi="方正兰亭黑简体" w:eastAsia="方正兰亭黑简体" w:cs="方正兰亭黑简体"/>
          <w:b w:val="0"/>
          <w:bCs w:val="0"/>
          <w:color w:val="auto"/>
          <w:sz w:val="22"/>
          <w:szCs w:val="22"/>
          <w:highlight w:val="none"/>
          <w:lang w:val="en-US" w:eastAsia="zh-CN"/>
        </w:rPr>
        <w:t>：</w:t>
      </w:r>
      <w:r>
        <w:rPr>
          <w:rFonts w:hint="eastAsia" w:ascii="方正兰亭黑简体" w:hAnsi="方正兰亭黑简体" w:eastAsia="方正兰亭黑简体" w:cs="方正兰亭黑简体"/>
          <w:b/>
          <w:bCs/>
          <w:color w:val="auto"/>
          <w:sz w:val="22"/>
          <w:szCs w:val="22"/>
          <w:highlight w:val="none"/>
          <w:lang w:val="en-US" w:eastAsia="zh-CN"/>
        </w:rPr>
        <w:t>（带★必须满足要求）</w:t>
      </w:r>
    </w:p>
    <w:p w14:paraId="175D035E">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val="0"/>
          <w:bCs w:val="0"/>
          <w:color w:val="auto"/>
          <w:sz w:val="22"/>
          <w:szCs w:val="22"/>
          <w:highlight w:val="none"/>
        </w:rPr>
      </w:pPr>
      <w:r>
        <w:rPr>
          <w:rFonts w:hint="eastAsia" w:ascii="方正兰亭黑简体" w:hAnsi="方正兰亭黑简体" w:eastAsia="方正兰亭黑简体" w:cs="方正兰亭黑简体"/>
          <w:b w:val="0"/>
          <w:bCs w:val="0"/>
          <w:color w:val="auto"/>
          <w:sz w:val="22"/>
          <w:szCs w:val="22"/>
          <w:highlight w:val="none"/>
          <w:lang w:eastAsia="zh-CN"/>
        </w:rPr>
        <w:t>报价文件</w:t>
      </w:r>
      <w:r>
        <w:rPr>
          <w:rFonts w:hint="eastAsia" w:ascii="方正兰亭黑简体" w:hAnsi="方正兰亭黑简体" w:eastAsia="方正兰亭黑简体" w:cs="方正兰亭黑简体"/>
          <w:b w:val="0"/>
          <w:bCs w:val="0"/>
          <w:color w:val="auto"/>
          <w:sz w:val="22"/>
          <w:szCs w:val="22"/>
          <w:highlight w:val="none"/>
        </w:rPr>
        <w:t>中须附建筑消防设施维保执业人员资格证书复印件加盖投标单位公章（注册在投标单位）。</w:t>
      </w:r>
    </w:p>
    <w:p w14:paraId="199E9298">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bCs/>
          <w:color w:val="auto"/>
          <w:sz w:val="22"/>
          <w:szCs w:val="22"/>
          <w:highlight w:val="none"/>
        </w:rPr>
      </w:pPr>
      <w:r>
        <w:rPr>
          <w:rFonts w:hint="eastAsia" w:ascii="方正兰亭黑简体" w:hAnsi="方正兰亭黑简体" w:eastAsia="方正兰亭黑简体" w:cs="方正兰亭黑简体"/>
          <w:b/>
          <w:bCs/>
          <w:color w:val="auto"/>
          <w:sz w:val="22"/>
          <w:szCs w:val="22"/>
          <w:highlight w:val="none"/>
        </w:rPr>
        <w:t>★</w:t>
      </w:r>
      <w:r>
        <w:rPr>
          <w:rFonts w:hint="eastAsia" w:ascii="方正兰亭黑简体" w:hAnsi="方正兰亭黑简体" w:eastAsia="方正兰亭黑简体" w:cs="方正兰亭黑简体"/>
          <w:b/>
          <w:bCs/>
          <w:color w:val="auto"/>
          <w:sz w:val="22"/>
          <w:szCs w:val="22"/>
          <w:highlight w:val="none"/>
          <w:lang w:eastAsia="zh-CN"/>
        </w:rPr>
        <w:t>报价文件</w:t>
      </w:r>
      <w:r>
        <w:rPr>
          <w:rFonts w:hint="eastAsia" w:ascii="方正兰亭黑简体" w:hAnsi="方正兰亭黑简体" w:eastAsia="方正兰亭黑简体" w:cs="方正兰亭黑简体"/>
          <w:b/>
          <w:bCs/>
          <w:color w:val="auto"/>
          <w:sz w:val="22"/>
          <w:szCs w:val="22"/>
          <w:highlight w:val="none"/>
        </w:rPr>
        <w:t>中须附消防维保经验有效证明材料（中标通知书或合同）复印件加盖单位公章。</w:t>
      </w:r>
    </w:p>
    <w:p w14:paraId="4558E1EE">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bCs/>
          <w:color w:val="auto"/>
          <w:sz w:val="22"/>
          <w:szCs w:val="22"/>
          <w:highlight w:val="none"/>
        </w:rPr>
      </w:pPr>
      <w:r>
        <w:rPr>
          <w:rFonts w:hint="eastAsia" w:ascii="方正兰亭黑简体" w:hAnsi="方正兰亭黑简体" w:eastAsia="方正兰亭黑简体" w:cs="方正兰亭黑简体"/>
          <w:b/>
          <w:bCs/>
          <w:color w:val="auto"/>
          <w:sz w:val="22"/>
          <w:szCs w:val="22"/>
          <w:highlight w:val="none"/>
        </w:rPr>
        <w:t>★投标单位提供的项目负责人须具备一级注册消防工程师并在投标单位内正式注册；并且至少配备6名维保操作人员（年龄应在40周岁内），执业操作人员须具备消防相关专业中级以上技术职称或四级建构筑物消防员或消防设施操作员等级证书。</w:t>
      </w:r>
    </w:p>
    <w:p w14:paraId="255AF909">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bCs/>
          <w:color w:val="auto"/>
          <w:sz w:val="22"/>
          <w:szCs w:val="22"/>
          <w:highlight w:val="none"/>
        </w:rPr>
      </w:pPr>
      <w:r>
        <w:rPr>
          <w:rFonts w:hint="eastAsia" w:ascii="方正兰亭黑简体" w:hAnsi="方正兰亭黑简体" w:eastAsia="方正兰亭黑简体" w:cs="方正兰亭黑简体"/>
          <w:b/>
          <w:bCs/>
          <w:color w:val="auto"/>
          <w:sz w:val="22"/>
          <w:szCs w:val="22"/>
          <w:highlight w:val="none"/>
        </w:rPr>
        <w:t>★提供环境管理体系证书、职业健康安全管理体系证书、质量管理体系证书。</w:t>
      </w:r>
    </w:p>
    <w:p w14:paraId="2862FB38">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bCs/>
          <w:color w:val="auto"/>
          <w:sz w:val="22"/>
          <w:szCs w:val="22"/>
          <w:highlight w:val="none"/>
        </w:rPr>
      </w:pPr>
      <w:r>
        <w:rPr>
          <w:rFonts w:hint="eastAsia" w:ascii="方正兰亭黑简体" w:hAnsi="方正兰亭黑简体" w:eastAsia="方正兰亭黑简体" w:cs="方正兰亭黑简体"/>
          <w:b/>
          <w:bCs/>
          <w:color w:val="auto"/>
          <w:sz w:val="22"/>
          <w:szCs w:val="22"/>
          <w:highlight w:val="none"/>
        </w:rPr>
        <w:t>★消防系统维保业绩提供，提供合同复印件或中标通知书。</w:t>
      </w:r>
    </w:p>
    <w:p w14:paraId="34D673CF">
      <w:pPr>
        <w:tabs>
          <w:tab w:val="left" w:pos="1080"/>
        </w:tabs>
        <w:snapToGrid/>
        <w:spacing w:beforeAutospacing="0" w:afterAutospacing="0" w:line="360" w:lineRule="auto"/>
        <w:ind w:left="0" w:leftChars="0" w:right="0" w:rightChars="0" w:firstLine="0" w:firstLineChars="0"/>
        <w:jc w:val="left"/>
        <w:rPr>
          <w:rFonts w:hint="default"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4、报价要求</w:t>
      </w:r>
    </w:p>
    <w:p w14:paraId="4D6AD643">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val="0"/>
          <w:bCs w:val="0"/>
          <w:color w:val="auto"/>
          <w:sz w:val="22"/>
          <w:szCs w:val="22"/>
          <w:highlight w:val="none"/>
        </w:rPr>
      </w:pPr>
      <w:r>
        <w:rPr>
          <w:rFonts w:hint="eastAsia" w:ascii="方正兰亭黑简体" w:hAnsi="方正兰亭黑简体" w:eastAsia="方正兰亭黑简体" w:cs="方正兰亭黑简体"/>
          <w:b w:val="0"/>
          <w:bCs w:val="0"/>
          <w:color w:val="auto"/>
          <w:sz w:val="22"/>
          <w:szCs w:val="22"/>
          <w:highlight w:val="none"/>
          <w:lang w:val="en-US" w:eastAsia="zh-CN"/>
        </w:rPr>
        <w:t>维保服务</w:t>
      </w:r>
      <w:r>
        <w:rPr>
          <w:rFonts w:hint="eastAsia" w:ascii="方正兰亭黑简体" w:hAnsi="方正兰亭黑简体" w:eastAsia="方正兰亭黑简体" w:cs="方正兰亭黑简体"/>
          <w:b w:val="0"/>
          <w:bCs w:val="0"/>
          <w:color w:val="auto"/>
          <w:sz w:val="22"/>
          <w:szCs w:val="22"/>
          <w:highlight w:val="none"/>
        </w:rPr>
        <w:t>投标价：投标人按本次招标的全部要求，向招标人提供</w:t>
      </w:r>
      <w:r>
        <w:rPr>
          <w:rFonts w:hint="eastAsia" w:ascii="方正兰亭黑简体" w:hAnsi="方正兰亭黑简体" w:eastAsia="方正兰亭黑简体" w:cs="方正兰亭黑简体"/>
          <w:b/>
          <w:bCs/>
          <w:color w:val="auto"/>
          <w:sz w:val="22"/>
          <w:szCs w:val="22"/>
          <w:highlight w:val="none"/>
        </w:rPr>
        <w:t>为期1</w:t>
      </w:r>
      <w:r>
        <w:rPr>
          <w:rFonts w:hint="eastAsia" w:ascii="方正兰亭黑简体" w:hAnsi="方正兰亭黑简体" w:eastAsia="方正兰亭黑简体" w:cs="方正兰亭黑简体"/>
          <w:b/>
          <w:bCs/>
          <w:color w:val="auto"/>
          <w:sz w:val="22"/>
          <w:szCs w:val="22"/>
          <w:highlight w:val="none"/>
          <w:lang w:val="en-US" w:eastAsia="zh-CN"/>
        </w:rPr>
        <w:t>4</w:t>
      </w:r>
      <w:r>
        <w:rPr>
          <w:rFonts w:hint="eastAsia" w:ascii="方正兰亭黑简体" w:hAnsi="方正兰亭黑简体" w:eastAsia="方正兰亭黑简体" w:cs="方正兰亭黑简体"/>
          <w:b/>
          <w:bCs/>
          <w:color w:val="auto"/>
          <w:sz w:val="22"/>
          <w:szCs w:val="22"/>
          <w:highlight w:val="none"/>
          <w:lang w:eastAsia="zh-CN"/>
        </w:rPr>
        <w:t>个月</w:t>
      </w:r>
      <w:r>
        <w:rPr>
          <w:rFonts w:hint="eastAsia" w:ascii="方正兰亭黑简体" w:hAnsi="方正兰亭黑简体" w:eastAsia="方正兰亭黑简体" w:cs="方正兰亭黑简体"/>
          <w:b w:val="0"/>
          <w:bCs w:val="0"/>
          <w:color w:val="auto"/>
          <w:sz w:val="22"/>
          <w:szCs w:val="22"/>
          <w:highlight w:val="none"/>
        </w:rPr>
        <w:t>的消防维保服务的报价。本报价为“清包制”，除维保服务中涉及的主材和辅材以外的所有费用，包含交通费、通讯费、各类保险、住宿费、服务管理费、工具损耗、维修人工费和各类税金等为本维保服务所支出的任何费用。</w:t>
      </w:r>
    </w:p>
    <w:p w14:paraId="5B12ADDC">
      <w:pPr>
        <w:tabs>
          <w:tab w:val="left" w:pos="1080"/>
        </w:tabs>
        <w:snapToGrid/>
        <w:spacing w:beforeAutospacing="0" w:afterAutospacing="0" w:line="360" w:lineRule="auto"/>
        <w:ind w:left="0" w:leftChars="0" w:right="0" w:rightChars="0" w:firstLine="440" w:firstLineChars="200"/>
        <w:jc w:val="left"/>
        <w:rPr>
          <w:rFonts w:hint="eastAsia" w:ascii="方正兰亭黑简体" w:hAnsi="方正兰亭黑简体" w:eastAsia="方正兰亭黑简体" w:cs="方正兰亭黑简体"/>
          <w:b w:val="0"/>
          <w:bCs w:val="0"/>
          <w:color w:val="auto"/>
          <w:sz w:val="22"/>
          <w:szCs w:val="22"/>
          <w:highlight w:val="none"/>
        </w:rPr>
      </w:pPr>
      <w:r>
        <w:rPr>
          <w:rFonts w:hint="eastAsia" w:ascii="方正兰亭黑简体" w:hAnsi="方正兰亭黑简体" w:eastAsia="方正兰亭黑简体" w:cs="方正兰亭黑简体"/>
          <w:b w:val="0"/>
          <w:bCs w:val="0"/>
          <w:color w:val="auto"/>
          <w:sz w:val="22"/>
          <w:szCs w:val="22"/>
          <w:highlight w:val="none"/>
          <w:lang w:val="en-US" w:eastAsia="zh-CN"/>
        </w:rPr>
        <w:t>耗材及维修配件投标</w:t>
      </w:r>
      <w:r>
        <w:rPr>
          <w:rFonts w:hint="eastAsia" w:ascii="方正兰亭黑简体" w:hAnsi="方正兰亭黑简体" w:eastAsia="方正兰亭黑简体" w:cs="方正兰亭黑简体"/>
          <w:b w:val="0"/>
          <w:bCs w:val="0"/>
          <w:color w:val="auto"/>
          <w:sz w:val="22"/>
          <w:szCs w:val="22"/>
          <w:highlight w:val="none"/>
        </w:rPr>
        <w:t>单价：投标人</w:t>
      </w:r>
      <w:r>
        <w:rPr>
          <w:rFonts w:hint="eastAsia" w:ascii="方正兰亭黑简体" w:hAnsi="方正兰亭黑简体" w:eastAsia="方正兰亭黑简体" w:cs="方正兰亭黑简体"/>
          <w:b w:val="0"/>
          <w:bCs w:val="0"/>
          <w:color w:val="auto"/>
          <w:sz w:val="22"/>
          <w:szCs w:val="22"/>
          <w:highlight w:val="none"/>
          <w:lang w:val="en-US" w:eastAsia="zh-CN"/>
        </w:rPr>
        <w:t>针对招标人的消防设备情况，提供相应的耗材及配件</w:t>
      </w:r>
      <w:r>
        <w:rPr>
          <w:rFonts w:hint="eastAsia" w:ascii="方正兰亭黑简体" w:hAnsi="方正兰亭黑简体" w:eastAsia="方正兰亭黑简体" w:cs="方正兰亭黑简体"/>
          <w:b w:val="0"/>
          <w:bCs w:val="0"/>
          <w:color w:val="auto"/>
          <w:sz w:val="22"/>
          <w:szCs w:val="22"/>
          <w:highlight w:val="none"/>
        </w:rPr>
        <w:t>报价</w:t>
      </w:r>
      <w:r>
        <w:rPr>
          <w:rFonts w:hint="eastAsia" w:ascii="方正兰亭黑简体" w:hAnsi="方正兰亭黑简体" w:eastAsia="方正兰亭黑简体" w:cs="方正兰亭黑简体"/>
          <w:b w:val="0"/>
          <w:bCs w:val="0"/>
          <w:color w:val="auto"/>
          <w:sz w:val="22"/>
          <w:szCs w:val="22"/>
          <w:highlight w:val="none"/>
          <w:lang w:val="en-US" w:eastAsia="zh-CN"/>
        </w:rPr>
        <w:t>清单（报价应该含拆装及系统复原费用）</w:t>
      </w:r>
      <w:r>
        <w:rPr>
          <w:rFonts w:hint="eastAsia" w:ascii="方正兰亭黑简体" w:hAnsi="方正兰亭黑简体" w:eastAsia="方正兰亭黑简体" w:cs="方正兰亭黑简体"/>
          <w:b w:val="0"/>
          <w:bCs w:val="0"/>
          <w:color w:val="auto"/>
          <w:sz w:val="22"/>
          <w:szCs w:val="22"/>
          <w:highlight w:val="none"/>
        </w:rPr>
        <w:t>。</w:t>
      </w:r>
    </w:p>
    <w:p w14:paraId="43CA4B2F">
      <w:pPr>
        <w:tabs>
          <w:tab w:val="left" w:pos="1080"/>
        </w:tabs>
        <w:snapToGrid/>
        <w:spacing w:beforeAutospacing="0" w:afterAutospacing="0" w:line="360" w:lineRule="auto"/>
        <w:ind w:left="0" w:leftChars="0" w:right="0" w:rightChars="0" w:firstLine="440" w:firstLineChars="200"/>
        <w:jc w:val="left"/>
        <w:rPr>
          <w:rFonts w:ascii="Times New Roman" w:hAnsi="Times New Roman" w:eastAsia="方正兰亭黑简体" w:cs="Times New Roman"/>
          <w:color w:val="auto"/>
          <w:sz w:val="24"/>
          <w:highlight w:val="none"/>
        </w:rPr>
      </w:pPr>
      <w:r>
        <w:rPr>
          <w:rFonts w:hint="eastAsia" w:ascii="方正兰亭黑简体" w:hAnsi="方正兰亭黑简体" w:eastAsia="方正兰亭黑简体" w:cs="方正兰亭黑简体"/>
          <w:b w:val="0"/>
          <w:bCs w:val="0"/>
          <w:color w:val="auto"/>
          <w:sz w:val="22"/>
          <w:szCs w:val="22"/>
          <w:highlight w:val="none"/>
        </w:rPr>
        <w:t>该报价为投标人在服务期内开展消防设备维修或更换时的结算依据，将列入维保服务合同约定。</w:t>
      </w:r>
    </w:p>
    <w:p w14:paraId="1374E8AF">
      <w:pPr>
        <w:spacing w:line="360" w:lineRule="auto"/>
        <w:rPr>
          <w:rFonts w:ascii="方正兰亭黑简体" w:hAnsi="方正兰亭黑简体" w:eastAsia="方正兰亭黑简体" w:cs="方正兰亭黑简体"/>
          <w:color w:val="auto"/>
          <w:sz w:val="22"/>
          <w:szCs w:val="22"/>
          <w:highlight w:val="none"/>
        </w:rPr>
      </w:pPr>
    </w:p>
    <w:p w14:paraId="37B6C929">
      <w:pPr>
        <w:tabs>
          <w:tab w:val="left" w:pos="1080"/>
        </w:tabs>
        <w:snapToGrid/>
        <w:spacing w:beforeAutospacing="0" w:afterAutospacing="0" w:line="300" w:lineRule="auto"/>
        <w:ind w:right="0" w:rightChars="0"/>
        <w:jc w:val="left"/>
        <w:rPr>
          <w:rFonts w:hint="default" w:ascii="Times New Roman" w:hAnsi="Times New Roman" w:eastAsia="方正兰亭黑简体" w:cs="Times New Roman"/>
          <w:b/>
          <w:bCs/>
          <w:i w:val="0"/>
          <w:iCs w:val="0"/>
          <w:color w:val="auto"/>
          <w:kern w:val="0"/>
          <w:sz w:val="22"/>
          <w:szCs w:val="22"/>
          <w:highlight w:val="none"/>
          <w:u w:val="none"/>
          <w:lang w:val="en-US" w:eastAsia="zh-CN" w:bidi="ar"/>
        </w:rPr>
      </w:pPr>
      <w:r>
        <w:rPr>
          <w:rFonts w:hint="eastAsia" w:ascii="方正兰亭黑简体" w:hAnsi="方正兰亭黑简体" w:eastAsia="方正兰亭黑简体" w:cs="方正兰亭黑简体"/>
          <w:b/>
          <w:bCs/>
          <w:color w:val="auto"/>
          <w:sz w:val="24"/>
          <w:szCs w:val="32"/>
          <w:highlight w:val="none"/>
        </w:rPr>
        <w:br w:type="page"/>
      </w:r>
      <w:r>
        <w:rPr>
          <w:rFonts w:hint="default" w:ascii="Times New Roman" w:hAnsi="Times New Roman" w:eastAsia="方正兰亭黑简体" w:cs="Times New Roman"/>
          <w:b/>
          <w:bCs/>
          <w:color w:val="auto"/>
          <w:sz w:val="22"/>
          <w:szCs w:val="22"/>
          <w:highlight w:val="none"/>
          <w:lang w:val="en-US" w:eastAsia="zh-CN"/>
        </w:rPr>
        <w:t>附件1</w:t>
      </w:r>
      <w:r>
        <w:rPr>
          <w:rFonts w:hint="eastAsia" w:ascii="Times New Roman" w:hAnsi="Times New Roman" w:eastAsia="方正兰亭黑简体" w:cs="Times New Roman"/>
          <w:b/>
          <w:bCs/>
          <w:color w:val="auto"/>
          <w:sz w:val="22"/>
          <w:szCs w:val="22"/>
          <w:highlight w:val="none"/>
          <w:lang w:val="en-US" w:eastAsia="zh-CN"/>
        </w:rPr>
        <w:t>：</w:t>
      </w:r>
      <w:r>
        <w:rPr>
          <w:rFonts w:hint="default" w:ascii="Times New Roman" w:hAnsi="Times New Roman" w:eastAsia="方正兰亭黑简体" w:cs="Times New Roman"/>
          <w:b/>
          <w:bCs/>
          <w:i w:val="0"/>
          <w:iCs w:val="0"/>
          <w:color w:val="auto"/>
          <w:kern w:val="0"/>
          <w:sz w:val="22"/>
          <w:szCs w:val="22"/>
          <w:highlight w:val="none"/>
          <w:u w:val="none"/>
          <w:lang w:val="en-US" w:eastAsia="zh-CN" w:bidi="ar"/>
        </w:rPr>
        <w:t>临港校区消防设备数量清单</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2"/>
        <w:gridCol w:w="5453"/>
        <w:gridCol w:w="1544"/>
        <w:gridCol w:w="1909"/>
      </w:tblGrid>
      <w:tr w14:paraId="76895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7FEF">
            <w:pPr>
              <w:keepNext w:val="0"/>
              <w:keepLines w:val="0"/>
              <w:widowControl/>
              <w:suppressLineNumbers w:val="0"/>
              <w:jc w:val="center"/>
              <w:textAlignment w:val="center"/>
              <w:rPr>
                <w:rFonts w:hint="default" w:ascii="Times New Roman" w:hAnsi="Times New Roman" w:eastAsia="方正兰亭黑简体" w:cs="Times New Roman"/>
                <w:i w:val="0"/>
                <w:iCs w:val="0"/>
                <w:color w:val="auto"/>
                <w:kern w:val="0"/>
                <w:sz w:val="22"/>
                <w:szCs w:val="22"/>
                <w:highlight w:val="none"/>
                <w:u w:val="none"/>
                <w:lang w:val="en-US" w:eastAsia="zh-CN" w:bidi="ar"/>
              </w:rPr>
            </w:pPr>
            <w:r>
              <w:rPr>
                <w:rFonts w:hint="default" w:ascii="Times New Roman" w:hAnsi="Times New Roman" w:eastAsia="方正兰亭黑简体" w:cs="Times New Roman"/>
                <w:i w:val="0"/>
                <w:iCs w:val="0"/>
                <w:color w:val="auto"/>
                <w:kern w:val="0"/>
                <w:sz w:val="22"/>
                <w:szCs w:val="22"/>
                <w:highlight w:val="none"/>
                <w:u w:val="none"/>
                <w:lang w:val="en-US" w:eastAsia="zh-CN" w:bidi="ar"/>
              </w:rPr>
              <w:t>序号</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11991">
            <w:pPr>
              <w:keepNext w:val="0"/>
              <w:keepLines w:val="0"/>
              <w:widowControl/>
              <w:suppressLineNumbers w:val="0"/>
              <w:jc w:val="center"/>
              <w:textAlignment w:val="center"/>
              <w:rPr>
                <w:rFonts w:hint="default" w:ascii="Times New Roman" w:hAnsi="Times New Roman" w:eastAsia="方正兰亭黑简体" w:cs="Times New Roman"/>
                <w:i w:val="0"/>
                <w:iCs w:val="0"/>
                <w:color w:val="auto"/>
                <w:kern w:val="0"/>
                <w:sz w:val="22"/>
                <w:szCs w:val="22"/>
                <w:highlight w:val="none"/>
                <w:u w:val="none"/>
                <w:lang w:val="en-US" w:eastAsia="zh-CN" w:bidi="ar"/>
              </w:rPr>
            </w:pPr>
            <w:r>
              <w:rPr>
                <w:rFonts w:hint="default" w:ascii="Times New Roman" w:hAnsi="Times New Roman" w:eastAsia="方正兰亭黑简体" w:cs="Times New Roman"/>
                <w:i w:val="0"/>
                <w:iCs w:val="0"/>
                <w:color w:val="auto"/>
                <w:kern w:val="0"/>
                <w:sz w:val="22"/>
                <w:szCs w:val="22"/>
                <w:highlight w:val="none"/>
                <w:u w:val="none"/>
                <w:lang w:val="en-US" w:eastAsia="zh-CN" w:bidi="ar"/>
              </w:rPr>
              <w:t>设备名称</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9005">
            <w:pPr>
              <w:keepNext w:val="0"/>
              <w:keepLines w:val="0"/>
              <w:widowControl/>
              <w:suppressLineNumbers w:val="0"/>
              <w:jc w:val="center"/>
              <w:textAlignment w:val="center"/>
              <w:rPr>
                <w:rFonts w:hint="default" w:ascii="Times New Roman" w:hAnsi="Times New Roman" w:eastAsia="方正兰亭黑简体" w:cs="Times New Roman"/>
                <w:i w:val="0"/>
                <w:iCs w:val="0"/>
                <w:color w:val="auto"/>
                <w:kern w:val="0"/>
                <w:sz w:val="22"/>
                <w:szCs w:val="22"/>
                <w:highlight w:val="none"/>
                <w:u w:val="none"/>
                <w:lang w:val="en-US" w:eastAsia="zh-CN" w:bidi="ar"/>
              </w:rPr>
            </w:pPr>
            <w:r>
              <w:rPr>
                <w:rFonts w:hint="default" w:ascii="Times New Roman" w:hAnsi="Times New Roman" w:eastAsia="方正兰亭黑简体" w:cs="Times New Roman"/>
                <w:i w:val="0"/>
                <w:iCs w:val="0"/>
                <w:color w:val="auto"/>
                <w:kern w:val="0"/>
                <w:sz w:val="22"/>
                <w:szCs w:val="22"/>
                <w:highlight w:val="none"/>
                <w:u w:val="none"/>
                <w:lang w:val="en-US" w:eastAsia="zh-CN" w:bidi="ar"/>
              </w:rPr>
              <w:t>单位</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511D">
            <w:pPr>
              <w:keepNext w:val="0"/>
              <w:keepLines w:val="0"/>
              <w:widowControl/>
              <w:suppressLineNumbers w:val="0"/>
              <w:jc w:val="center"/>
              <w:textAlignment w:val="center"/>
              <w:rPr>
                <w:rFonts w:hint="default" w:ascii="Times New Roman" w:hAnsi="Times New Roman" w:eastAsia="方正兰亭黑简体" w:cs="Times New Roman"/>
                <w:i w:val="0"/>
                <w:iCs w:val="0"/>
                <w:color w:val="auto"/>
                <w:kern w:val="0"/>
                <w:sz w:val="22"/>
                <w:szCs w:val="22"/>
                <w:highlight w:val="none"/>
                <w:u w:val="none"/>
                <w:lang w:val="en-US" w:eastAsia="zh-CN" w:bidi="ar"/>
              </w:rPr>
            </w:pPr>
            <w:r>
              <w:rPr>
                <w:rFonts w:hint="default" w:ascii="Times New Roman" w:hAnsi="Times New Roman" w:eastAsia="方正兰亭黑简体" w:cs="Times New Roman"/>
                <w:i w:val="0"/>
                <w:iCs w:val="0"/>
                <w:color w:val="auto"/>
                <w:kern w:val="0"/>
                <w:sz w:val="22"/>
                <w:szCs w:val="22"/>
                <w:highlight w:val="none"/>
                <w:u w:val="none"/>
                <w:lang w:val="en-US" w:eastAsia="zh-CN" w:bidi="ar"/>
              </w:rPr>
              <w:t>数量</w:t>
            </w:r>
          </w:p>
        </w:tc>
      </w:tr>
      <w:tr w14:paraId="5E26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378C">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5CA3">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消防泵</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52D6">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E9CD">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30</w:t>
            </w:r>
          </w:p>
        </w:tc>
      </w:tr>
      <w:tr w14:paraId="44E93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E3D1">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2</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C9504">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稳压泵</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4695">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AB963">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30</w:t>
            </w:r>
          </w:p>
        </w:tc>
      </w:tr>
      <w:tr w14:paraId="17D33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A62C">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8AEB">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控制柜（一控四）</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633D">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986CD">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15</w:t>
            </w:r>
          </w:p>
        </w:tc>
      </w:tr>
      <w:tr w14:paraId="6C465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E55B">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4</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FAFC9">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室内消火栓</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4460">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只</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88284">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2682</w:t>
            </w:r>
          </w:p>
        </w:tc>
      </w:tr>
      <w:tr w14:paraId="30C3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FE67">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5</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93BF6">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喷淋泵</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EA63">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3513">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12</w:t>
            </w:r>
          </w:p>
        </w:tc>
      </w:tr>
      <w:tr w14:paraId="3BB0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9D00">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6</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F1955">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稳压泵</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AB37">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BC45E">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12</w:t>
            </w:r>
          </w:p>
        </w:tc>
      </w:tr>
      <w:tr w14:paraId="226E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8B66">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7</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282DA">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控制柜（一控四）</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9709">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5AED0">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6</w:t>
            </w:r>
          </w:p>
        </w:tc>
      </w:tr>
      <w:tr w14:paraId="1D5D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95EB">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8</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836E">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闸阀</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1118">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44FF1">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230</w:t>
            </w:r>
          </w:p>
        </w:tc>
      </w:tr>
      <w:tr w14:paraId="421DC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20DB">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9</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52908">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地下闸阀</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C700">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05E6">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520</w:t>
            </w:r>
          </w:p>
        </w:tc>
      </w:tr>
      <w:tr w14:paraId="27F6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8398">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10</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FDAD">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止回阀</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ECE3">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43B7E">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52</w:t>
            </w:r>
          </w:p>
        </w:tc>
      </w:tr>
      <w:tr w14:paraId="64319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F1F6">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11</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5B04">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排气阀</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3192">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77C7">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230</w:t>
            </w:r>
          </w:p>
        </w:tc>
      </w:tr>
      <w:tr w14:paraId="6080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3D99">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12</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B3F1">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泄压阀</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FF2D">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FF0CF">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28</w:t>
            </w:r>
          </w:p>
        </w:tc>
      </w:tr>
      <w:tr w14:paraId="51FE9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69C7">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13</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DBF4">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湿式报警阀</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8723">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C8FE">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20</w:t>
            </w:r>
          </w:p>
        </w:tc>
      </w:tr>
      <w:tr w14:paraId="3014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E8A7">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14</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E159A">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信号蝶阀</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AC45">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7DBB">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72</w:t>
            </w:r>
          </w:p>
        </w:tc>
      </w:tr>
      <w:tr w14:paraId="23C8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9D1A">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15</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88F3">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喷淋头</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1785">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个</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C205">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3537</w:t>
            </w:r>
          </w:p>
        </w:tc>
      </w:tr>
      <w:tr w14:paraId="13D4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00D9">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16</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8181">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室外消火栓</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9576">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338B">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123</w:t>
            </w:r>
          </w:p>
        </w:tc>
      </w:tr>
      <w:tr w14:paraId="47F11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9258">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17</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0B54">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水流指示器</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59B6">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只</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EBA3">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66</w:t>
            </w:r>
          </w:p>
        </w:tc>
      </w:tr>
      <w:tr w14:paraId="6AF39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CF9E">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18</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E2B4">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水泵接合器</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A804">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套</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81F4">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121</w:t>
            </w:r>
          </w:p>
        </w:tc>
      </w:tr>
      <w:tr w14:paraId="5C0D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CC26">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19</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170E">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自卷盘、阀门</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4B6A">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套</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B5C4D">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342</w:t>
            </w:r>
          </w:p>
        </w:tc>
      </w:tr>
      <w:tr w14:paraId="7B4E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4188">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20</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F8C66">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雨淋主泵</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78E0">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C88E">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w:t>
            </w:r>
          </w:p>
        </w:tc>
      </w:tr>
      <w:tr w14:paraId="1480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2535">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21</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E7E1">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雨淋稳压泵</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18F0">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BC10">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w:t>
            </w:r>
          </w:p>
        </w:tc>
      </w:tr>
      <w:tr w14:paraId="20609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944A">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22</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35D48">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控制柜（一控六）</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4FC5">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7212">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w:t>
            </w:r>
          </w:p>
        </w:tc>
      </w:tr>
      <w:tr w14:paraId="3D2DB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8A6C">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23</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9C94B">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雨淋系统</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0E94">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套</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2FA0C">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w:t>
            </w:r>
          </w:p>
        </w:tc>
      </w:tr>
      <w:tr w14:paraId="4548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9976">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24</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740D">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雨淋阀</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FC19">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0D7A">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4</w:t>
            </w:r>
          </w:p>
        </w:tc>
      </w:tr>
      <w:tr w14:paraId="7B27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0954">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25</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0AA1">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水炮主泵</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A956">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07E21">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w:t>
            </w:r>
          </w:p>
        </w:tc>
      </w:tr>
      <w:tr w14:paraId="0189C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0199">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26</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8BA5">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水炮稳压泵</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5B39">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1C599">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2</w:t>
            </w:r>
          </w:p>
        </w:tc>
      </w:tr>
      <w:tr w14:paraId="586A6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E549">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27</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E243B">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水炮控制柜</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FD45">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67F9">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2</w:t>
            </w:r>
          </w:p>
        </w:tc>
      </w:tr>
      <w:tr w14:paraId="47AA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8CFF">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28</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DD24D">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水炮系统</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7061">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套</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AC190">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w:t>
            </w:r>
          </w:p>
        </w:tc>
      </w:tr>
      <w:tr w14:paraId="5BC0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CA13">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29</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369F">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水炮控制系统</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5BB2">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套</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4CCF">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w:t>
            </w:r>
          </w:p>
        </w:tc>
      </w:tr>
      <w:tr w14:paraId="3492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A7BB">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30</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BA74C">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火灾报警控制柜（运行、联网）</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85DA">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90BA">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43</w:t>
            </w:r>
          </w:p>
        </w:tc>
      </w:tr>
      <w:tr w14:paraId="74AC8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4499">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31</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013C">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火灾报警线路维护（回路）</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51BC">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个</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BAEE">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128</w:t>
            </w:r>
          </w:p>
        </w:tc>
      </w:tr>
      <w:tr w14:paraId="2052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5066">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32</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89DDF">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感烟探测器</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767D">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套</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F43C">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11892</w:t>
            </w:r>
          </w:p>
        </w:tc>
      </w:tr>
      <w:tr w14:paraId="62F5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BC20">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33</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4822">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感温探测器</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9088">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套</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2384">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336</w:t>
            </w:r>
          </w:p>
        </w:tc>
      </w:tr>
      <w:tr w14:paraId="0E20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E22B">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34</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320D">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手动报警按钮</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BC41">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套</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E4BA7">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1034</w:t>
            </w:r>
          </w:p>
        </w:tc>
      </w:tr>
      <w:tr w14:paraId="2C18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1BAB">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35</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A1E5">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声光报警/警铃</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376F">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只</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14E72">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1034</w:t>
            </w:r>
          </w:p>
        </w:tc>
      </w:tr>
      <w:tr w14:paraId="613F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DDA4">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36</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7876">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信号模块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22B3">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只</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E358">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341</w:t>
            </w:r>
          </w:p>
        </w:tc>
      </w:tr>
      <w:tr w14:paraId="0279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D6FD">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37</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BB2F">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控制模块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5954">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只</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46FD">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765</w:t>
            </w:r>
          </w:p>
        </w:tc>
      </w:tr>
      <w:tr w14:paraId="24A6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3614">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38</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EE7E">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消火栓启泵按钮</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FD44">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只</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9699">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438</w:t>
            </w:r>
          </w:p>
        </w:tc>
      </w:tr>
      <w:tr w14:paraId="0C1C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925E">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39</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6910">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多线模块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FC55">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只</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24A2">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62</w:t>
            </w:r>
          </w:p>
        </w:tc>
      </w:tr>
      <w:tr w14:paraId="421EB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A3C8">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40</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4D19">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消防电话主机</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33A8">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只</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7E96">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12</w:t>
            </w:r>
          </w:p>
        </w:tc>
      </w:tr>
      <w:tr w14:paraId="19A9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9383">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41</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BD1AF">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消防电话</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1093">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套</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C313">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99</w:t>
            </w:r>
          </w:p>
        </w:tc>
      </w:tr>
      <w:tr w14:paraId="6AB1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DEDF">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42</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8A1B0">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消防广播</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09E1">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套</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B606">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kern w:val="0"/>
                <w:sz w:val="20"/>
                <w:szCs w:val="20"/>
                <w:highlight w:val="none"/>
                <w:u w:val="none"/>
                <w:lang w:val="en-US" w:eastAsia="zh-CN" w:bidi="ar"/>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12</w:t>
            </w:r>
          </w:p>
        </w:tc>
      </w:tr>
      <w:tr w14:paraId="42460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E94B">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43</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837D3">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排烟风机</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A13D">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3668">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36</w:t>
            </w:r>
          </w:p>
        </w:tc>
      </w:tr>
      <w:tr w14:paraId="4F2A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E49A">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44</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1C85">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风机控制柜</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B197">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CF13">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36</w:t>
            </w:r>
          </w:p>
        </w:tc>
      </w:tr>
      <w:tr w14:paraId="7565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87B5">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45</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F7298">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防火卷帘门</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BF74">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扇</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636B3">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68</w:t>
            </w:r>
          </w:p>
        </w:tc>
      </w:tr>
      <w:tr w14:paraId="4E464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EC6C">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46</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A66A">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挡烟捶壁</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C9BA">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套</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0E91">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12</w:t>
            </w:r>
          </w:p>
        </w:tc>
      </w:tr>
      <w:tr w14:paraId="5C50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6E85">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47</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A1A5">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电动排烟天窗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1141">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套</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6B853">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8</w:t>
            </w:r>
          </w:p>
        </w:tc>
      </w:tr>
      <w:tr w14:paraId="0209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3FCA">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48</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DB05">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电动天窗控制柜</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3C2A">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4D56A">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8</w:t>
            </w:r>
          </w:p>
        </w:tc>
      </w:tr>
      <w:tr w14:paraId="5636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840D">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49</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D88D">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气动排烟天窗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F095">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套</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2850E">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w:t>
            </w:r>
          </w:p>
        </w:tc>
      </w:tr>
      <w:tr w14:paraId="4968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380A">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50</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B20E">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启动控制柜</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0D2C">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8ACF5">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w:t>
            </w:r>
          </w:p>
        </w:tc>
      </w:tr>
      <w:tr w14:paraId="7039F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9DCD">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51</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27008">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空压机</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A4D0">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6387">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w:t>
            </w:r>
          </w:p>
        </w:tc>
      </w:tr>
      <w:tr w14:paraId="35CEB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DE1F">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52</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1A78">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排烟阀</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187E">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套</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1110">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52</w:t>
            </w:r>
          </w:p>
        </w:tc>
      </w:tr>
      <w:tr w14:paraId="0B66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54FA">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53</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71B1">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气体灭火系统（有管网、无管网）</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28B8">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套</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EA6B">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10</w:t>
            </w:r>
          </w:p>
        </w:tc>
      </w:tr>
      <w:tr w14:paraId="1C92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958A">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54</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9C10">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气体报警主机</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3AEC">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EC47">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8</w:t>
            </w:r>
          </w:p>
        </w:tc>
      </w:tr>
      <w:tr w14:paraId="415CE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E434">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55</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E4B1">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感烟探测器</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F5E8">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只</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9891F">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58</w:t>
            </w:r>
          </w:p>
        </w:tc>
      </w:tr>
      <w:tr w14:paraId="42B3F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06BE">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56</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4BE8F">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温感探测器</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EB84">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只</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EC22B">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42</w:t>
            </w:r>
          </w:p>
        </w:tc>
      </w:tr>
      <w:tr w14:paraId="5E71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CD24">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57</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1949">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有管网系统</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11F7">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套</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1F4D">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3</w:t>
            </w:r>
          </w:p>
        </w:tc>
      </w:tr>
      <w:tr w14:paraId="0264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A012">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58</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31FD4">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气体钢瓶</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5180">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只</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2422A">
            <w:pPr>
              <w:keepNext w:val="0"/>
              <w:keepLines w:val="0"/>
              <w:widowControl/>
              <w:suppressLineNumbers w:val="0"/>
              <w:spacing w:line="360" w:lineRule="auto"/>
              <w:jc w:val="center"/>
              <w:textAlignment w:val="center"/>
              <w:rPr>
                <w:rFonts w:hint="default" w:ascii="Times New Roman" w:hAnsi="Times New Roman" w:eastAsia="方正兰亭黑简体" w:cs="Times New Roman"/>
                <w:i w:val="0"/>
                <w:iCs w:val="0"/>
                <w:color w:val="auto"/>
                <w:sz w:val="20"/>
                <w:szCs w:val="20"/>
                <w:highlight w:val="none"/>
                <w:u w:val="none"/>
              </w:rPr>
            </w:pPr>
            <w:r>
              <w:rPr>
                <w:rFonts w:hint="default" w:ascii="Times New Roman" w:hAnsi="Times New Roman" w:eastAsia="方正兰亭黑简体" w:cs="Times New Roman"/>
                <w:i w:val="0"/>
                <w:iCs w:val="0"/>
                <w:color w:val="auto"/>
                <w:kern w:val="0"/>
                <w:sz w:val="20"/>
                <w:szCs w:val="20"/>
                <w:highlight w:val="none"/>
                <w:u w:val="none"/>
                <w:lang w:val="en-US" w:eastAsia="zh-CN" w:bidi="ar"/>
              </w:rPr>
              <w:t>19</w:t>
            </w:r>
          </w:p>
        </w:tc>
      </w:tr>
    </w:tbl>
    <w:p w14:paraId="18989302">
      <w:pPr>
        <w:rPr>
          <w:rFonts w:ascii="方正兰亭黑简体" w:hAnsi="方正兰亭黑简体" w:eastAsia="方正兰亭黑简体" w:cs="方正兰亭黑简体"/>
          <w:b/>
          <w:bCs/>
          <w:color w:val="auto"/>
          <w:sz w:val="24"/>
          <w:szCs w:val="32"/>
          <w:highlight w:val="none"/>
        </w:rPr>
      </w:pPr>
    </w:p>
    <w:p w14:paraId="31113138">
      <w:pPr>
        <w:rPr>
          <w:rFonts w:hint="eastAsia"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br w:type="page"/>
      </w:r>
    </w:p>
    <w:p w14:paraId="55CBD930">
      <w:pPr>
        <w:jc w:val="cente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第三章 评审办法</w:t>
      </w:r>
    </w:p>
    <w:p w14:paraId="378B446F">
      <w:pPr>
        <w:ind w:firstLine="440" w:firstLineChars="200"/>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综合本项目的特点，根据相关法律法规的规定，本着保护竞争，维护采购工作公开、公平、公正原则，特制定本评审办法，作为选定本次采购中标人的依据。</w:t>
      </w:r>
    </w:p>
    <w:p w14:paraId="11F91B40">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1、成立比选评审小组</w:t>
      </w:r>
    </w:p>
    <w:p w14:paraId="5D74DA55">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采购人将根据货物与服务的特点，依规组建比选小组，比选小组由3人或以上的单数组成。</w:t>
      </w:r>
    </w:p>
    <w:p w14:paraId="127599AF">
      <w:pPr>
        <w:numPr>
          <w:ilvl w:val="0"/>
          <w:numId w:val="2"/>
        </w:num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具体评分细则如下：</w:t>
      </w:r>
    </w:p>
    <w:tbl>
      <w:tblPr>
        <w:tblStyle w:val="14"/>
        <w:tblW w:w="498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6"/>
        <w:gridCol w:w="1330"/>
        <w:gridCol w:w="723"/>
        <w:gridCol w:w="7229"/>
      </w:tblGrid>
      <w:tr w14:paraId="45280F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330" w:type="pct"/>
            <w:vAlign w:val="center"/>
          </w:tcPr>
          <w:p w14:paraId="0E0E51F4">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序号</w:t>
            </w:r>
          </w:p>
        </w:tc>
        <w:tc>
          <w:tcPr>
            <w:tcW w:w="669" w:type="pct"/>
            <w:vAlign w:val="center"/>
          </w:tcPr>
          <w:p w14:paraId="241B6732">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评审因素</w:t>
            </w:r>
          </w:p>
        </w:tc>
        <w:tc>
          <w:tcPr>
            <w:tcW w:w="364" w:type="pct"/>
            <w:vAlign w:val="center"/>
          </w:tcPr>
          <w:p w14:paraId="7C4F10E3">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分值</w:t>
            </w:r>
          </w:p>
        </w:tc>
        <w:tc>
          <w:tcPr>
            <w:tcW w:w="3635" w:type="pct"/>
            <w:vAlign w:val="center"/>
          </w:tcPr>
          <w:p w14:paraId="65746914">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评分说明</w:t>
            </w:r>
          </w:p>
        </w:tc>
      </w:tr>
      <w:tr w14:paraId="6A7169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5000" w:type="pct"/>
            <w:gridSpan w:val="4"/>
            <w:vAlign w:val="center"/>
          </w:tcPr>
          <w:p w14:paraId="2A487BF5">
            <w:pPr>
              <w:jc w:val="left"/>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一、价格部分</w:t>
            </w:r>
          </w:p>
        </w:tc>
      </w:tr>
      <w:tr w14:paraId="16B2B2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30" w:type="pct"/>
            <w:vAlign w:val="center"/>
          </w:tcPr>
          <w:p w14:paraId="17FD0807">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w:t>
            </w:r>
          </w:p>
        </w:tc>
        <w:tc>
          <w:tcPr>
            <w:tcW w:w="669" w:type="pct"/>
            <w:vAlign w:val="center"/>
          </w:tcPr>
          <w:p w14:paraId="58A51BC9">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价格得分</w:t>
            </w:r>
          </w:p>
          <w:p w14:paraId="701BD74D">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（客观分）</w:t>
            </w:r>
          </w:p>
        </w:tc>
        <w:tc>
          <w:tcPr>
            <w:tcW w:w="364" w:type="pct"/>
            <w:vAlign w:val="center"/>
          </w:tcPr>
          <w:p w14:paraId="237AB34E">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20</w:t>
            </w:r>
          </w:p>
        </w:tc>
        <w:tc>
          <w:tcPr>
            <w:tcW w:w="3635" w:type="pct"/>
            <w:vAlign w:val="center"/>
          </w:tcPr>
          <w:p w14:paraId="3D927C36">
            <w:pPr>
              <w:jc w:val="left"/>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采用低价优先法计算，即满足比选文件要求且最低的报价为基准价，其价格分为满分20分。其他报价单位的报价得分计算公式如下：报价得分＝20×（评标基准价/投标报价）。</w:t>
            </w:r>
          </w:p>
        </w:tc>
      </w:tr>
      <w:tr w14:paraId="14816A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5000" w:type="pct"/>
            <w:gridSpan w:val="4"/>
            <w:vAlign w:val="center"/>
          </w:tcPr>
          <w:p w14:paraId="7648485D">
            <w:pPr>
              <w:jc w:val="left"/>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二、商务、技术部分</w:t>
            </w:r>
          </w:p>
        </w:tc>
      </w:tr>
      <w:tr w14:paraId="6900E4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330" w:type="pct"/>
            <w:vAlign w:val="center"/>
          </w:tcPr>
          <w:p w14:paraId="792FA3DC">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2</w:t>
            </w:r>
          </w:p>
        </w:tc>
        <w:tc>
          <w:tcPr>
            <w:tcW w:w="669" w:type="pct"/>
            <w:vAlign w:val="center"/>
          </w:tcPr>
          <w:p w14:paraId="7EB9288B">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经验业绩</w:t>
            </w:r>
          </w:p>
          <w:p w14:paraId="7D1BC259">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（客观分）</w:t>
            </w:r>
          </w:p>
        </w:tc>
        <w:tc>
          <w:tcPr>
            <w:tcW w:w="364" w:type="pct"/>
            <w:vAlign w:val="center"/>
          </w:tcPr>
          <w:p w14:paraId="2165A042">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15</w:t>
            </w:r>
          </w:p>
        </w:tc>
        <w:tc>
          <w:tcPr>
            <w:tcW w:w="3635" w:type="pct"/>
            <w:vAlign w:val="center"/>
          </w:tcPr>
          <w:p w14:paraId="771E82A9">
            <w:pPr>
              <w:jc w:val="left"/>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提供近3年（合同签订日期自2022年</w:t>
            </w:r>
            <w:r>
              <w:rPr>
                <w:rFonts w:hint="eastAsia" w:ascii="方正兰亭黑简体" w:hAnsi="方正兰亭黑简体" w:eastAsia="方正兰亭黑简体" w:cs="方正兰亭黑简体"/>
                <w:color w:val="auto"/>
                <w:sz w:val="20"/>
                <w:szCs w:val="20"/>
                <w:highlight w:val="none"/>
                <w:lang w:val="en-US" w:eastAsia="zh-CN"/>
              </w:rPr>
              <w:t>10</w:t>
            </w:r>
            <w:r>
              <w:rPr>
                <w:rFonts w:hint="eastAsia" w:ascii="方正兰亭黑简体" w:hAnsi="方正兰亭黑简体" w:eastAsia="方正兰亭黑简体" w:cs="方正兰亭黑简体"/>
                <w:color w:val="auto"/>
                <w:sz w:val="20"/>
                <w:szCs w:val="20"/>
                <w:highlight w:val="none"/>
              </w:rPr>
              <w:t>月1日起至今）业绩案例。（每提供1个得5分；最高得15分）注：需提供相关业绩的合同复印件，否则将不予认可。</w:t>
            </w:r>
          </w:p>
        </w:tc>
      </w:tr>
      <w:tr w14:paraId="5EE8D4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330" w:type="pct"/>
            <w:vAlign w:val="center"/>
          </w:tcPr>
          <w:p w14:paraId="379A3BE4">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3</w:t>
            </w:r>
          </w:p>
        </w:tc>
        <w:tc>
          <w:tcPr>
            <w:tcW w:w="669" w:type="pct"/>
            <w:vAlign w:val="center"/>
          </w:tcPr>
          <w:p w14:paraId="10D9EEB2">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服务响应程度</w:t>
            </w:r>
          </w:p>
          <w:p w14:paraId="60E9C6AF">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（客观分）</w:t>
            </w:r>
          </w:p>
        </w:tc>
        <w:tc>
          <w:tcPr>
            <w:tcW w:w="364" w:type="pct"/>
            <w:vAlign w:val="center"/>
          </w:tcPr>
          <w:p w14:paraId="78EC9337">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15</w:t>
            </w:r>
          </w:p>
        </w:tc>
        <w:tc>
          <w:tcPr>
            <w:tcW w:w="3635" w:type="pct"/>
            <w:vAlign w:val="center"/>
          </w:tcPr>
          <w:p w14:paraId="2A61DC3E">
            <w:pPr>
              <w:jc w:val="left"/>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针对第二章中的采购需求：不满足技术条款的，每项扣3分；扣完为止。</w:t>
            </w:r>
          </w:p>
        </w:tc>
      </w:tr>
      <w:tr w14:paraId="1DDED1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81" w:hRule="atLeast"/>
          <w:jc w:val="center"/>
        </w:trPr>
        <w:tc>
          <w:tcPr>
            <w:tcW w:w="330" w:type="pct"/>
            <w:vAlign w:val="center"/>
          </w:tcPr>
          <w:p w14:paraId="54F3E8A4">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4</w:t>
            </w:r>
          </w:p>
        </w:tc>
        <w:tc>
          <w:tcPr>
            <w:tcW w:w="669" w:type="pct"/>
            <w:tcBorders>
              <w:top w:val="single" w:color="auto" w:sz="6" w:space="0"/>
              <w:left w:val="single" w:color="auto" w:sz="6" w:space="0"/>
              <w:bottom w:val="single" w:color="auto" w:sz="6" w:space="0"/>
              <w:right w:val="single" w:color="auto" w:sz="6" w:space="0"/>
            </w:tcBorders>
            <w:vAlign w:val="center"/>
          </w:tcPr>
          <w:p w14:paraId="2CE60C6D">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zh-CN"/>
              </w:rPr>
              <w:t>服务方案</w:t>
            </w:r>
            <w:r>
              <w:rPr>
                <w:rFonts w:hint="eastAsia" w:ascii="方正兰亭黑简体" w:hAnsi="方正兰亭黑简体" w:eastAsia="方正兰亭黑简体" w:cs="方正兰亭黑简体"/>
                <w:color w:val="auto"/>
                <w:sz w:val="20"/>
                <w:szCs w:val="20"/>
                <w:highlight w:val="none"/>
              </w:rPr>
              <w:t>整体质量</w:t>
            </w:r>
          </w:p>
          <w:p w14:paraId="2D496C72">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（主观分）</w:t>
            </w:r>
          </w:p>
        </w:tc>
        <w:tc>
          <w:tcPr>
            <w:tcW w:w="364" w:type="pct"/>
            <w:vAlign w:val="center"/>
          </w:tcPr>
          <w:p w14:paraId="36FD72F7">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30</w:t>
            </w:r>
          </w:p>
        </w:tc>
        <w:tc>
          <w:tcPr>
            <w:tcW w:w="3635" w:type="pct"/>
            <w:vAlign w:val="center"/>
          </w:tcPr>
          <w:p w14:paraId="2D4247E3">
            <w:pPr>
              <w:jc w:val="left"/>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优秀（21～30分）：方案整体质量高，方案合理可行性强，响应措施及时高效，项目进度安排紧凑合理。</w:t>
            </w:r>
          </w:p>
          <w:p w14:paraId="3603D355">
            <w:pPr>
              <w:jc w:val="left"/>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良好（11～20分）：方案整体质量较好，响应措施尚可，方案个别细节有待进一步完善。</w:t>
            </w:r>
          </w:p>
          <w:p w14:paraId="7B449ED4">
            <w:pPr>
              <w:jc w:val="left"/>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一般（6～10分）：方案整体质量一般，合理性与可行性一般，存在风险但总体可控的。</w:t>
            </w:r>
          </w:p>
          <w:p w14:paraId="7C69D174">
            <w:pPr>
              <w:jc w:val="left"/>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较差（0～5分）：方案整体质量较差，与项目实际契合度低的。</w:t>
            </w:r>
          </w:p>
        </w:tc>
      </w:tr>
      <w:tr w14:paraId="221935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30" w:type="pct"/>
            <w:vAlign w:val="center"/>
          </w:tcPr>
          <w:p w14:paraId="199F65B7">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5</w:t>
            </w:r>
          </w:p>
        </w:tc>
        <w:tc>
          <w:tcPr>
            <w:tcW w:w="669" w:type="pct"/>
            <w:vAlign w:val="center"/>
          </w:tcPr>
          <w:p w14:paraId="6E4DAE3B">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服务承诺</w:t>
            </w:r>
          </w:p>
          <w:p w14:paraId="4E5E098E">
            <w:pPr>
              <w:pStyle w:val="13"/>
              <w:ind w:firstLine="200"/>
              <w:rPr>
                <w:color w:val="auto"/>
                <w:highlight w:val="none"/>
              </w:rPr>
            </w:pPr>
            <w:r>
              <w:rPr>
                <w:rFonts w:hint="eastAsia" w:ascii="方正兰亭黑简体" w:hAnsi="方正兰亭黑简体" w:eastAsia="方正兰亭黑简体" w:cs="方正兰亭黑简体"/>
                <w:color w:val="auto"/>
                <w:sz w:val="20"/>
                <w:szCs w:val="20"/>
                <w:highlight w:val="none"/>
              </w:rPr>
              <w:t>（主观分）</w:t>
            </w:r>
          </w:p>
        </w:tc>
        <w:tc>
          <w:tcPr>
            <w:tcW w:w="364" w:type="pct"/>
            <w:vAlign w:val="center"/>
          </w:tcPr>
          <w:p w14:paraId="6FE44B9C">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20</w:t>
            </w:r>
          </w:p>
        </w:tc>
        <w:tc>
          <w:tcPr>
            <w:tcW w:w="3635" w:type="pct"/>
          </w:tcPr>
          <w:p w14:paraId="15824B81">
            <w:pPr>
              <w:jc w:val="left"/>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优秀（16～20分）：服务承诺等合理可行。</w:t>
            </w:r>
          </w:p>
          <w:p w14:paraId="571EECFD">
            <w:pPr>
              <w:jc w:val="left"/>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良好（11～15分）：服务承诺等比较合理。</w:t>
            </w:r>
          </w:p>
          <w:p w14:paraId="3122E897">
            <w:pPr>
              <w:jc w:val="left"/>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一般（6～10分）：服务承诺等合理性与可行性一般。</w:t>
            </w:r>
          </w:p>
          <w:p w14:paraId="640AF99F">
            <w:pPr>
              <w:jc w:val="left"/>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较差（0～5分）：服务承诺等合理性与可行性较差。</w:t>
            </w:r>
          </w:p>
        </w:tc>
      </w:tr>
    </w:tbl>
    <w:p w14:paraId="23C2B2B3">
      <w:pPr>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br w:type="page"/>
      </w:r>
    </w:p>
    <w:p w14:paraId="0C7FBF39">
      <w:pPr>
        <w:jc w:val="center"/>
        <w:rPr>
          <w:rFonts w:ascii="方正兰亭黑简体" w:hAnsi="方正兰亭黑简体" w:eastAsia="方正兰亭黑简体" w:cs="方正兰亭黑简体"/>
          <w:b/>
          <w:bCs/>
          <w:color w:val="auto"/>
          <w:sz w:val="24"/>
          <w:szCs w:val="32"/>
          <w:highlight w:val="none"/>
        </w:rPr>
        <w:sectPr>
          <w:footerReference r:id="rId3" w:type="default"/>
          <w:pgSz w:w="11906" w:h="16838"/>
          <w:pgMar w:top="1440" w:right="1080" w:bottom="1440" w:left="1080" w:header="851" w:footer="992" w:gutter="0"/>
          <w:cols w:space="425" w:num="1"/>
          <w:docGrid w:type="lines" w:linePitch="312" w:charSpace="0"/>
        </w:sectPr>
      </w:pPr>
    </w:p>
    <w:p w14:paraId="4432A35C">
      <w:pPr>
        <w:jc w:val="cente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第四章 格式附件</w:t>
      </w:r>
    </w:p>
    <w:p w14:paraId="4787B742">
      <w:pPr>
        <w:jc w:val="left"/>
        <w:rPr>
          <w:rFonts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附件1：报价单</w:t>
      </w:r>
    </w:p>
    <w:p w14:paraId="4360EFB2">
      <w:pPr>
        <w:spacing w:line="440" w:lineRule="exact"/>
        <w:jc w:val="center"/>
        <w:rPr>
          <w:rFonts w:ascii="宋体" w:hAnsi="宋体" w:eastAsia="宋体"/>
          <w:color w:val="auto"/>
          <w:sz w:val="24"/>
          <w:highlight w:val="none"/>
        </w:rPr>
      </w:pPr>
      <w:r>
        <w:rPr>
          <w:rFonts w:hint="eastAsia" w:ascii="黑体" w:hAnsi="华文楷体" w:eastAsia="黑体"/>
          <w:b/>
          <w:color w:val="auto"/>
          <w:sz w:val="36"/>
          <w:szCs w:val="36"/>
          <w:highlight w:val="none"/>
        </w:rPr>
        <w:t>报   价   单</w:t>
      </w:r>
    </w:p>
    <w:p w14:paraId="5DB04803">
      <w:pPr>
        <w:spacing w:line="440" w:lineRule="exact"/>
        <w:jc w:val="left"/>
        <w:rPr>
          <w:rFonts w:ascii="黑体" w:hAnsi="华文楷体" w:eastAsia="黑体"/>
          <w:color w:val="auto"/>
          <w:sz w:val="24"/>
          <w:highlight w:val="none"/>
        </w:rPr>
      </w:pPr>
      <w:r>
        <w:rPr>
          <w:rFonts w:hint="eastAsia" w:ascii="黑体" w:hAnsi="华文楷体" w:eastAsia="黑体"/>
          <w:b/>
          <w:color w:val="auto"/>
          <w:sz w:val="24"/>
          <w:highlight w:val="none"/>
        </w:rPr>
        <w:t xml:space="preserve">TO: </w:t>
      </w:r>
      <w:r>
        <w:rPr>
          <w:rFonts w:hint="eastAsia" w:ascii="黑体" w:hAnsi="华文楷体" w:eastAsia="黑体"/>
          <w:color w:val="auto"/>
          <w:sz w:val="24"/>
          <w:highlight w:val="none"/>
        </w:rPr>
        <w:t xml:space="preserve"> 上海海事大学 采购与招投标管理中心</w:t>
      </w:r>
      <w:r>
        <w:rPr>
          <w:rFonts w:hint="eastAsia" w:ascii="黑体" w:hAnsi="华文楷体" w:eastAsia="黑体"/>
          <w:b/>
          <w:color w:val="auto"/>
          <w:sz w:val="36"/>
          <w:szCs w:val="36"/>
          <w:highlight w:val="none"/>
        </w:rPr>
        <w:t xml:space="preserve">             </w:t>
      </w:r>
      <w:r>
        <w:rPr>
          <w:rFonts w:hint="eastAsia" w:ascii="黑体" w:hAnsi="华文楷体" w:eastAsia="黑体"/>
          <w:color w:val="auto"/>
          <w:sz w:val="24"/>
          <w:highlight w:val="none"/>
        </w:rPr>
        <w:t>项目编号：</w:t>
      </w:r>
      <w:r>
        <w:rPr>
          <w:rFonts w:hint="eastAsia" w:ascii="黑体" w:hAnsi="华文楷体" w:eastAsia="黑体"/>
          <w:color w:val="auto"/>
          <w:sz w:val="24"/>
          <w:highlight w:val="none"/>
          <w:lang w:eastAsia="zh-CN"/>
        </w:rPr>
        <w:t>HFBX2025086</w:t>
      </w:r>
      <w:r>
        <w:rPr>
          <w:rFonts w:hint="eastAsia" w:ascii="黑体" w:hAnsi="华文楷体" w:eastAsia="黑体"/>
          <w:b/>
          <w:color w:val="auto"/>
          <w:sz w:val="36"/>
          <w:szCs w:val="36"/>
          <w:highlight w:val="none"/>
        </w:rPr>
        <w:t xml:space="preserve">                     </w:t>
      </w:r>
    </w:p>
    <w:p w14:paraId="63930C5A">
      <w:pPr>
        <w:spacing w:line="440" w:lineRule="exact"/>
        <w:rPr>
          <w:rFonts w:ascii="方正仿宋_GB2312" w:hAnsi="方正仿宋_GB2312" w:eastAsia="方正仿宋_GB2312" w:cs="方正仿宋_GB2312"/>
          <w:b/>
          <w:color w:val="auto"/>
          <w:sz w:val="24"/>
          <w:highlight w:val="none"/>
        </w:rPr>
      </w:pPr>
      <w:r>
        <w:rPr>
          <w:rFonts w:hint="eastAsia" w:ascii="黑体" w:hAnsi="华文楷体" w:eastAsia="黑体"/>
          <w:b/>
          <w:color w:val="auto"/>
          <w:sz w:val="24"/>
          <w:highlight w:val="none"/>
        </w:rPr>
        <w:t>电子邮箱：</w:t>
      </w:r>
      <w:r>
        <w:rPr>
          <w:color w:val="auto"/>
          <w:highlight w:val="none"/>
        </w:rPr>
        <w:fldChar w:fldCharType="begin"/>
      </w:r>
      <w:r>
        <w:rPr>
          <w:color w:val="auto"/>
          <w:highlight w:val="none"/>
        </w:rPr>
        <w:instrText xml:space="preserve"> HYPERLINK "mailto:quotation@shmtu.edu.cn" </w:instrText>
      </w:r>
      <w:r>
        <w:rPr>
          <w:color w:val="auto"/>
          <w:highlight w:val="none"/>
        </w:rPr>
        <w:fldChar w:fldCharType="separate"/>
      </w:r>
      <w:r>
        <w:rPr>
          <w:rStyle w:val="18"/>
          <w:rFonts w:ascii="黑体" w:hAnsi="华文楷体" w:eastAsia="黑体"/>
          <w:b/>
          <w:color w:val="auto"/>
          <w:sz w:val="24"/>
          <w:highlight w:val="none"/>
        </w:rPr>
        <w:t>quotation@shmtu.edu.cn</w:t>
      </w:r>
      <w:r>
        <w:rPr>
          <w:rStyle w:val="18"/>
          <w:rFonts w:ascii="黑体" w:hAnsi="华文楷体" w:eastAsia="黑体"/>
          <w:b/>
          <w:color w:val="auto"/>
          <w:sz w:val="24"/>
          <w:highlight w:val="none"/>
        </w:rPr>
        <w:fldChar w:fldCharType="end"/>
      </w:r>
    </w:p>
    <w:p w14:paraId="5CA198D0">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公司名称：</w:t>
      </w:r>
      <w:r>
        <w:rPr>
          <w:rFonts w:hint="eastAsia" w:ascii="黑体" w:hAnsi="华文楷体" w:eastAsia="黑体"/>
          <w:color w:val="auto"/>
          <w:sz w:val="24"/>
          <w:highlight w:val="none"/>
        </w:rPr>
        <w:t xml:space="preserve">                                                </w:t>
      </w:r>
      <w:r>
        <w:rPr>
          <w:rFonts w:hint="eastAsia" w:ascii="黑体" w:hAnsi="华文楷体" w:eastAsia="黑体"/>
          <w:b/>
          <w:color w:val="auto"/>
          <w:sz w:val="24"/>
          <w:highlight w:val="none"/>
        </w:rPr>
        <w:t>联系人：</w:t>
      </w:r>
    </w:p>
    <w:p w14:paraId="656B0DED">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电子邮箱：                                                公司地址：</w:t>
      </w:r>
    </w:p>
    <w:p w14:paraId="59E4953C">
      <w:pPr>
        <w:spacing w:line="440" w:lineRule="exact"/>
        <w:rPr>
          <w:rFonts w:hint="eastAsia" w:ascii="黑体" w:hAnsi="华文楷体" w:eastAsia="黑体"/>
          <w:b/>
          <w:color w:val="auto"/>
          <w:sz w:val="24"/>
          <w:highlight w:val="none"/>
        </w:rPr>
      </w:pPr>
      <w:r>
        <w:rPr>
          <w:rFonts w:hint="eastAsia" w:ascii="黑体" w:hAnsi="华文楷体" w:eastAsia="黑体"/>
          <w:b/>
          <w:color w:val="auto"/>
          <w:sz w:val="24"/>
          <w:highlight w:val="none"/>
        </w:rPr>
        <w:t>电话：                                                    联系人手机：</w:t>
      </w:r>
    </w:p>
    <w:p w14:paraId="36972239">
      <w:pPr>
        <w:spacing w:line="440" w:lineRule="exact"/>
        <w:rPr>
          <w:rFonts w:hint="default" w:ascii="黑体" w:hAnsi="华文楷体" w:eastAsia="黑体"/>
          <w:b/>
          <w:color w:val="auto"/>
          <w:sz w:val="24"/>
          <w:highlight w:val="none"/>
          <w:lang w:val="en-US" w:eastAsia="zh-CN"/>
        </w:rPr>
      </w:pPr>
      <w:r>
        <w:rPr>
          <w:rFonts w:hint="eastAsia" w:ascii="黑体" w:hAnsi="华文楷体" w:eastAsia="黑体"/>
          <w:b/>
          <w:color w:val="auto"/>
          <w:sz w:val="24"/>
          <w:highlight w:val="none"/>
          <w:lang w:val="en-US" w:eastAsia="zh-CN"/>
        </w:rPr>
        <w:t>表1：报价一览表</w:t>
      </w:r>
    </w:p>
    <w:tbl>
      <w:tblPr>
        <w:tblStyle w:val="14"/>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635"/>
        <w:gridCol w:w="4332"/>
        <w:gridCol w:w="2484"/>
        <w:gridCol w:w="2343"/>
      </w:tblGrid>
      <w:tr w14:paraId="5771D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exact"/>
        </w:trPr>
        <w:tc>
          <w:tcPr>
            <w:tcW w:w="324" w:type="pct"/>
            <w:tcBorders>
              <w:top w:val="single" w:color="auto" w:sz="12" w:space="0"/>
              <w:left w:val="single" w:color="auto" w:sz="12" w:space="0"/>
              <w:bottom w:val="double" w:color="auto" w:sz="4" w:space="0"/>
            </w:tcBorders>
            <w:vAlign w:val="center"/>
          </w:tcPr>
          <w:p w14:paraId="2B1D065C">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序号</w:t>
            </w:r>
          </w:p>
        </w:tc>
        <w:tc>
          <w:tcPr>
            <w:tcW w:w="2211" w:type="pct"/>
            <w:tcBorders>
              <w:top w:val="single" w:color="auto" w:sz="12" w:space="0"/>
              <w:bottom w:val="double" w:color="auto" w:sz="4" w:space="0"/>
            </w:tcBorders>
            <w:vAlign w:val="center"/>
          </w:tcPr>
          <w:p w14:paraId="5A2D15CA">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项目名称</w:t>
            </w:r>
          </w:p>
        </w:tc>
        <w:tc>
          <w:tcPr>
            <w:tcW w:w="1268" w:type="pct"/>
            <w:tcBorders>
              <w:top w:val="single" w:color="auto" w:sz="12" w:space="0"/>
              <w:bottom w:val="double" w:color="auto" w:sz="4" w:space="0"/>
              <w:right w:val="single" w:color="auto" w:sz="4" w:space="0"/>
            </w:tcBorders>
            <w:vAlign w:val="center"/>
          </w:tcPr>
          <w:p w14:paraId="0A4CD430">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项目报价（元）</w:t>
            </w:r>
          </w:p>
        </w:tc>
        <w:tc>
          <w:tcPr>
            <w:tcW w:w="1195" w:type="pct"/>
            <w:tcBorders>
              <w:top w:val="single" w:color="auto" w:sz="12" w:space="0"/>
              <w:left w:val="single" w:color="auto" w:sz="4" w:space="0"/>
              <w:bottom w:val="double" w:color="auto" w:sz="4" w:space="0"/>
              <w:right w:val="single" w:color="auto" w:sz="12" w:space="0"/>
            </w:tcBorders>
            <w:vAlign w:val="center"/>
          </w:tcPr>
          <w:p w14:paraId="4DFA4F38">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维保类型</w:t>
            </w:r>
          </w:p>
        </w:tc>
      </w:tr>
      <w:tr w14:paraId="0DBE5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05" w:hRule="exact"/>
        </w:trPr>
        <w:tc>
          <w:tcPr>
            <w:tcW w:w="324" w:type="pct"/>
            <w:tcBorders>
              <w:top w:val="double" w:color="auto" w:sz="4" w:space="0"/>
              <w:left w:val="single" w:color="auto" w:sz="12" w:space="0"/>
              <w:bottom w:val="double" w:color="auto" w:sz="4" w:space="0"/>
            </w:tcBorders>
            <w:vAlign w:val="center"/>
          </w:tcPr>
          <w:p w14:paraId="6CFE9E85">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1</w:t>
            </w:r>
          </w:p>
        </w:tc>
        <w:tc>
          <w:tcPr>
            <w:tcW w:w="2211" w:type="pct"/>
            <w:tcBorders>
              <w:top w:val="double" w:color="auto" w:sz="4" w:space="0"/>
              <w:bottom w:val="double" w:color="auto" w:sz="4" w:space="0"/>
            </w:tcBorders>
            <w:vAlign w:val="center"/>
          </w:tcPr>
          <w:p w14:paraId="3520924B">
            <w:pPr>
              <w:tabs>
                <w:tab w:val="left" w:pos="7020"/>
              </w:tabs>
              <w:jc w:val="center"/>
              <w:rPr>
                <w:rFonts w:hint="eastAsia" w:ascii="黑体" w:hAnsi="黑体" w:eastAsia="黑体" w:cs="Times New Roman"/>
                <w:b/>
                <w:color w:val="auto"/>
                <w:sz w:val="24"/>
                <w:highlight w:val="none"/>
                <w:lang w:eastAsia="zh-CN"/>
              </w:rPr>
            </w:pPr>
            <w:r>
              <w:rPr>
                <w:rFonts w:hint="eastAsia" w:ascii="黑体" w:hAnsi="黑体" w:eastAsia="黑体"/>
                <w:b/>
                <w:color w:val="auto"/>
                <w:sz w:val="24"/>
                <w:highlight w:val="none"/>
                <w:lang w:eastAsia="zh-CN"/>
              </w:rPr>
              <w:t>2025年上海海事大学消防维保服务</w:t>
            </w:r>
          </w:p>
        </w:tc>
        <w:tc>
          <w:tcPr>
            <w:tcW w:w="1268" w:type="pct"/>
            <w:tcBorders>
              <w:top w:val="double" w:color="auto" w:sz="4" w:space="0"/>
              <w:bottom w:val="double" w:color="auto" w:sz="4" w:space="0"/>
              <w:right w:val="single" w:color="auto" w:sz="4" w:space="0"/>
            </w:tcBorders>
            <w:vAlign w:val="center"/>
          </w:tcPr>
          <w:p w14:paraId="2F0027D7">
            <w:pPr>
              <w:tabs>
                <w:tab w:val="left" w:pos="7020"/>
              </w:tabs>
              <w:jc w:val="center"/>
              <w:rPr>
                <w:rFonts w:ascii="黑体" w:hAnsi="黑体" w:eastAsia="黑体" w:cs="Times New Roman"/>
                <w:b/>
                <w:color w:val="auto"/>
                <w:sz w:val="24"/>
                <w:highlight w:val="none"/>
              </w:rPr>
            </w:pPr>
          </w:p>
        </w:tc>
        <w:tc>
          <w:tcPr>
            <w:tcW w:w="1195" w:type="pct"/>
            <w:tcBorders>
              <w:top w:val="double" w:color="auto" w:sz="4" w:space="0"/>
              <w:left w:val="single" w:color="auto" w:sz="4" w:space="0"/>
              <w:bottom w:val="double" w:color="auto" w:sz="4" w:space="0"/>
              <w:right w:val="single" w:color="auto" w:sz="12" w:space="0"/>
            </w:tcBorders>
            <w:vAlign w:val="center"/>
          </w:tcPr>
          <w:p w14:paraId="1F766DE4">
            <w:pPr>
              <w:tabs>
                <w:tab w:val="left" w:pos="7020"/>
              </w:tabs>
              <w:spacing w:line="360" w:lineRule="auto"/>
              <w:jc w:val="center"/>
              <w:rPr>
                <w:color w:val="auto"/>
                <w:highlight w:val="none"/>
              </w:rPr>
            </w:pPr>
            <w:r>
              <w:rPr>
                <w:rFonts w:hint="eastAsia" w:ascii="方正兰亭黑简体" w:hAnsi="方正兰亭黑简体" w:eastAsia="方正兰亭黑简体" w:cs="方正兰亭黑简体"/>
                <w:b w:val="0"/>
                <w:bCs w:val="0"/>
                <w:color w:val="auto"/>
                <w:sz w:val="22"/>
                <w:szCs w:val="22"/>
                <w:highlight w:val="none"/>
              </w:rPr>
              <w:t>清包制</w:t>
            </w:r>
          </w:p>
        </w:tc>
      </w:tr>
      <w:tr w14:paraId="5FBF6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exact"/>
        </w:trPr>
        <w:tc>
          <w:tcPr>
            <w:tcW w:w="2535" w:type="pct"/>
            <w:gridSpan w:val="2"/>
            <w:tcBorders>
              <w:top w:val="double" w:color="auto" w:sz="4" w:space="0"/>
              <w:left w:val="single" w:color="auto" w:sz="12" w:space="0"/>
              <w:bottom w:val="single" w:color="auto" w:sz="12" w:space="0"/>
              <w:right w:val="single" w:color="auto" w:sz="4" w:space="0"/>
            </w:tcBorders>
            <w:vAlign w:val="center"/>
          </w:tcPr>
          <w:p w14:paraId="3A9EB430">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合计金额（人民币）</w:t>
            </w:r>
          </w:p>
        </w:tc>
        <w:tc>
          <w:tcPr>
            <w:tcW w:w="2464" w:type="pct"/>
            <w:gridSpan w:val="2"/>
            <w:tcBorders>
              <w:top w:val="double" w:color="auto" w:sz="4" w:space="0"/>
              <w:left w:val="single" w:color="auto" w:sz="4" w:space="0"/>
              <w:bottom w:val="single" w:color="auto" w:sz="12" w:space="0"/>
              <w:right w:val="single" w:color="auto" w:sz="12" w:space="0"/>
            </w:tcBorders>
            <w:vAlign w:val="center"/>
          </w:tcPr>
          <w:p w14:paraId="1B473FD4">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           （大写）：</w:t>
            </w:r>
          </w:p>
        </w:tc>
      </w:tr>
    </w:tbl>
    <w:p w14:paraId="02D060A1">
      <w:pPr>
        <w:spacing w:line="440" w:lineRule="exact"/>
        <w:rPr>
          <w:rFonts w:ascii="黑体" w:hAnsi="华文楷体" w:eastAsia="黑体"/>
          <w:color w:val="auto"/>
          <w:sz w:val="24"/>
          <w:highlight w:val="none"/>
        </w:rPr>
      </w:pPr>
    </w:p>
    <w:p w14:paraId="4CC64EFD">
      <w:pPr>
        <w:spacing w:line="440" w:lineRule="exact"/>
        <w:rPr>
          <w:rFonts w:ascii="黑体" w:hAnsi="华文楷体" w:eastAsia="黑体"/>
          <w:color w:val="auto"/>
          <w:sz w:val="24"/>
          <w:highlight w:val="none"/>
        </w:rPr>
      </w:pPr>
      <w:r>
        <w:rPr>
          <w:rFonts w:hint="eastAsia" w:ascii="黑体" w:hAnsi="华文楷体" w:eastAsia="黑体"/>
          <w:color w:val="auto"/>
          <w:sz w:val="24"/>
          <w:highlight w:val="none"/>
        </w:rPr>
        <w:t>公司名称（盖章）：           委托代理人（签字）：        报价日期：      年    月   日</w:t>
      </w:r>
    </w:p>
    <w:p w14:paraId="24147562">
      <w:pPr>
        <w:spacing w:line="440" w:lineRule="exact"/>
        <w:rPr>
          <w:rFonts w:ascii="黑体" w:hAnsi="华文楷体" w:eastAsia="黑体"/>
          <w:color w:val="auto"/>
          <w:sz w:val="24"/>
          <w:highlight w:val="none"/>
        </w:rPr>
      </w:pPr>
    </w:p>
    <w:p w14:paraId="028FECD5">
      <w:pPr>
        <w:rPr>
          <w:rFonts w:ascii="黑体" w:hAnsi="华文楷体" w:eastAsia="黑体"/>
          <w:color w:val="auto"/>
          <w:szCs w:val="21"/>
          <w:highlight w:val="none"/>
        </w:rPr>
      </w:pPr>
      <w:r>
        <w:rPr>
          <w:rFonts w:hint="eastAsia" w:ascii="黑体" w:hAnsi="华文楷体" w:eastAsia="黑体"/>
          <w:color w:val="auto"/>
          <w:szCs w:val="21"/>
          <w:highlight w:val="none"/>
        </w:rPr>
        <w:t>报价说明：1、报价公司提供的上述产品，应完全满足或者优于我校提出的需求。</w:t>
      </w:r>
    </w:p>
    <w:p w14:paraId="30B5C02F">
      <w:pPr>
        <w:rPr>
          <w:rFonts w:ascii="黑体" w:hAnsi="华文楷体" w:eastAsia="黑体"/>
          <w:color w:val="auto"/>
          <w:szCs w:val="21"/>
          <w:highlight w:val="none"/>
        </w:rPr>
      </w:pPr>
      <w:r>
        <w:rPr>
          <w:rFonts w:hint="eastAsia" w:ascii="黑体" w:hAnsi="华文楷体" w:eastAsia="黑体"/>
          <w:color w:val="auto"/>
          <w:szCs w:val="21"/>
          <w:highlight w:val="none"/>
        </w:rPr>
        <w:t xml:space="preserve">          2、如属非标配产品，其技术指标（特别是优于我校需求的部分）请另行附页说明。</w:t>
      </w:r>
    </w:p>
    <w:p w14:paraId="00FDF114">
      <w:pPr>
        <w:rPr>
          <w:rFonts w:ascii="黑体" w:hAnsi="华文楷体" w:eastAsia="黑体"/>
          <w:color w:val="auto"/>
          <w:szCs w:val="21"/>
          <w:highlight w:val="none"/>
        </w:rPr>
      </w:pPr>
      <w:r>
        <w:rPr>
          <w:rFonts w:hint="eastAsia" w:ascii="黑体" w:hAnsi="华文楷体" w:eastAsia="黑体"/>
          <w:color w:val="auto"/>
          <w:szCs w:val="21"/>
          <w:highlight w:val="none"/>
        </w:rPr>
        <w:t xml:space="preserve">          3、特殊的售后服务措施、代理证明情况等需要说明的，请另行附页说明。</w:t>
      </w:r>
    </w:p>
    <w:p w14:paraId="1B35E294">
      <w:pPr>
        <w:rPr>
          <w:rFonts w:ascii="黑体" w:hAnsi="华文楷体" w:eastAsia="黑体"/>
          <w:color w:val="auto"/>
          <w:szCs w:val="21"/>
          <w:highlight w:val="none"/>
        </w:rPr>
      </w:pPr>
      <w:r>
        <w:rPr>
          <w:rFonts w:hint="eastAsia" w:ascii="黑体" w:hAnsi="华文楷体" w:eastAsia="黑体"/>
          <w:color w:val="auto"/>
          <w:szCs w:val="21"/>
          <w:highlight w:val="none"/>
        </w:rPr>
        <w:t xml:space="preserve">          4、报价单附页（如有）共</w:t>
      </w:r>
      <w:r>
        <w:rPr>
          <w:rFonts w:hint="eastAsia" w:ascii="黑体" w:hAnsi="华文楷体" w:eastAsia="黑体"/>
          <w:color w:val="auto"/>
          <w:szCs w:val="21"/>
          <w:highlight w:val="none"/>
          <w:u w:val="single"/>
        </w:rPr>
        <w:t xml:space="preserve">      </w:t>
      </w:r>
      <w:r>
        <w:rPr>
          <w:rFonts w:hint="eastAsia" w:ascii="黑体" w:hAnsi="华文楷体" w:eastAsia="黑体"/>
          <w:color w:val="auto"/>
          <w:szCs w:val="21"/>
          <w:highlight w:val="none"/>
        </w:rPr>
        <w:t>页。</w:t>
      </w:r>
    </w:p>
    <w:p w14:paraId="3A0E5F6F">
      <w:pPr>
        <w:rPr>
          <w:rFonts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rPr>
        <w:br w:type="page"/>
      </w:r>
    </w:p>
    <w:p w14:paraId="3B2C1318">
      <w:pPr>
        <w:numPr>
          <w:ilvl w:val="0"/>
          <w:numId w:val="0"/>
        </w:numPr>
        <w:snapToGrid/>
        <w:spacing w:before="100" w:beforeAutospacing="0" w:after="100" w:afterAutospacing="0" w:line="240" w:lineRule="auto"/>
        <w:ind w:left="0" w:leftChars="0" w:right="0" w:rightChars="0" w:firstLine="0" w:firstLineChars="0"/>
        <w:jc w:val="both"/>
        <w:outlineLvl w:val="0"/>
        <w:rPr>
          <w:rFonts w:hint="eastAsia" w:ascii="Times New Roman" w:hAnsi="Times New Roman" w:eastAsia="方正兰亭黑简体" w:cs="Times New Roman"/>
          <w:b/>
          <w:bCs/>
          <w:color w:val="auto"/>
          <w:sz w:val="22"/>
          <w:szCs w:val="22"/>
          <w:highlight w:val="none"/>
          <w:lang w:val="en-US" w:eastAsia="zh-CN"/>
        </w:rPr>
        <w:sectPr>
          <w:pgSz w:w="11906" w:h="16838"/>
          <w:pgMar w:top="1440" w:right="1083" w:bottom="1440" w:left="1083" w:header="851" w:footer="992" w:gutter="0"/>
          <w:cols w:space="0" w:num="1"/>
          <w:docGrid w:type="lines" w:linePitch="314" w:charSpace="0"/>
        </w:sectPr>
      </w:pPr>
    </w:p>
    <w:p w14:paraId="28A97B7A">
      <w:pPr>
        <w:numPr>
          <w:ilvl w:val="0"/>
          <w:numId w:val="0"/>
        </w:numPr>
        <w:snapToGrid/>
        <w:spacing w:before="100" w:beforeAutospacing="0" w:after="100" w:afterAutospacing="0" w:line="240" w:lineRule="auto"/>
        <w:ind w:left="0" w:leftChars="0" w:right="0" w:rightChars="0" w:firstLine="0" w:firstLineChars="0"/>
        <w:jc w:val="both"/>
        <w:outlineLvl w:val="0"/>
        <w:rPr>
          <w:rFonts w:hint="default" w:ascii="Times New Roman" w:hAnsi="Times New Roman" w:eastAsia="方正兰亭黑简体" w:cs="Times New Roman"/>
          <w:b/>
          <w:bCs/>
          <w:color w:val="auto"/>
          <w:sz w:val="22"/>
          <w:szCs w:val="22"/>
          <w:highlight w:val="none"/>
          <w:lang w:val="en-US" w:eastAsia="zh-CN"/>
        </w:rPr>
      </w:pPr>
      <w:r>
        <w:rPr>
          <w:rFonts w:hint="eastAsia" w:ascii="Times New Roman" w:hAnsi="Times New Roman" w:eastAsia="方正兰亭黑简体" w:cs="Times New Roman"/>
          <w:b/>
          <w:bCs/>
          <w:color w:val="auto"/>
          <w:sz w:val="22"/>
          <w:szCs w:val="22"/>
          <w:highlight w:val="none"/>
          <w:lang w:val="en-US" w:eastAsia="zh-CN"/>
        </w:rPr>
        <w:t>表2：</w:t>
      </w:r>
      <w:r>
        <w:rPr>
          <w:rFonts w:hint="default" w:ascii="Times New Roman" w:hAnsi="Times New Roman" w:eastAsia="方正兰亭黑简体" w:cs="Times New Roman"/>
          <w:b/>
          <w:bCs/>
          <w:color w:val="auto"/>
          <w:sz w:val="22"/>
          <w:szCs w:val="22"/>
          <w:highlight w:val="none"/>
          <w:lang w:val="en-US" w:eastAsia="zh-CN"/>
        </w:rPr>
        <w:t>消防维修配件报价清单</w:t>
      </w:r>
      <w:r>
        <w:rPr>
          <w:rFonts w:hint="eastAsia" w:ascii="Times New Roman" w:hAnsi="Times New Roman" w:eastAsia="方正兰亭黑简体" w:cs="Times New Roman"/>
          <w:b/>
          <w:bCs/>
          <w:color w:val="auto"/>
          <w:sz w:val="22"/>
          <w:szCs w:val="22"/>
          <w:highlight w:val="none"/>
          <w:lang w:val="en-US" w:eastAsia="zh-CN"/>
        </w:rPr>
        <w:t>（本清单不计入价格得分，包含但不限于下列内容）</w:t>
      </w:r>
    </w:p>
    <w:tbl>
      <w:tblPr>
        <w:tblStyle w:val="14"/>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2416"/>
        <w:gridCol w:w="2839"/>
        <w:gridCol w:w="657"/>
        <w:gridCol w:w="657"/>
        <w:gridCol w:w="2616"/>
        <w:gridCol w:w="2073"/>
        <w:gridCol w:w="2040"/>
      </w:tblGrid>
      <w:tr w14:paraId="14715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8C9E">
            <w:pPr>
              <w:widowControl/>
              <w:spacing w:line="360" w:lineRule="auto"/>
              <w:jc w:val="center"/>
              <w:textAlignment w:val="center"/>
              <w:rPr>
                <w:rFonts w:hint="default" w:ascii="Times New Roman" w:hAnsi="Times New Roman" w:eastAsia="方正兰亭黑简体" w:cs="Times New Roman"/>
                <w:b/>
                <w:bCs/>
                <w:color w:val="auto"/>
                <w:sz w:val="22"/>
                <w:szCs w:val="22"/>
                <w:highlight w:val="none"/>
              </w:rPr>
            </w:pPr>
            <w:r>
              <w:rPr>
                <w:rFonts w:hint="default" w:ascii="Times New Roman" w:hAnsi="Times New Roman" w:eastAsia="方正兰亭黑简体" w:cs="Times New Roman"/>
                <w:b/>
                <w:bCs/>
                <w:color w:val="auto"/>
                <w:sz w:val="22"/>
                <w:szCs w:val="22"/>
                <w:highlight w:val="none"/>
                <w:lang w:val="en-US" w:eastAsia="zh-CN"/>
              </w:rPr>
              <w:t>序号</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5AF7">
            <w:pPr>
              <w:widowControl/>
              <w:spacing w:line="360" w:lineRule="auto"/>
              <w:jc w:val="center"/>
              <w:textAlignment w:val="center"/>
              <w:rPr>
                <w:rFonts w:hint="default" w:ascii="Times New Roman" w:hAnsi="Times New Roman" w:eastAsia="方正兰亭黑简体" w:cs="Times New Roman"/>
                <w:b/>
                <w:bCs/>
                <w:color w:val="auto"/>
                <w:sz w:val="22"/>
                <w:szCs w:val="22"/>
                <w:highlight w:val="none"/>
              </w:rPr>
            </w:pPr>
            <w:r>
              <w:rPr>
                <w:rFonts w:hint="default" w:ascii="Times New Roman" w:hAnsi="Times New Roman" w:eastAsia="方正兰亭黑简体" w:cs="Times New Roman"/>
                <w:b/>
                <w:bCs/>
                <w:color w:val="auto"/>
                <w:sz w:val="22"/>
                <w:szCs w:val="22"/>
                <w:highlight w:val="none"/>
                <w:lang w:val="en-US" w:eastAsia="zh-CN"/>
              </w:rPr>
              <w:t>设备名称</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011D">
            <w:pPr>
              <w:widowControl/>
              <w:spacing w:line="360" w:lineRule="auto"/>
              <w:jc w:val="center"/>
              <w:textAlignment w:val="center"/>
              <w:rPr>
                <w:rFonts w:hint="default" w:ascii="Times New Roman" w:hAnsi="Times New Roman" w:eastAsia="方正兰亭黑简体" w:cs="Times New Roman"/>
                <w:b/>
                <w:bCs/>
                <w:color w:val="auto"/>
                <w:sz w:val="22"/>
                <w:szCs w:val="22"/>
                <w:highlight w:val="none"/>
              </w:rPr>
            </w:pPr>
            <w:r>
              <w:rPr>
                <w:rFonts w:hint="default" w:ascii="Times New Roman" w:hAnsi="Times New Roman" w:eastAsia="方正兰亭黑简体" w:cs="Times New Roman"/>
                <w:b/>
                <w:bCs/>
                <w:color w:val="auto"/>
                <w:sz w:val="22"/>
                <w:szCs w:val="22"/>
                <w:highlight w:val="none"/>
                <w:lang w:val="en-US" w:eastAsia="zh-CN"/>
              </w:rPr>
              <w:t>规格型号</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1A6B">
            <w:pPr>
              <w:widowControl/>
              <w:spacing w:line="360" w:lineRule="auto"/>
              <w:jc w:val="center"/>
              <w:textAlignment w:val="center"/>
              <w:rPr>
                <w:rFonts w:hint="default" w:ascii="Times New Roman" w:hAnsi="Times New Roman" w:eastAsia="方正兰亭黑简体" w:cs="Times New Roman"/>
                <w:b/>
                <w:bCs/>
                <w:color w:val="auto"/>
                <w:sz w:val="22"/>
                <w:szCs w:val="22"/>
                <w:highlight w:val="none"/>
              </w:rPr>
            </w:pPr>
            <w:r>
              <w:rPr>
                <w:rFonts w:hint="default" w:ascii="Times New Roman" w:hAnsi="Times New Roman" w:eastAsia="方正兰亭黑简体" w:cs="Times New Roman"/>
                <w:b/>
                <w:bCs/>
                <w:color w:val="auto"/>
                <w:sz w:val="22"/>
                <w:szCs w:val="22"/>
                <w:highlight w:val="none"/>
                <w:lang w:val="en-US" w:eastAsia="zh-CN"/>
              </w:rPr>
              <w:t>数量</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740B">
            <w:pPr>
              <w:widowControl/>
              <w:spacing w:line="360" w:lineRule="auto"/>
              <w:jc w:val="center"/>
              <w:textAlignment w:val="center"/>
              <w:rPr>
                <w:rFonts w:hint="default" w:ascii="Times New Roman" w:hAnsi="Times New Roman" w:eastAsia="方正兰亭黑简体" w:cs="Times New Roman"/>
                <w:b/>
                <w:bCs/>
                <w:color w:val="auto"/>
                <w:sz w:val="22"/>
                <w:szCs w:val="22"/>
                <w:highlight w:val="none"/>
              </w:rPr>
            </w:pPr>
            <w:r>
              <w:rPr>
                <w:rFonts w:hint="default" w:ascii="Times New Roman" w:hAnsi="Times New Roman" w:eastAsia="方正兰亭黑简体" w:cs="Times New Roman"/>
                <w:b/>
                <w:bCs/>
                <w:color w:val="auto"/>
                <w:sz w:val="22"/>
                <w:szCs w:val="22"/>
                <w:highlight w:val="none"/>
                <w:lang w:val="en-US" w:eastAsia="zh-CN"/>
              </w:rPr>
              <w:t>单位</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46F9">
            <w:pPr>
              <w:widowControl/>
              <w:spacing w:line="360" w:lineRule="auto"/>
              <w:jc w:val="center"/>
              <w:textAlignment w:val="center"/>
              <w:rPr>
                <w:rFonts w:hint="default" w:ascii="Times New Roman" w:hAnsi="Times New Roman" w:eastAsia="方正兰亭黑简体" w:cs="Times New Roman"/>
                <w:b/>
                <w:bCs/>
                <w:color w:val="auto"/>
                <w:sz w:val="22"/>
                <w:szCs w:val="22"/>
                <w:highlight w:val="none"/>
                <w:lang w:val="en-US"/>
              </w:rPr>
            </w:pPr>
            <w:r>
              <w:rPr>
                <w:rFonts w:hint="eastAsia" w:ascii="Times New Roman" w:hAnsi="Times New Roman" w:eastAsia="方正兰亭黑简体" w:cs="Times New Roman"/>
                <w:b/>
                <w:bCs/>
                <w:color w:val="auto"/>
                <w:sz w:val="22"/>
                <w:szCs w:val="22"/>
                <w:highlight w:val="none"/>
                <w:lang w:val="en-US" w:eastAsia="zh-CN"/>
              </w:rPr>
              <w:t>参考品牌</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9E68">
            <w:pPr>
              <w:widowControl/>
              <w:spacing w:line="360" w:lineRule="auto"/>
              <w:jc w:val="center"/>
              <w:textAlignment w:val="center"/>
              <w:rPr>
                <w:rFonts w:hint="default" w:ascii="Times New Roman" w:hAnsi="Times New Roman" w:eastAsia="方正兰亭黑简体" w:cs="Times New Roman"/>
                <w:b/>
                <w:bCs/>
                <w:color w:val="auto"/>
                <w:sz w:val="22"/>
                <w:szCs w:val="22"/>
                <w:highlight w:val="none"/>
                <w:lang w:val="en-US" w:eastAsia="zh-CN"/>
              </w:rPr>
            </w:pPr>
            <w:r>
              <w:rPr>
                <w:rFonts w:hint="eastAsia" w:ascii="Times New Roman" w:hAnsi="Times New Roman" w:eastAsia="方正兰亭黑简体" w:cs="Times New Roman"/>
                <w:b/>
                <w:bCs/>
                <w:color w:val="auto"/>
                <w:sz w:val="22"/>
                <w:szCs w:val="22"/>
                <w:highlight w:val="none"/>
                <w:lang w:val="en-US" w:eastAsia="zh-CN"/>
              </w:rPr>
              <w:t>报价品牌</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5A84">
            <w:pPr>
              <w:widowControl/>
              <w:spacing w:line="360" w:lineRule="auto"/>
              <w:jc w:val="center"/>
              <w:textAlignment w:val="center"/>
              <w:rPr>
                <w:rFonts w:hint="default" w:ascii="Times New Roman" w:hAnsi="Times New Roman" w:eastAsia="方正兰亭黑简体" w:cs="Times New Roman"/>
                <w:b/>
                <w:bCs/>
                <w:color w:val="auto"/>
                <w:sz w:val="22"/>
                <w:szCs w:val="22"/>
                <w:highlight w:val="none"/>
                <w:lang w:val="en-US" w:eastAsia="zh-CN"/>
              </w:rPr>
            </w:pPr>
            <w:r>
              <w:rPr>
                <w:rFonts w:hint="eastAsia" w:ascii="Times New Roman" w:hAnsi="Times New Roman" w:eastAsia="方正兰亭黑简体" w:cs="Times New Roman"/>
                <w:b/>
                <w:bCs/>
                <w:color w:val="auto"/>
                <w:sz w:val="22"/>
                <w:szCs w:val="22"/>
                <w:highlight w:val="none"/>
                <w:lang w:val="en-US" w:eastAsia="zh-CN"/>
              </w:rPr>
              <w:t>报价（元）</w:t>
            </w:r>
          </w:p>
        </w:tc>
      </w:tr>
      <w:tr w14:paraId="54468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1CD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FCD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喷淋主泵</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68A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FBD5.5/30G-1SG</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9D3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691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035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莲盛、凯泉、人民</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6AB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054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3391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5E4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678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喷淋稳压泵</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459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FBD6.0/11G-1SG</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C02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734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3B2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莲盛、凯泉、人民</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E36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0A3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C54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515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0F6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喷淋控制柜</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3E4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一控二</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EE1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D44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C39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莲盛、凯泉、人民</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C80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BD3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4B62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CA2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25D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喷淋稳压控制柜</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61C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一控二</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22C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697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5C3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莲盛、凯泉、人民</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C46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E7C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C76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9F7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B2D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消防主泵</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5B3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XBD5.5/30G-1SG</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31C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883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EF9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莲盛、凯泉、人民</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9A3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0E1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FA4E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7F5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5D4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消防稳压泵</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25C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XBD6.0/11G-1SG</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78F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7F1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145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莲盛、凯泉、人民</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6E9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A14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8E40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44D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9A5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消防控制柜</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233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一控二</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46B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93E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2A6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莲盛、凯泉、人民</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3E1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D60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D070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7C5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96B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消防稳压泵控制柜</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A7E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一控二</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94E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F3D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462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莲盛、凯泉、人民</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213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5F0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F4B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252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C07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消防巡检柜</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637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LSKB-XJ-22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E69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156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772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莲盛、凯泉、人民</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CCA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754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FC7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162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D9B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应急机械强启柜</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444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JZYJ-100A</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163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33A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E99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莲盛、凯泉、人民</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A3E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91B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8C4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8E8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686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气压罐</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260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V-50L</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593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B8E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763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莲盛、凯泉、人民</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63F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B2B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C4A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A29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3A9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气压罐</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6A3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V-150L</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DB0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786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6AB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莲盛、凯泉、人民</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EBA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542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04A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BF5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485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湿式报警阀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7B4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7EA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1D9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635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金盾、水力、闵泰</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322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C38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4641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965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BC3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湿式报警阀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3B3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821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4CC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8D0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96C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7A5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FF55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74C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8EF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信号阀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647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A4E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EA5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F7D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0E1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01C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0E65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76F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DF3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信号阀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EF4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469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9DA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E5E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86B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469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EA3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4FB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AD1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信号阀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242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DN80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C60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0A4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DB2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2A5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1CA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85CB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35C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76B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信号阀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FC5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DN65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5AF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0F3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675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FF2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E77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2FF2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B93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409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水流指示器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AE0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CD4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BF4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17A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861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263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2B41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E05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2DA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水流指示器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395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08D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E11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1A1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87E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1B8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CA99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F76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91C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水流指示器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97A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DN80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A06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A7B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ACD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C21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B4C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7AC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87A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D3C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水流指示器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5F9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DN65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939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1A6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066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427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D60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ABD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E6E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177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过滤阀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6F6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DN200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C22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875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8BA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F90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4D7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E70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6D1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4DF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过滤阀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3EE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F60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85C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24E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39E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E3E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1ED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6DF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A06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过滤阀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245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FA6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812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965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ABC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594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81F5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FC4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645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闸阀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B1C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DN200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130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29D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D94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300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846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D13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68F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E33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闸阀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2EB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4B0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174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513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233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C80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3E6C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7F6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AA2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闸阀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639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DCD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3B5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B61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B5F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15C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E5BD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B6C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44C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闸阀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AAB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DN80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B9B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946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D4B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874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324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CAA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497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30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D6B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闸阀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95F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DN65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AC1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CC0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D40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746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EB4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7B1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8EB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31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10C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闸阀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252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2CA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40D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27B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9B0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34C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571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1FF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32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14C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闸阀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030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DN40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449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8FC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B08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5CA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57E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8AB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7A9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33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445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止回阀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39E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8AA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D7E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2F5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29C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C93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D2A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19A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34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A84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止回阀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1A1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DD2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104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BAC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5EE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5A3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BBA7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49D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35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BCE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止回阀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0EB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DN80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3B0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344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A70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A48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932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8F8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023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36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9C8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止回阀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57C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DN65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712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90A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B3F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899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AFC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4A2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255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37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C1C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止回阀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EA9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B51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DF1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4D1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DC2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E20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922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223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38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0B1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止回阀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953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DN40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C77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71F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835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386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330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8D07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C66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39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F96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高压软接头</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511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BAD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A1E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EC9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松江、青浦、静冠</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423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F94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421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028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40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6DB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高压软接头</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DE3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9DF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76A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E38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松江、青浦、静冠</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960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817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393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850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41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310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高压软接头</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C71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DN80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C66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CD2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39B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松江、青浦、静冠</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B1E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7B5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8AA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A16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42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8A5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高压软接头</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189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DN65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F42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C55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AA3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松江、青浦、静冠</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327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B64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5560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8FB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43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3FA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高压软接头</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A7F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521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AAB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713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松江、青浦、静冠</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57A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080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214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EFA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44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898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高压软接头</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2BB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DN40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8CC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6CD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DA7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松江、青浦、静冠</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3C0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C9A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7D3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6C8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45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887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槽钢</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AA4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90A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9BD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70B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唐钢、马钢、宝得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207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5B5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4A2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862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46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ECA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槽钢</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77D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F28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086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337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唐钢、马钢、宝得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4B3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BCE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38F4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66B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47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840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槽钢</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510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F3C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28E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73F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唐钢、马钢、宝得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905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7EB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9971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493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48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F19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槽钢</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207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236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099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F93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唐钢、马钢、宝得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DD4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03F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2FE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A88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49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B43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槽钢</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995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B5C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4FE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597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唐钢、马钢、宝得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A31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444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352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087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50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C9E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槽钢</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873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D19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E89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C50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唐钢、马钢、宝得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E47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129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DBBD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BC0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51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A1E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槽钢</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2E4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241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466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17D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唐钢、马钢、宝得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137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A11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8D3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26C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52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0ED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角铁</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076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5*5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8F0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465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26C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唐钢、马钢、宝得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E75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EC5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07C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C12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53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9C0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角铁</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8BF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4*4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A1F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C34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70E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唐钢、马钢、宝得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B44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E07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F062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EC6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54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F50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角铁</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6FE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3*3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C36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A3E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66A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唐钢、马钢、宝得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F10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F89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E384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54B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55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E14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高压软盘</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0A8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DN25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2A4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197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CBD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易红、福兴、平安</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A22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44B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AAE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349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56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E2A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压力表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179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16kg</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C6F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341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F5F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国标/优质</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413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EE5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C23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50C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57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9B0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电接点压力表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0A5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FDF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7B3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73B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国标/优质</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CEB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0D4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BD0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CE5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58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98A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放气阀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673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DN25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2D1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E5E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0CA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C88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EC1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2F2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D48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59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AD8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铜球阀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766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DN25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75C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2E9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C1F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727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DE5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F5FE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600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60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FB3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 xml:space="preserve">电源线   </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C4B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C0A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AE8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DB3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起帆、圆通、祖杰</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8E1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F40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1016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E20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61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016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 xml:space="preserve">电源线   </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5F7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679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088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E11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起帆、圆通、祖杰</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793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F24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4A8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61B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62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9DA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 xml:space="preserve">电源线   </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79C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E17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845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581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起帆、圆通、祖杰</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F35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F92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D20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14F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63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4C2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 xml:space="preserve">电源线   </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A82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2E7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C68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18B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起帆、圆通、祖杰</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EDA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98A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6E2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058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64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73A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电缆线</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220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16*3+10*2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E1F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806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80D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起帆、圆通、祖杰</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6E6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F9F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2F3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B0D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65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170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电缆线</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D10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25*3+16*2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419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E00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10C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起帆、圆通、祖杰</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F0C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C05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09A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8FC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66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C7A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电缆线</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68B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35*3+25*2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5AD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D81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74B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起帆、圆通、祖杰</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36E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C4F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6BA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AFB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67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7D6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消火栓箱体</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27D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国标规格</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350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3F7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5C2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易红、上海东卫、上海之红</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FC4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48E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0AE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4A4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68</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232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消火栓箱体</w:t>
            </w:r>
          </w:p>
          <w:p w14:paraId="71BFD85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（不锈钢）</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C48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国标规格</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CD3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8EA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555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易红、上海东卫、</w:t>
            </w:r>
          </w:p>
          <w:p w14:paraId="2DDBB8B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上海之红</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771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151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B72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8AD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69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521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消火栓栓头</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A48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DN65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35A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C27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8F7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龙安、易红、闵泰</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091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F10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FA04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5E8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70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CCB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水带</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7F3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DN65（25m带接口）</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DBF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DD4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根</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ACB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鲸鱼、川消、中消</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D9E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198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7669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17C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71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5CB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球墨管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C22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DN200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367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522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79A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骏通、健牛、新兴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54D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AC3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8BAF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07B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72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68D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球墨管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788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850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9D8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696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骏通、健牛、新兴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B1B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296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C62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BE6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73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547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球墨管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9B7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3CC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1E7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925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骏通、健牛、新兴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15A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F01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0879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600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74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3F3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热镀锌钢管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72E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DN200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17E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A69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ED1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友发、金州、华岐</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226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3C9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97A9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22A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75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6CF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热镀锌钢管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B65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355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EE7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59C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友发、金州、华岐</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0D1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FF7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FC2F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26C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76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433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热镀锌钢管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0FE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D23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167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0E5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友发、金州、华岐</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F77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8BD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B8F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F1F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77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345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热镀锌钢管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6E3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DN80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802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605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B86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友发、金州、华岐</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94A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C8E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B41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40B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78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A57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热镀锌钢管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305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DN65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30F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B1C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1C5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友发、金州、华岐</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D71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C58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3FA9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463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79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D8A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热镀锌钢管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12F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4F6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53B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2A7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友发、金州、华岐</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D46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816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7B34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173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80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46C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热镀锌钢管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EFF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DN40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886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C44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57C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友发、金州、华岐</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730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9F3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C0BD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322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7F2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热镀锌钢管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1B8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6D5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729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691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友发、金州、华岐</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C25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B0B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192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839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82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42F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热镀锌钢管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7B3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DN25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764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BF9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ECD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友发、金州、华岐</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6E1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69D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217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FC4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83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DE8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沟槽弯头</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B0D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DN200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34B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A36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829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6F6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7D1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AE1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417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84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867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沟槽弯头</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5FC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007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A87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333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450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05A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26C4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EBB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85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AAB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沟槽弯头</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BAB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2C2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B47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3A7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9CE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F6C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7F8A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570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86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F11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沟槽弯头</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275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DN80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9DB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2A1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9CB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271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9B8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3794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C0E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87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887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沟槽钢卡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B14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DN200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2F4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5CC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562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A7D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518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65E5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C34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88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258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沟槽钢卡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81F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E95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F5A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ECA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362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956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7B2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8D3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89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478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沟槽钢卡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F1A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9EA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A15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ABB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21D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B35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F3D7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AC5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90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843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沟槽钢卡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03D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DN80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EB7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76F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B13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FBE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299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2D1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C26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91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8B2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沟槽正三通</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C04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DN200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E36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E4C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050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04F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D79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EFC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1A1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92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7B2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沟槽正三通</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29D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6FE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649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305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7EC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2C9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E3A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4AD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93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475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沟槽正三通</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771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9A6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21C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7D9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832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34E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A4F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DA2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94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86A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沟槽法兰</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AD0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DN200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A8E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358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片</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EFF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56C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870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CFE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434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95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F4A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沟槽法兰</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512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17B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184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片</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709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706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B4F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9CF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EC8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96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097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沟槽法兰</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97C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87C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DE2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片</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5A6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00B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FC5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2ACC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7EF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97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06A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沟槽法兰</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F40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DN80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D16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ADA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片</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F79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312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DCF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447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480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98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376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丝扣法兰</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947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DN65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59B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3AF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片</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DF1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AC1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9FA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C66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5B7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99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B74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丝扣法兰</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19A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CD4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3B3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片</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155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C97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B40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E85D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4EE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17D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丝扣法兰</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FBB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DN40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D71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739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片</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762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6D6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4C3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2916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E26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101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FEA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沟槽异径三通</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612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DN200*150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265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BFB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96A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3B3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EB6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EA6F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571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102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8D6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沟槽异径三通</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E9F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5E4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F5F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F08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7EC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EF3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CC24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2DA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103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05C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沟槽异径三通</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D3E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DN100*80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A0C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F3E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90C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676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4CB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253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40B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104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CAA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沟槽机械三通</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218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DN165*65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F6C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A44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3E5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3C7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85A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337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8D1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105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E7B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沟槽机械三通</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EE9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DN165*50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BB7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A1C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0C7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610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FA2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44AE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88B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106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35B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沟槽机械三通</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7DC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DN165*40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D5A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C0F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9ED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BA7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3DE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6FCA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A43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107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B37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沟槽机械三通</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581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DN165*32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C89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025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FE1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928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816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AD5B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1D8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108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91B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沟槽机械三通</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39A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DN165*25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33B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4AF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809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343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680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D69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18C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109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4C3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沟槽机械三通</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B8F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DN100*65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FC1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2D7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ADF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33A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80C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162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4BD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110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920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沟槽机械三通</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940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DN100*65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1A0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2CA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867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B11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847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0F0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6D7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111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18B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沟槽机械三通</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E6F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DN100*40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E60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583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217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258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FEC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1829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8A8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112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1CD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沟槽机械三通</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433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070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426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8FD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969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441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1D5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E1E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113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FBE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沟槽机械三通</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6DC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DN100*25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4F2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F2A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6CD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C60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5BC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CEE8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3CE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114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212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喷淋头</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430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AB0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5B7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5E8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科达、金盾、水力</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CCD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5F6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2DA8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47E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115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4BF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隐蔽式喷淋头</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A16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060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EE8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77A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科达、金盾、水力</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455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8F0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06A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6D9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116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052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沟槽异径大小头</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B0C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DN200*150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D13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C79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596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科达、金盾、水力</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53C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FF6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5D80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EDF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117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82E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沟槽异径大小头</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987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AFD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32B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410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科达、金盾、水力</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201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2EE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B36C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A00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118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A3B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沟槽异径大小头</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957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DN100*80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253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472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12B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科达、金盾、水力</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3BD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1D3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AF9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71C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119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4FF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沟槽异径大小头</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F38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DN100*25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613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855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F2E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科达、金盾、水力</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608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22F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F5A7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757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120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D02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火灾控制器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760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JB-9108G/252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24E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861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C54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101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1A5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3774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915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121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CBA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火灾控制器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D39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JB-9108G/504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8D5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F7B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F9D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933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06A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7F8A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69D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122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3FF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火灾控制器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891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JB-9108G/756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A27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727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C1D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9F4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ECE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41C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466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123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54A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火灾控制器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A37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JB-9108G/1008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A1A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BFF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605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EF9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3EC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E61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361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124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919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火灾控制器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356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JB-9108G/1260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CE6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2A0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11D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208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EC9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A50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7E2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125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A3D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火灾控制器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DC6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JB-9108G/1512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591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024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4D5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79D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3CF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E24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C6C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126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109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火灾控制器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4E9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JB-9108G/1764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8E6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791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7BA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F08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E15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D896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DCE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127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1A2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火灾控制器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079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JB-9108G/2016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5AD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8E0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0DE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1FD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2EB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DF3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969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128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293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火灾控制器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FF0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JB-9108G/2268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B3A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46A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5F6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A1A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04B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896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526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129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5DD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火灾控制器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3C3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JB-9108G/2520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0E4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DA8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6C4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EFF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A45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2DB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A19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130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9D9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火灾控制器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BFB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JB-9108G/2772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FCE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0B9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8CF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4EA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E7E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4368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0DF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131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BB4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火灾控制器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B98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JB-9108G/3024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073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027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39D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289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DA8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AF0B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68A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132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AB5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火灾控制器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0C4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JB-9108G/3276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456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C52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24D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EFD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8D8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81A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43D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133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19F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火灾控制器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C03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JB-9108G/3528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390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B87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201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B21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D51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DE02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3AB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134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4DF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火灾控制器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0E7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JB-9108G/3780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661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8EF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DA1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B48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C7E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012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D19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135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506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火灾控制器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8E8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JB-9108G/4032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625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912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F65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8B4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AE9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B284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75C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136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48B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消防电话</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17B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HJ-1756Z</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C4B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F8E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5F7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DFB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ADA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0758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073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137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4C8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消防应急广播</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D50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HJ-1757/SW300G</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6C1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701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4B6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845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F61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49B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A31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138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EDE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消防应急广播</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B84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HJ-1757/SW600G</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413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8A3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6D7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6B0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FC6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0CAF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8CB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139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268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话筒</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72B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CDM-509</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51E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E46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3AC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33A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A21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90D9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2CC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140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4EE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蓄电池</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884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12V24AH</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936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9AB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节</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905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2FF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C8F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2FA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268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141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432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烟感</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2A0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JTY-GD-3002D</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B64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F71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F77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E6B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2C1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11B1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507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142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4D3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温感</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1B1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JTW-BCD-3005B</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E13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1CD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74D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C6B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166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FAB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9BC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143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99D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9000型底座</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501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HJ-DZ9902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DD3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BE7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D37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22E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7A4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01D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7A9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144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657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手动报警按钮</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CF2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J-SAP-M-9201（带电话插孔）</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7E0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11C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637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01C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3FE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6BA7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7F5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145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B79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声光报警器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117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YA9204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013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597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F87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251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AAE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D07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687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146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B1F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控制模块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263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HJ-9501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E24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177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13A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FAA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411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23C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2A4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147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330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信号模块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73B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HJ-9502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282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4FD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927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900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391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515D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BFF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148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F8B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短路隔离器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C2B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HJ-9503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E5B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46C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9FF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59C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583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F8AA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38B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149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EFC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总线式电话分机</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143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HY5716B</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682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3D4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F7F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BB3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11D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FB82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EEF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150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EBE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喇叭</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472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YB-2608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366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2FC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158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07E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C79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CAC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BF2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151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F5D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端子箱</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3D4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HJ-1701/40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9E5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CFC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A56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7D2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ACD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85DF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D10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152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4E7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楼层显示盘</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F65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JB-YX-252A</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B77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CB3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3A5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679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90F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5CB7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5AA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153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9CA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消火栓按钮</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5DF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J-XAPD-9301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574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300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347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343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B99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F611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BBB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154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93B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回路板</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E46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单回路（主机配套）</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053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512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BE8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A8F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150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414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CD9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155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F4A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回路板</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A45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双回路（主机配套）</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DAB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7EE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825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A7A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9D2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26A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7EA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156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017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电源板</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D25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主机配套</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BB2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A26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45B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73F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123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375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7EA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157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7A9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多线板</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F32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主机配套</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8A7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6A0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FB1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CBD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EBE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1821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3DB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158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8A3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CPU主板</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CBD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主机配套</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3A7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896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895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松江、海湾、北大青鸟</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EC3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10E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5DC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4E6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159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7EC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联网通讯板</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3AB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报警主机专用</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C8F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B21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285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松江、海湾、利达</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5F2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90E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3B13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ABE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160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F5C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气体启停按钮</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651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气体控制系统配套</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219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91B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923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松江、海湾、北大青鸟</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A14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B3D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2EB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616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161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54F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放气指示灯</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39B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气体控制系统配套</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07A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AF7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D9E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松江、海湾、北大青鸟</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22C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FC9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FA5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70A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162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9AB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气体控制板</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F21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气体专用</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BD1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918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430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松江、海湾、北大青鸟</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32A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147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D8F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635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163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EBE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应急照明CPU主板</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FC2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原设备配套</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111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DBA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17C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松江、海湾、北大青鸟</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6CC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129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0CD5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BBF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164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42C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应急照明电源主板</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F79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原设备配套</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B00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E51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808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松江、海湾、北大青鸟</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F99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65D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76A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3D7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165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C7A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应急照明回路板</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06F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单回路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255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D04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C1D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松江、海湾、北大青鸟</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349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5C9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1657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FF8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166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D8C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应急照明蓄电池</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482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12V120Ah</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ABB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6B9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237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松江、海湾、北大青鸟</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19C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4A7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C12D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38E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167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37F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集中供电应急灯</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B60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原设备配套</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E67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783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2D5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松江、海湾、北大青鸟</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967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600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B40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B09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168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DF5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集中供电安全出口</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057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原设备配套</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ADB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261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631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松江、海湾、北大青鸟</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399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5E8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F29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730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169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8C5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集中供电出口指示</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AE7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原设备配套</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24C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B4F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88B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松江、海湾、北大青鸟</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4AD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EA4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CA77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F95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170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B9D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防火门监控门磁开关</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4D8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原设备配套</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8F2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AE2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5EF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松江、海湾、北大青鸟</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C55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796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5C1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178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171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C4B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电器火灾监控</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28D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630P</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F2E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316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279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松江、海湾、北大青鸟</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77E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893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495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743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172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5C9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电器火灾监控</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A42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800P</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404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B1B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CF3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松江、海湾、北大青鸟</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558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A19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1C3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EAE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173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806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电器火灾监控</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178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100P</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E18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C20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004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松江、海湾、北大青鸟</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AC8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A3E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92D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379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174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BA2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电器火灾监控</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559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250P</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299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67D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46B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松江、海湾、北大青鸟</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824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91C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860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4F4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175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734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电源监控模块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8C2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原设备配套</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A5B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FBB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2CB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松江、海湾、北大青鸟</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27E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0E4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C82E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509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176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F2D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镀锌电线管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39B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Ф20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D9C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843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24A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国标/优质</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AA1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2CA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409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7DE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177</w:t>
            </w:r>
          </w:p>
        </w:tc>
        <w:tc>
          <w:tcPr>
            <w:tcW w:w="24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54C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阻燃双绞线</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E45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099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251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D66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起帆、祖杰、圆通</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79D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317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9643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06A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178</w:t>
            </w: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71D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869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660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873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4B8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起帆、祖杰、圆通</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AA4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62F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7EE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31E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179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AC3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电缆</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F06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2.5㎡*4+1.5㎡*8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D84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B32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B09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起帆、祖杰、圆通</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D12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367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7D7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7EE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180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BC3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阻燃PVC管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C9C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Ф20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F7B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EC2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80C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中财、公元、深星</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FAC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545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1BC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DCD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B2A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疏散指示灯</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8B8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免费保修两年</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645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A8F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397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拿斯特、炽通、飞利浦</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332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951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B2E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19B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182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617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安全出口</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BEF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免费保修两年</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FE2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E46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C2C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拿斯特、炽通、飞利浦</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E99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C5A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370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717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183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D38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应急灯</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2CE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免费保修两年</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0DE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17E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01F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拿斯特、炽通、飞利浦</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9FA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F58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94F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9C7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184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79B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电源线</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FD4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1A3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AE8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B5C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起帆、圆通、祖杰</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57A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6B5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585A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5DA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185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703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断路器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A41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10A</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315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E2E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B89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人民、德力西、正泰</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316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2FE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B19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2E1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186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B8E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插座</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165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5眼</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DBD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F4F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131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西门子、松下、正泰</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F36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5F1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DFF2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8EB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187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147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防火桥架</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9F0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100*200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749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E21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261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国标/优质</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45A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F0C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771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DAC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188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2FB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防火桥架</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776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50*100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876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764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C3D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国标/优质</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DDD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63D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0F4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A03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189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A8D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电缆</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51D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4*2.5㎡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2E4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726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6D1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起帆、祖杰、圆通</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970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D20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91BD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34A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190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2B6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电缆</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ED0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6*2.5㎡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3D0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81E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AB5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起帆、祖杰、圆通</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5C7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068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5BD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4DB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191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329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电缆</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1C4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8*2.5㎡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304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0E2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D15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起帆、祖杰、圆通</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8B4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65E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929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0F7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192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48D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电缆</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17C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10*2.5㎡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268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2E2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628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起帆、祖杰、圆通</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BD8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C41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F6A4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269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193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0F1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电缆</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9EA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12*2.5㎡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C43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C6D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6F2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起帆、祖杰、圆通</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9DF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E8F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A434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316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194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AF9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电缆</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35D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16*2.5㎡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2AE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0FB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768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起帆、祖杰、圆通</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61E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5EE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03D7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DB7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195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FAD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电缆</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054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20*2.5㎡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99B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A52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E35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起帆、祖杰、圆通</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A92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AE1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04D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DB3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196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817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电缆</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601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30*2.5㎡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1BE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A27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46F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起帆、祖杰、圆通</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198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E12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F4A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214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197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9AD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微型单片式空开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661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16A1P</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76D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D7E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F98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人民、德力西、正泰</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DEF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40E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243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FC3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198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406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微型单片式空开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8AC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10A1P</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930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C07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BF6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人民、德力西、正泰</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FF3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A69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E411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9B5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199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CAE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电源空气开关（脱扣）</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87D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250A</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84B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16A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8E9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人民、德力西、正泰</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225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945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41C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A69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29E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电源空气开关（脱扣）</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F68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200A</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ACF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7AD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316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人民、德力西、正泰</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197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FB6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9719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AC9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201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F12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电源空气开关（脱扣）</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34E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160A（以下）</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FB4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600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E78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人民、德力西、正泰</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9B0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D0F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175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C4D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202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B69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钢质防火门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334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775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224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平方</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A64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国标/优质</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B9E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76D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5BC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5A0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203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6C9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金属铁盒</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A45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86型</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3F8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A2F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7D2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国标/优质</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0AF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B66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1FB9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950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204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11A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铝塑明盒</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171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86型</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BA3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51A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CAC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国标/优质</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FFB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4F3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C5E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956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205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BBA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防污隔断阀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229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DN200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6F6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C49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DE6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228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507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1A5B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33D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206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126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防污隔断阀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EED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4CB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BB9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A95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969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D3C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C486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9A6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207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717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防污隔断阀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B48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A4E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5C9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DF2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881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456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708B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51B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208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60F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抱箍三通</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45C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DN300*200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CDB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EBA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E0B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F72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88E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C98B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0F7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209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682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抱箍三通</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C68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DN250*150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6A5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D72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A1A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F5D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A76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70D3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670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210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FC9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抱箍三通</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2CF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DN200*100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A15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556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847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建支、莱德、迈克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DBC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FAF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E27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727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211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518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泄压阀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C36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DN200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A91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14B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986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6B2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FA3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2DA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EE7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212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C12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泄压阀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412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739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75F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698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126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915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21E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F11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213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72D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水枪</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9DD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DN65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45E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294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支</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F3E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明建、雨工、龙安</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0FC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DE3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C23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F52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214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B65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接口</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763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DN65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0AA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05C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D9E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明建、雨工、龙安</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E25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C2E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2DB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79A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215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5C6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闭门器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501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E3B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2DA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932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和皓、立方、消康</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240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91F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03E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1B3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216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B1C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门禁控制器（含电源）</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F82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和皓、立方、海康</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C50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128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7E5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和皓、立方、消康</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205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8B5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241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164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217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5A1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密码键盘</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1F5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刷卡密码合一</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FD6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275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F2A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和皓、立方、消康</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93F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4DC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716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A60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218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B15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破碎按钮</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E4B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09F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1E2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1B4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和皓、立方、消康</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121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CA5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BAA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6C8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219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D8A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出门开关</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ABA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门禁用</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5D8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A4C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078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和皓、立方、消康</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B91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D72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8AB5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1FF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220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1DB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变压器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C00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220V转24V</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F4B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569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C1E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人民、正泰、德力西</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AB6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AAF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2D0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158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221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B36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接触器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E7E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815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A7E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2A0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人民、正泰、德力西</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AA4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DC3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52DC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D93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222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097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继电器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2E4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B8F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42A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5C9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人民、正泰、德力西</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AB4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A40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76A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287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223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CBC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流量计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EB5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613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AC4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E7C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6A5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45F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C51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19B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224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4DE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水泵接合器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92E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195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45C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D2F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宏达、闵泰、管威</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F94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759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E6A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C8B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225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E94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水泵接合器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50B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195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017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38E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宏达、闵泰、管威</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092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E2E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9BD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5C7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226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D89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Y型过滤器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F9F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DN200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0F7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DCE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A19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871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9C2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350D1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9AD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227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642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Y型过滤器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4C1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962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0A6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E5A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C95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549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5525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C37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228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801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Y型过滤器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39E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ADE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29A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8CD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273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F7B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FF3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71A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229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E99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安全泄压阀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C88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DN200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541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3A0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733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D91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AA5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606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1D1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230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A31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安全泄压阀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EE2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C4B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23C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F86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ACE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886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9C73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D0F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231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C69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安全泄压阀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E87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2C8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904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771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DC3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20D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52DA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021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232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E37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室外消火栓</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932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D50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D17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9BE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6A0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F4C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63D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111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233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9B9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室外消火栓</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EDB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3FF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18C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1CE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5CC5">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1D9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A60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0E2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234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427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蝶阀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A93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0B0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98B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C41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937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23A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5AB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EFF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235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45A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蝶阀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862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63B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C17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687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C9F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6F6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00ED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EB8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236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A2F5">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蝶阀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491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DN80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609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2E5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B39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1F0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ADE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8907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D35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237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83B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蝶阀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DD2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DN65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C07C">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DCB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DF8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6D0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7A9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D1C3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46C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238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D9F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蝶阀</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118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999A">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F26D">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59E6">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港合、唐沽、正兴</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1F2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787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26EEB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647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239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1841">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橡塑管道保温棉</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6630">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BF94">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9E6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AF0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华美、格瑞、国美</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25C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18E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415CA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A17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240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B462">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橡塑管道保温棉</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D227">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3AF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DF1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40B3">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华美、格瑞、国美</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100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AB1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67D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015E">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241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17B8">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橡塑管道保温棉</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1E39">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DN80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9B0F">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DBF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1A5B">
            <w:pPr>
              <w:widowControl/>
              <w:spacing w:line="360" w:lineRule="auto"/>
              <w:jc w:val="center"/>
              <w:textAlignment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华美、格瑞、国美</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B72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E86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7A25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6E3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242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DA7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3kg干粉灭火器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7D8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3A</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96D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37C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具</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FFA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660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87A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5787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491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243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CD6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4kg干粉灭火器</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CCE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4A</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C4B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1330">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具</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A27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C84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79C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CD5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8F2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244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71B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消防水带（含接口）</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880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10-26-25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91E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32B2">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条</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0C3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CC6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DCD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18C5E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493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245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1F7E">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消防水枪</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B75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A29A">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2263">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212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BC3F">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F138">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r w14:paraId="638DF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63A4">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246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796C">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自卷盘（含支架、枪头）</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BA19">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19</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D806">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4807">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790B">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64C1">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A23D">
            <w:pPr>
              <w:widowControl/>
              <w:spacing w:line="360" w:lineRule="auto"/>
              <w:jc w:val="center"/>
              <w:textAlignment w:val="center"/>
              <w:rPr>
                <w:rFonts w:hint="default" w:ascii="Times New Roman" w:hAnsi="Times New Roman" w:eastAsia="方正兰亭黑简体" w:cs="Times New Roman"/>
                <w:color w:val="auto"/>
                <w:sz w:val="20"/>
                <w:szCs w:val="20"/>
                <w:highlight w:val="none"/>
                <w:lang w:val="en-US" w:eastAsia="zh-CN"/>
              </w:rPr>
            </w:pPr>
          </w:p>
        </w:tc>
      </w:tr>
    </w:tbl>
    <w:p w14:paraId="67DD7EA3">
      <w:pPr>
        <w:rPr>
          <w:rFonts w:hint="eastAsia" w:ascii="仿宋" w:hAnsi="仿宋" w:eastAsia="仿宋"/>
          <w:b/>
          <w:bCs/>
          <w:color w:val="auto"/>
          <w:kern w:val="0"/>
          <w:sz w:val="36"/>
          <w:szCs w:val="36"/>
          <w:highlight w:val="none"/>
        </w:rPr>
      </w:pPr>
    </w:p>
    <w:p w14:paraId="25D22F3A">
      <w:pPr>
        <w:rPr>
          <w:rFonts w:hint="eastAsia"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rPr>
        <w:br w:type="page"/>
      </w:r>
    </w:p>
    <w:p w14:paraId="5E521C6B">
      <w:pPr>
        <w:spacing w:afterLines="50"/>
        <w:jc w:val="center"/>
        <w:rPr>
          <w:rFonts w:hint="eastAsia" w:ascii="仿宋" w:hAnsi="仿宋" w:eastAsia="仿宋"/>
          <w:b/>
          <w:bCs/>
          <w:color w:val="auto"/>
          <w:kern w:val="0"/>
          <w:sz w:val="36"/>
          <w:szCs w:val="36"/>
          <w:highlight w:val="none"/>
        </w:rPr>
        <w:sectPr>
          <w:pgSz w:w="16838" w:h="11906" w:orient="landscape"/>
          <w:pgMar w:top="1083" w:right="1440" w:bottom="1083" w:left="1440" w:header="851" w:footer="992" w:gutter="0"/>
          <w:cols w:space="0" w:num="1"/>
          <w:rtlGutter w:val="0"/>
          <w:docGrid w:type="lines" w:linePitch="314" w:charSpace="0"/>
        </w:sectPr>
      </w:pPr>
    </w:p>
    <w:p w14:paraId="6474AA08">
      <w:pPr>
        <w:spacing w:afterLines="50"/>
        <w:jc w:val="center"/>
        <w:rPr>
          <w:rFonts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rPr>
        <w:t>报价承诺函</w:t>
      </w:r>
    </w:p>
    <w:p w14:paraId="36245839">
      <w:pPr>
        <w:spacing w:afterLines="50"/>
        <w:rPr>
          <w:rFonts w:ascii="仿宋" w:hAnsi="仿宋" w:eastAsia="仿宋" w:cs="宋体"/>
          <w:color w:val="auto"/>
          <w:sz w:val="24"/>
          <w:highlight w:val="none"/>
        </w:rPr>
      </w:pPr>
      <w:r>
        <w:rPr>
          <w:rFonts w:hint="eastAsia" w:ascii="仿宋" w:hAnsi="仿宋" w:eastAsia="仿宋" w:cs="宋体"/>
          <w:color w:val="auto"/>
          <w:sz w:val="24"/>
          <w:highlight w:val="none"/>
          <w:lang w:val="zh-CN"/>
        </w:rPr>
        <w:t>致：</w:t>
      </w:r>
      <w:r>
        <w:rPr>
          <w:rFonts w:hint="eastAsia" w:ascii="仿宋" w:hAnsi="仿宋" w:eastAsia="仿宋" w:cs="宋体"/>
          <w:color w:val="auto"/>
          <w:sz w:val="24"/>
          <w:highlight w:val="none"/>
        </w:rPr>
        <w:t>上海海事大学</w:t>
      </w:r>
    </w:p>
    <w:p w14:paraId="678F3330">
      <w:pPr>
        <w:spacing w:afterLines="50"/>
        <w:ind w:firstLine="480" w:firstLineChars="200"/>
        <w:rPr>
          <w:rFonts w:ascii="仿宋" w:hAnsi="仿宋" w:eastAsia="仿宋" w:cs="宋体"/>
          <w:color w:val="auto"/>
          <w:sz w:val="24"/>
          <w:highlight w:val="none"/>
          <w:lang w:val="zh-CN"/>
        </w:rPr>
      </w:pPr>
      <w:r>
        <w:rPr>
          <w:rFonts w:hint="eastAsia" w:ascii="仿宋" w:hAnsi="仿宋" w:eastAsia="仿宋" w:cs="宋体"/>
          <w:color w:val="auto"/>
          <w:sz w:val="24"/>
          <w:highlight w:val="none"/>
          <w:lang w:val="zh-CN"/>
        </w:rPr>
        <w:t>我</w:t>
      </w:r>
      <w:r>
        <w:rPr>
          <w:rFonts w:ascii="仿宋" w:hAnsi="仿宋" w:eastAsia="仿宋" w:cs="宋体"/>
          <w:color w:val="auto"/>
          <w:sz w:val="24"/>
          <w:highlight w:val="none"/>
          <w:lang w:val="zh-CN"/>
        </w:rPr>
        <w:t>公司在参加本次</w:t>
      </w:r>
      <w:r>
        <w:rPr>
          <w:rFonts w:hint="eastAsia" w:ascii="仿宋" w:hAnsi="仿宋" w:eastAsia="仿宋" w:cs="宋体"/>
          <w:color w:val="auto"/>
          <w:sz w:val="24"/>
          <w:highlight w:val="none"/>
        </w:rPr>
        <w:t>比选采购</w:t>
      </w:r>
      <w:r>
        <w:rPr>
          <w:rFonts w:ascii="仿宋" w:hAnsi="仿宋" w:eastAsia="仿宋" w:cs="宋体"/>
          <w:color w:val="auto"/>
          <w:sz w:val="24"/>
          <w:highlight w:val="none"/>
          <w:lang w:val="zh-CN"/>
        </w:rPr>
        <w:t>活动中，</w:t>
      </w:r>
      <w:r>
        <w:rPr>
          <w:rFonts w:hint="eastAsia" w:ascii="仿宋" w:hAnsi="仿宋" w:eastAsia="仿宋" w:cs="宋体"/>
          <w:color w:val="auto"/>
          <w:sz w:val="24"/>
          <w:highlight w:val="none"/>
          <w:lang w:val="zh-CN"/>
        </w:rPr>
        <w:t>做如下</w:t>
      </w:r>
      <w:r>
        <w:rPr>
          <w:rFonts w:ascii="仿宋" w:hAnsi="仿宋" w:eastAsia="仿宋" w:cs="宋体"/>
          <w:color w:val="auto"/>
          <w:sz w:val="24"/>
          <w:highlight w:val="none"/>
          <w:lang w:val="zh-CN"/>
        </w:rPr>
        <w:t>承诺：</w:t>
      </w:r>
    </w:p>
    <w:p w14:paraId="5DBF558E">
      <w:pPr>
        <w:spacing w:afterLines="50"/>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lang w:val="zh-CN"/>
        </w:rPr>
        <w:t>一、</w:t>
      </w:r>
      <w:r>
        <w:rPr>
          <w:rFonts w:hint="eastAsia" w:ascii="仿宋" w:hAnsi="仿宋" w:eastAsia="仿宋" w:cs="宋体"/>
          <w:color w:val="auto"/>
          <w:sz w:val="24"/>
          <w:highlight w:val="none"/>
        </w:rPr>
        <w:t>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具备独立法人资格，能够独立承担民事责任。</w:t>
      </w:r>
    </w:p>
    <w:p w14:paraId="7C8610B1">
      <w:pPr>
        <w:spacing w:afterLines="50"/>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二、我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财务状况良好，具备履行合同所需资金实力。</w:t>
      </w:r>
    </w:p>
    <w:p w14:paraId="053408E1">
      <w:pPr>
        <w:spacing w:afterLines="50"/>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三、我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拥有履行项目所需的专业技术人员和先进的生产设备。</w:t>
      </w:r>
    </w:p>
    <w:p w14:paraId="75424067">
      <w:pPr>
        <w:spacing w:afterLines="50"/>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四、我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依法纳税，并按时缴纳社会保险费。</w:t>
      </w:r>
    </w:p>
    <w:p w14:paraId="70FFFB22">
      <w:pPr>
        <w:spacing w:afterLines="50"/>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五、我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在最近三年内无任何违法违规行为，信誉良好。</w:t>
      </w:r>
    </w:p>
    <w:p w14:paraId="60E0BA3B">
      <w:pPr>
        <w:spacing w:afterLines="50"/>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六、我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完全符合政府采购法及其他相关法律法规的规定。</w:t>
      </w:r>
    </w:p>
    <w:p w14:paraId="0158FC1E">
      <w:pPr>
        <w:spacing w:afterLines="50"/>
        <w:ind w:firstLine="480" w:firstLineChars="200"/>
        <w:rPr>
          <w:rFonts w:ascii="仿宋" w:hAnsi="仿宋" w:eastAsia="仿宋" w:cs="宋体"/>
          <w:color w:val="auto"/>
          <w:sz w:val="24"/>
          <w:highlight w:val="none"/>
          <w:lang w:val="zh-CN"/>
        </w:rPr>
      </w:pPr>
      <w:r>
        <w:rPr>
          <w:rFonts w:hint="eastAsia" w:ascii="仿宋" w:hAnsi="仿宋" w:eastAsia="仿宋" w:cs="宋体"/>
          <w:color w:val="auto"/>
          <w:sz w:val="24"/>
          <w:highlight w:val="none"/>
        </w:rPr>
        <w:t>七</w:t>
      </w:r>
      <w:r>
        <w:rPr>
          <w:rFonts w:hint="eastAsia" w:ascii="仿宋" w:hAnsi="仿宋" w:eastAsia="仿宋" w:cs="宋体"/>
          <w:color w:val="auto"/>
          <w:sz w:val="24"/>
          <w:highlight w:val="none"/>
          <w:lang w:val="zh-CN"/>
        </w:rPr>
        <w:t>、</w:t>
      </w:r>
      <w:r>
        <w:rPr>
          <w:rFonts w:hint="eastAsia" w:ascii="仿宋" w:hAnsi="仿宋" w:eastAsia="仿宋" w:cs="宋体"/>
          <w:color w:val="auto"/>
          <w:sz w:val="24"/>
          <w:highlight w:val="none"/>
        </w:rPr>
        <w:t>我</w:t>
      </w:r>
      <w:r>
        <w:rPr>
          <w:rFonts w:hint="eastAsia" w:ascii="仿宋" w:hAnsi="仿宋" w:eastAsia="仿宋" w:cs="宋体"/>
          <w:color w:val="auto"/>
          <w:sz w:val="24"/>
          <w:highlight w:val="none"/>
          <w:lang w:val="zh-CN"/>
        </w:rPr>
        <w:t>公司提供的相关文件均真实、有效。</w:t>
      </w:r>
    </w:p>
    <w:p w14:paraId="20689484">
      <w:pPr>
        <w:spacing w:afterLines="50"/>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八、我</w:t>
      </w:r>
      <w:r>
        <w:rPr>
          <w:rFonts w:hint="eastAsia" w:ascii="仿宋" w:hAnsi="仿宋" w:eastAsia="仿宋" w:cs="宋体"/>
          <w:color w:val="auto"/>
          <w:sz w:val="24"/>
          <w:highlight w:val="none"/>
          <w:lang w:val="zh-CN"/>
        </w:rPr>
        <w:t>公司未挂靠、借用资质进行投标等违法违规行为。</w:t>
      </w:r>
    </w:p>
    <w:p w14:paraId="06B6F2C1">
      <w:pPr>
        <w:spacing w:afterLines="50"/>
        <w:ind w:firstLine="480" w:firstLineChars="200"/>
        <w:rPr>
          <w:rFonts w:ascii="仿宋" w:hAnsi="仿宋" w:eastAsia="仿宋" w:cs="宋体"/>
          <w:color w:val="auto"/>
          <w:sz w:val="24"/>
          <w:highlight w:val="none"/>
          <w:lang w:val="zh-CN"/>
        </w:rPr>
      </w:pPr>
      <w:r>
        <w:rPr>
          <w:rFonts w:hint="eastAsia" w:ascii="仿宋" w:hAnsi="仿宋" w:eastAsia="仿宋" w:cs="宋体"/>
          <w:color w:val="auto"/>
          <w:sz w:val="24"/>
          <w:highlight w:val="none"/>
        </w:rPr>
        <w:t>九、</w:t>
      </w:r>
      <w:r>
        <w:rPr>
          <w:rFonts w:hint="eastAsia" w:ascii="仿宋" w:hAnsi="仿宋" w:eastAsia="仿宋" w:cs="宋体"/>
          <w:color w:val="auto"/>
          <w:sz w:val="24"/>
          <w:highlight w:val="none"/>
          <w:lang w:val="zh-CN"/>
        </w:rPr>
        <w:t>我公司承诺在参加本</w:t>
      </w:r>
      <w:r>
        <w:rPr>
          <w:rFonts w:hint="eastAsia" w:ascii="仿宋" w:hAnsi="仿宋" w:eastAsia="仿宋" w:cs="宋体"/>
          <w:color w:val="auto"/>
          <w:sz w:val="24"/>
          <w:highlight w:val="none"/>
        </w:rPr>
        <w:t>次</w:t>
      </w:r>
      <w:r>
        <w:rPr>
          <w:rFonts w:hint="eastAsia" w:ascii="仿宋" w:hAnsi="仿宋" w:eastAsia="仿宋" w:cs="宋体"/>
          <w:color w:val="auto"/>
          <w:sz w:val="24"/>
          <w:highlight w:val="none"/>
          <w:lang w:val="zh-CN"/>
        </w:rPr>
        <w:t>采购活动中，</w:t>
      </w:r>
      <w:r>
        <w:rPr>
          <w:rFonts w:hint="eastAsia" w:ascii="仿宋" w:hAnsi="仿宋" w:eastAsia="仿宋" w:cs="宋体"/>
          <w:color w:val="auto"/>
          <w:sz w:val="24"/>
          <w:highlight w:val="none"/>
        </w:rPr>
        <w:t>不存在串标围标行为</w:t>
      </w:r>
      <w:r>
        <w:rPr>
          <w:rFonts w:hint="eastAsia" w:ascii="仿宋" w:hAnsi="仿宋" w:eastAsia="仿宋" w:cs="宋体"/>
          <w:color w:val="auto"/>
          <w:sz w:val="24"/>
          <w:highlight w:val="none"/>
          <w:lang w:val="zh-CN"/>
        </w:rPr>
        <w:t>，</w:t>
      </w:r>
      <w:r>
        <w:rPr>
          <w:rFonts w:hint="eastAsia" w:ascii="仿宋" w:hAnsi="仿宋" w:eastAsia="仿宋" w:cs="宋体"/>
          <w:color w:val="auto"/>
          <w:sz w:val="24"/>
          <w:highlight w:val="none"/>
        </w:rPr>
        <w:t>不存在</w:t>
      </w:r>
      <w:r>
        <w:rPr>
          <w:rFonts w:hint="eastAsia" w:ascii="仿宋" w:hAnsi="仿宋" w:eastAsia="仿宋" w:cs="宋体"/>
          <w:color w:val="auto"/>
          <w:sz w:val="24"/>
          <w:highlight w:val="none"/>
          <w:lang w:val="zh-CN"/>
        </w:rPr>
        <w:t>损害</w:t>
      </w:r>
      <w:r>
        <w:rPr>
          <w:rFonts w:hint="eastAsia" w:ascii="仿宋" w:hAnsi="仿宋" w:eastAsia="仿宋" w:cs="宋体"/>
          <w:color w:val="auto"/>
          <w:sz w:val="24"/>
          <w:highlight w:val="none"/>
        </w:rPr>
        <w:t>校方</w:t>
      </w:r>
      <w:r>
        <w:rPr>
          <w:rFonts w:hint="eastAsia" w:ascii="仿宋" w:hAnsi="仿宋" w:eastAsia="仿宋" w:cs="宋体"/>
          <w:color w:val="auto"/>
          <w:sz w:val="24"/>
          <w:highlight w:val="none"/>
          <w:lang w:val="zh-CN"/>
        </w:rPr>
        <w:t>或者其他</w:t>
      </w:r>
      <w:r>
        <w:rPr>
          <w:rFonts w:hint="eastAsia" w:ascii="仿宋" w:hAnsi="仿宋" w:eastAsia="仿宋" w:cs="宋体"/>
          <w:color w:val="auto"/>
          <w:sz w:val="24"/>
          <w:highlight w:val="none"/>
        </w:rPr>
        <w:t>报价单位</w:t>
      </w:r>
      <w:r>
        <w:rPr>
          <w:rFonts w:hint="eastAsia" w:ascii="仿宋" w:hAnsi="仿宋" w:eastAsia="仿宋" w:cs="宋体"/>
          <w:color w:val="auto"/>
          <w:sz w:val="24"/>
          <w:highlight w:val="none"/>
          <w:lang w:val="zh-CN"/>
        </w:rPr>
        <w:t>利益的行为。</w:t>
      </w:r>
    </w:p>
    <w:p w14:paraId="6C8C0160">
      <w:pPr>
        <w:spacing w:afterLines="50"/>
        <w:ind w:firstLine="480" w:firstLineChars="200"/>
        <w:rPr>
          <w:rFonts w:ascii="仿宋" w:hAnsi="仿宋" w:eastAsia="仿宋" w:cs="宋体"/>
          <w:color w:val="auto"/>
          <w:sz w:val="24"/>
          <w:highlight w:val="none"/>
          <w:lang w:val="zh-CN"/>
        </w:rPr>
      </w:pPr>
      <w:r>
        <w:rPr>
          <w:rFonts w:hint="eastAsia" w:ascii="仿宋" w:hAnsi="仿宋" w:eastAsia="仿宋" w:cs="宋体"/>
          <w:color w:val="auto"/>
          <w:sz w:val="24"/>
          <w:highlight w:val="none"/>
        </w:rPr>
        <w:t>十、</w:t>
      </w:r>
      <w:r>
        <w:rPr>
          <w:rFonts w:hint="eastAsia" w:ascii="仿宋" w:hAnsi="仿宋" w:eastAsia="仿宋" w:cs="宋体"/>
          <w:color w:val="auto"/>
          <w:sz w:val="24"/>
          <w:highlight w:val="none"/>
          <w:lang w:val="zh-CN"/>
        </w:rPr>
        <w:t>我</w:t>
      </w:r>
      <w:r>
        <w:rPr>
          <w:rFonts w:hint="eastAsia" w:ascii="仿宋" w:hAnsi="仿宋" w:eastAsia="仿宋" w:cs="宋体"/>
          <w:color w:val="auto"/>
          <w:sz w:val="24"/>
          <w:highlight w:val="none"/>
        </w:rPr>
        <w:t>公司管理层中</w:t>
      </w:r>
      <w:r>
        <w:rPr>
          <w:rFonts w:hint="eastAsia" w:ascii="仿宋" w:hAnsi="仿宋" w:eastAsia="仿宋" w:cs="宋体"/>
          <w:color w:val="auto"/>
          <w:sz w:val="24"/>
          <w:highlight w:val="none"/>
          <w:lang w:val="zh-CN"/>
        </w:rPr>
        <w:t>没有从</w:t>
      </w:r>
      <w:r>
        <w:rPr>
          <w:rFonts w:hint="eastAsia" w:ascii="仿宋" w:hAnsi="仿宋" w:eastAsia="仿宋" w:cs="宋体"/>
          <w:color w:val="auto"/>
          <w:sz w:val="24"/>
          <w:highlight w:val="none"/>
        </w:rPr>
        <w:t>贵校</w:t>
      </w:r>
      <w:r>
        <w:rPr>
          <w:rFonts w:hint="eastAsia" w:ascii="仿宋" w:hAnsi="仿宋" w:eastAsia="仿宋" w:cs="宋体"/>
          <w:color w:val="auto"/>
          <w:sz w:val="24"/>
          <w:highlight w:val="none"/>
          <w:lang w:val="zh-CN"/>
        </w:rPr>
        <w:t>离职或退休3年以内的人员担任控股股东或实际控股人、董事、监事，也没有聘用从</w:t>
      </w:r>
      <w:r>
        <w:rPr>
          <w:rFonts w:hint="eastAsia" w:ascii="仿宋" w:hAnsi="仿宋" w:eastAsia="仿宋" w:cs="宋体"/>
          <w:color w:val="auto"/>
          <w:sz w:val="24"/>
          <w:highlight w:val="none"/>
        </w:rPr>
        <w:t>贵校</w:t>
      </w:r>
      <w:r>
        <w:rPr>
          <w:rFonts w:hint="eastAsia" w:ascii="仿宋" w:hAnsi="仿宋" w:eastAsia="仿宋" w:cs="宋体"/>
          <w:color w:val="auto"/>
          <w:sz w:val="24"/>
          <w:highlight w:val="none"/>
          <w:lang w:val="zh-CN"/>
        </w:rPr>
        <w:t>离职或退休3年以内的人员。</w:t>
      </w:r>
    </w:p>
    <w:p w14:paraId="5720DDD0">
      <w:pPr>
        <w:spacing w:afterLines="50"/>
        <w:ind w:firstLine="480" w:firstLineChars="200"/>
        <w:rPr>
          <w:rFonts w:ascii="仿宋" w:hAnsi="仿宋" w:eastAsia="仿宋" w:cs="宋体"/>
          <w:color w:val="auto"/>
          <w:sz w:val="24"/>
          <w:highlight w:val="none"/>
          <w:lang w:val="zh-CN"/>
        </w:rPr>
      </w:pPr>
      <w:r>
        <w:rPr>
          <w:rFonts w:hint="eastAsia" w:ascii="仿宋" w:hAnsi="仿宋" w:eastAsia="仿宋" w:cs="宋体"/>
          <w:color w:val="auto"/>
          <w:sz w:val="24"/>
          <w:highlight w:val="none"/>
        </w:rPr>
        <w:t>我公司保证上述声明真实无误，如有不实，愿承担相应法律责任。</w:t>
      </w:r>
    </w:p>
    <w:p w14:paraId="4E4573BE">
      <w:pPr>
        <w:spacing w:afterLines="50"/>
        <w:rPr>
          <w:rFonts w:ascii="仿宋" w:hAnsi="仿宋" w:eastAsia="仿宋" w:cs="宋体"/>
          <w:color w:val="auto"/>
          <w:sz w:val="24"/>
          <w:highlight w:val="none"/>
          <w:lang w:val="zh-CN"/>
        </w:rPr>
      </w:pPr>
    </w:p>
    <w:p w14:paraId="4B171BA3">
      <w:pPr>
        <w:spacing w:afterLines="50"/>
        <w:rPr>
          <w:rFonts w:ascii="黑体" w:hAnsi="华文楷体" w:eastAsia="黑体"/>
          <w:b/>
          <w:bCs/>
          <w:color w:val="auto"/>
          <w:sz w:val="32"/>
          <w:szCs w:val="32"/>
          <w:highlight w:val="none"/>
        </w:rPr>
      </w:pPr>
      <w:r>
        <w:rPr>
          <w:rFonts w:hint="eastAsia" w:ascii="黑体" w:hAnsi="华文楷体" w:eastAsia="黑体"/>
          <w:color w:val="auto"/>
          <w:sz w:val="24"/>
          <w:highlight w:val="none"/>
        </w:rPr>
        <w:t>公司名称（盖章）：                              委托代理人（签字）：</w:t>
      </w:r>
    </w:p>
    <w:p w14:paraId="739B47A8">
      <w:pPr>
        <w:pStyle w:val="5"/>
        <w:rPr>
          <w:rFonts w:ascii="方正兰亭黑简体" w:hAnsi="方正兰亭黑简体" w:eastAsia="方正兰亭黑简体" w:cs="方正兰亭黑简体"/>
          <w:color w:val="auto"/>
          <w:sz w:val="22"/>
          <w:szCs w:val="28"/>
          <w:highlight w:val="none"/>
        </w:rPr>
      </w:pPr>
    </w:p>
    <w:p w14:paraId="74B928AB">
      <w:pPr>
        <w:pStyle w:val="5"/>
        <w:rPr>
          <w:rFonts w:ascii="方正兰亭黑简体" w:hAnsi="方正兰亭黑简体" w:eastAsia="方正兰亭黑简体" w:cs="方正兰亭黑简体"/>
          <w:color w:val="auto"/>
          <w:sz w:val="22"/>
          <w:szCs w:val="28"/>
          <w:highlight w:val="none"/>
        </w:rPr>
      </w:pPr>
    </w:p>
    <w:p w14:paraId="1121BBB6">
      <w:pPr>
        <w:jc w:val="left"/>
        <w:rPr>
          <w:rFonts w:ascii="方正兰亭黑简体" w:hAnsi="方正兰亭黑简体" w:eastAsia="方正兰亭黑简体" w:cs="方正兰亭黑简体"/>
          <w:color w:val="auto"/>
          <w:sz w:val="22"/>
          <w:szCs w:val="28"/>
          <w:highlight w:val="none"/>
        </w:rPr>
        <w:sectPr>
          <w:pgSz w:w="11906" w:h="16838"/>
          <w:pgMar w:top="1440" w:right="1083" w:bottom="1440" w:left="1083" w:header="851" w:footer="992" w:gutter="0"/>
          <w:cols w:space="0" w:num="1"/>
          <w:rtlGutter w:val="0"/>
          <w:docGrid w:type="lines" w:linePitch="314" w:charSpace="0"/>
        </w:sectPr>
      </w:pPr>
    </w:p>
    <w:p w14:paraId="2F0ACE6C">
      <w:pPr>
        <w:jc w:val="left"/>
        <w:rPr>
          <w:rFonts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附件2：其他材料</w:t>
      </w:r>
    </w:p>
    <w:p w14:paraId="72F3198E">
      <w:pPr>
        <w:pStyle w:val="4"/>
        <w:ind w:left="0" w:leftChars="0"/>
        <w:rPr>
          <w:color w:val="auto"/>
          <w:highlight w:val="none"/>
        </w:rPr>
      </w:pPr>
      <w:r>
        <w:rPr>
          <w:rFonts w:hint="eastAsia" w:ascii="方正兰亭黑简体" w:hAnsi="方正兰亭黑简体" w:eastAsia="方正兰亭黑简体" w:cs="方正兰亭黑简体"/>
          <w:color w:val="auto"/>
          <w:sz w:val="22"/>
          <w:szCs w:val="28"/>
          <w:highlight w:val="none"/>
        </w:rPr>
        <w:t>包括但不限于：</w:t>
      </w:r>
    </w:p>
    <w:p w14:paraId="419A692B">
      <w:pPr>
        <w:pStyle w:val="4"/>
        <w:ind w:left="0" w:leftChars="0"/>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1、营业执照扫描件</w:t>
      </w:r>
    </w:p>
    <w:p w14:paraId="3C6038BD">
      <w:pPr>
        <w:pStyle w:val="4"/>
        <w:ind w:left="0" w:leftChars="0"/>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2、包含</w:t>
      </w:r>
      <w:r>
        <w:rPr>
          <w:rFonts w:hint="eastAsia" w:ascii="方正兰亭黑简体" w:hAnsi="方正兰亭黑简体" w:eastAsia="方正兰亭黑简体" w:cs="方正兰亭黑简体"/>
          <w:color w:val="auto"/>
          <w:sz w:val="22"/>
          <w:szCs w:val="28"/>
          <w:highlight w:val="none"/>
        </w:rPr>
        <w:t>建筑消防设施维保执业人员资格证书</w:t>
      </w:r>
      <w:r>
        <w:rPr>
          <w:rFonts w:hint="eastAsia" w:ascii="方正兰亭黑简体" w:hAnsi="方正兰亭黑简体" w:eastAsia="方正兰亭黑简体" w:cs="方正兰亭黑简体"/>
          <w:color w:val="auto"/>
          <w:sz w:val="22"/>
          <w:szCs w:val="28"/>
          <w:highlight w:val="none"/>
          <w:lang w:val="en-US" w:eastAsia="zh-CN"/>
        </w:rPr>
        <w:t>在内的相关文件扫描件</w:t>
      </w:r>
    </w:p>
    <w:p w14:paraId="610F601C">
      <w:pPr>
        <w:pStyle w:val="4"/>
        <w:ind w:left="0" w:leftChars="0"/>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3</w:t>
      </w:r>
      <w:r>
        <w:rPr>
          <w:rFonts w:ascii="方正兰亭黑简体" w:hAnsi="方正兰亭黑简体" w:eastAsia="方正兰亭黑简体" w:cs="方正兰亭黑简体"/>
          <w:color w:val="auto"/>
          <w:sz w:val="22"/>
          <w:szCs w:val="28"/>
          <w:highlight w:val="none"/>
        </w:rPr>
        <w:t>、</w:t>
      </w:r>
      <w:r>
        <w:rPr>
          <w:rFonts w:hint="eastAsia" w:ascii="方正兰亭黑简体" w:hAnsi="方正兰亭黑简体" w:eastAsia="方正兰亭黑简体" w:cs="方正兰亭黑简体"/>
          <w:color w:val="auto"/>
          <w:sz w:val="22"/>
          <w:szCs w:val="28"/>
          <w:highlight w:val="none"/>
        </w:rPr>
        <w:t>服务方案及实施计划</w:t>
      </w:r>
    </w:p>
    <w:p w14:paraId="46897B66">
      <w:pPr>
        <w:pStyle w:val="4"/>
        <w:ind w:left="0" w:leftChars="0"/>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4</w:t>
      </w:r>
      <w:r>
        <w:rPr>
          <w:rFonts w:ascii="方正兰亭黑简体" w:hAnsi="方正兰亭黑简体" w:eastAsia="方正兰亭黑简体" w:cs="方正兰亭黑简体"/>
          <w:color w:val="auto"/>
          <w:sz w:val="22"/>
          <w:szCs w:val="28"/>
          <w:highlight w:val="none"/>
        </w:rPr>
        <w:t>、</w:t>
      </w:r>
      <w:r>
        <w:rPr>
          <w:rFonts w:hint="eastAsia" w:ascii="方正兰亭黑简体" w:hAnsi="方正兰亭黑简体" w:eastAsia="方正兰亭黑简体" w:cs="方正兰亭黑简体"/>
          <w:color w:val="auto"/>
          <w:sz w:val="22"/>
          <w:szCs w:val="28"/>
          <w:highlight w:val="none"/>
        </w:rPr>
        <w:t>服务团队介绍</w:t>
      </w:r>
    </w:p>
    <w:p w14:paraId="016445AC">
      <w:pPr>
        <w:pStyle w:val="4"/>
        <w:ind w:left="0" w:leftChars="0"/>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5</w:t>
      </w:r>
      <w:r>
        <w:rPr>
          <w:rFonts w:ascii="方正兰亭黑简体" w:hAnsi="方正兰亭黑简体" w:eastAsia="方正兰亭黑简体" w:cs="方正兰亭黑简体"/>
          <w:color w:val="auto"/>
          <w:sz w:val="22"/>
          <w:szCs w:val="28"/>
          <w:highlight w:val="none"/>
        </w:rPr>
        <w:t>、</w:t>
      </w:r>
      <w:r>
        <w:rPr>
          <w:rFonts w:hint="eastAsia" w:ascii="方正兰亭黑简体" w:hAnsi="方正兰亭黑简体" w:eastAsia="方正兰亭黑简体" w:cs="方正兰亭黑简体"/>
          <w:color w:val="auto"/>
          <w:sz w:val="22"/>
          <w:szCs w:val="28"/>
          <w:highlight w:val="none"/>
        </w:rPr>
        <w:t>服务保障承诺</w:t>
      </w:r>
    </w:p>
    <w:p w14:paraId="67487C24">
      <w:pPr>
        <w:pStyle w:val="4"/>
        <w:ind w:left="0" w:leftChars="0"/>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6</w:t>
      </w:r>
      <w:r>
        <w:rPr>
          <w:rFonts w:ascii="方正兰亭黑简体" w:hAnsi="方正兰亭黑简体" w:eastAsia="方正兰亭黑简体" w:cs="方正兰亭黑简体"/>
          <w:color w:val="auto"/>
          <w:sz w:val="22"/>
          <w:szCs w:val="28"/>
          <w:highlight w:val="none"/>
        </w:rPr>
        <w:t>、</w:t>
      </w:r>
      <w:r>
        <w:rPr>
          <w:rFonts w:hint="eastAsia" w:ascii="方正兰亭黑简体" w:hAnsi="方正兰亭黑简体" w:eastAsia="方正兰亭黑简体" w:cs="方正兰亭黑简体"/>
          <w:color w:val="auto"/>
          <w:sz w:val="22"/>
          <w:szCs w:val="28"/>
          <w:highlight w:val="none"/>
        </w:rPr>
        <w:t>业绩案例</w:t>
      </w:r>
    </w:p>
    <w:p w14:paraId="07598DCE">
      <w:pPr>
        <w:pStyle w:val="4"/>
        <w:ind w:left="0" w:leftChars="0"/>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7、其他所必需的相关材料</w:t>
      </w:r>
    </w:p>
    <w:sectPr>
      <w:pgSz w:w="11906" w:h="16838"/>
      <w:pgMar w:top="1440" w:right="1083" w:bottom="1440" w:left="1083"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27E608-9136-4F75-9BE9-CCA2FE0B1B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兰亭黑简体">
    <w:panose1 w:val="02000000000000000000"/>
    <w:charset w:val="86"/>
    <w:family w:val="auto"/>
    <w:pitch w:val="default"/>
    <w:sig w:usb0="A00002BF" w:usb1="184F6CFA" w:usb2="00000012" w:usb3="00000000" w:csb0="00040001" w:csb1="00000000"/>
    <w:embedRegular r:id="rId2" w:fontKey="{55518D28-9823-4720-94AC-D3677FC9826B}"/>
  </w:font>
  <w:font w:name="华文楷体">
    <w:panose1 w:val="02010600040101010101"/>
    <w:charset w:val="86"/>
    <w:family w:val="auto"/>
    <w:pitch w:val="default"/>
    <w:sig w:usb0="00000287" w:usb1="080F0000" w:usb2="00000000" w:usb3="00000000" w:csb0="0004009F" w:csb1="DFD70000"/>
    <w:embedRegular r:id="rId3" w:fontKey="{7CB20648-7EA9-4610-8514-0BB838556B3D}"/>
  </w:font>
  <w:font w:name="方正仿宋_GB2312">
    <w:panose1 w:val="02000000000000000000"/>
    <w:charset w:val="86"/>
    <w:family w:val="auto"/>
    <w:pitch w:val="default"/>
    <w:sig w:usb0="A00002BF" w:usb1="184F6CFA" w:usb2="00000012" w:usb3="00000000" w:csb0="00040001" w:csb1="00000000"/>
    <w:embedRegular r:id="rId4" w:fontKey="{E7FE50B5-6FB6-4FDA-9D9F-B03CE9A34818}"/>
  </w:font>
  <w:font w:name="仿宋">
    <w:panose1 w:val="02010609060101010101"/>
    <w:charset w:val="86"/>
    <w:family w:val="modern"/>
    <w:pitch w:val="default"/>
    <w:sig w:usb0="800002BF" w:usb1="38CF7CFA" w:usb2="00000016" w:usb3="00000000" w:csb0="00040001" w:csb1="00000000"/>
    <w:embedRegular r:id="rId5" w:fontKey="{0917CADD-6CD8-4D1C-B8A6-CD6361361867}"/>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B00A6">
    <w:pPr>
      <w:pStyle w:val="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4F695C3">
                <w:pPr>
                  <w:pStyle w:val="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9DDAB"/>
    <w:multiLevelType w:val="singleLevel"/>
    <w:tmpl w:val="A7F9DDAB"/>
    <w:lvl w:ilvl="0" w:tentative="0">
      <w:start w:val="1"/>
      <w:numFmt w:val="decimal"/>
      <w:suff w:val="nothing"/>
      <w:lvlText w:val="（%1）"/>
      <w:lvlJc w:val="left"/>
    </w:lvl>
  </w:abstractNum>
  <w:abstractNum w:abstractNumId="1">
    <w:nsid w:val="E8D2EBEB"/>
    <w:multiLevelType w:val="singleLevel"/>
    <w:tmpl w:val="E8D2EBE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7"/>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350F30"/>
    <w:rsid w:val="000F2F0D"/>
    <w:rsid w:val="00350F30"/>
    <w:rsid w:val="006E2315"/>
    <w:rsid w:val="00F47744"/>
    <w:rsid w:val="02675436"/>
    <w:rsid w:val="029C08D4"/>
    <w:rsid w:val="13353790"/>
    <w:rsid w:val="157E6317"/>
    <w:rsid w:val="24050543"/>
    <w:rsid w:val="269F2B16"/>
    <w:rsid w:val="2DA9469E"/>
    <w:rsid w:val="2FB07FD7"/>
    <w:rsid w:val="33B3033B"/>
    <w:rsid w:val="35906085"/>
    <w:rsid w:val="367E3661"/>
    <w:rsid w:val="3A9852E0"/>
    <w:rsid w:val="3D6469F5"/>
    <w:rsid w:val="3FCC680A"/>
    <w:rsid w:val="3FDF48A5"/>
    <w:rsid w:val="40134FEB"/>
    <w:rsid w:val="41007DAA"/>
    <w:rsid w:val="480A63EB"/>
    <w:rsid w:val="487158D1"/>
    <w:rsid w:val="4CCA439B"/>
    <w:rsid w:val="4EFD134C"/>
    <w:rsid w:val="543D6D6A"/>
    <w:rsid w:val="58C4549A"/>
    <w:rsid w:val="5AEA704B"/>
    <w:rsid w:val="5DF2219B"/>
    <w:rsid w:val="5E8720EC"/>
    <w:rsid w:val="5EE9209B"/>
    <w:rsid w:val="66E533C4"/>
    <w:rsid w:val="681A51E0"/>
    <w:rsid w:val="695E3370"/>
    <w:rsid w:val="699D5EE7"/>
    <w:rsid w:val="7CFA5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rPr>
      <w:kern w:val="0"/>
      <w:sz w:val="20"/>
      <w:szCs w:val="20"/>
    </w:rPr>
  </w:style>
  <w:style w:type="paragraph" w:styleId="3">
    <w:name w:val="Body Text"/>
    <w:basedOn w:val="1"/>
    <w:next w:val="1"/>
    <w:qFormat/>
    <w:uiPriority w:val="0"/>
    <w:pPr>
      <w:spacing w:after="120"/>
    </w:pPr>
  </w:style>
  <w:style w:type="paragraph" w:styleId="4">
    <w:name w:val="Body Text Indent"/>
    <w:basedOn w:val="1"/>
    <w:qFormat/>
    <w:uiPriority w:val="0"/>
    <w:pPr>
      <w:ind w:left="420" w:leftChars="200"/>
    </w:pPr>
  </w:style>
  <w:style w:type="paragraph" w:styleId="5">
    <w:name w:val="Plain Text"/>
    <w:basedOn w:val="1"/>
    <w:qFormat/>
    <w:uiPriority w:val="0"/>
    <w:rPr>
      <w:rFonts w:ascii="宋体" w:hAnsi="Courier New"/>
    </w:rPr>
  </w:style>
  <w:style w:type="paragraph" w:styleId="6">
    <w:name w:val="Body Text Indent 2"/>
    <w:basedOn w:val="1"/>
    <w:unhideWhenUsed/>
    <w:qFormat/>
    <w:uiPriority w:val="0"/>
    <w:pPr>
      <w:ind w:firstLine="540"/>
    </w:pPr>
    <w:rPr>
      <w:rFonts w:ascii="Calibri" w:hAnsi="Calibri"/>
      <w:sz w:val="2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unhideWhenUsed/>
    <w:qFormat/>
    <w:uiPriority w:val="39"/>
    <w:rPr>
      <w:rFonts w:ascii="Calibri" w:hAnsi="Calibri" w:eastAsia="宋体" w:cs="Times New Roman"/>
    </w:rPr>
  </w:style>
  <w:style w:type="paragraph" w:styleId="10">
    <w:name w:val="Body Text Indent 3"/>
    <w:basedOn w:val="1"/>
    <w:qFormat/>
    <w:uiPriority w:val="0"/>
    <w:pPr>
      <w:ind w:firstLine="600" w:firstLineChars="200"/>
    </w:pPr>
    <w:rPr>
      <w:color w:val="FF0000"/>
      <w:sz w:val="30"/>
      <w:szCs w:val="20"/>
    </w:rPr>
  </w:style>
  <w:style w:type="paragraph" w:styleId="11">
    <w:name w:val="Body Text 2"/>
    <w:basedOn w:val="1"/>
    <w:qFormat/>
    <w:uiPriority w:val="0"/>
    <w:pPr>
      <w:spacing w:after="120" w:line="480" w:lineRule="auto"/>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3"/>
    <w:qFormat/>
    <w:uiPriority w:val="0"/>
    <w:pPr>
      <w:widowControl/>
      <w:ind w:firstLine="420" w:firstLineChars="100"/>
      <w:jc w:val="left"/>
    </w:pPr>
    <w:rPr>
      <w:rFonts w:asci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22"/>
    <w:rPr>
      <w:b/>
      <w:bCs/>
    </w:rPr>
  </w:style>
  <w:style w:type="character" w:styleId="18">
    <w:name w:val="Hyperlink"/>
    <w:basedOn w:val="16"/>
    <w:unhideWhenUsed/>
    <w:qFormat/>
    <w:uiPriority w:val="99"/>
    <w:rPr>
      <w:color w:val="0000FF"/>
      <w:u w:val="single"/>
    </w:rPr>
  </w:style>
  <w:style w:type="paragraph" w:customStyle="1" w:styleId="19">
    <w:name w:val="列表段落1"/>
    <w:basedOn w:val="1"/>
    <w:qFormat/>
    <w:uiPriority w:val="0"/>
    <w:pPr>
      <w:ind w:firstLine="420" w:firstLineChars="200"/>
    </w:pPr>
  </w:style>
  <w:style w:type="paragraph" w:customStyle="1" w:styleId="20">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21">
    <w:name w:val="15"/>
    <w:basedOn w:val="16"/>
    <w:qFormat/>
    <w:uiPriority w:val="0"/>
    <w:rPr>
      <w:rFonts w:hint="default" w:ascii="Calibri" w:hAnsi="Calibri" w:cs="Calibri"/>
      <w:b/>
      <w:bCs/>
    </w:rPr>
  </w:style>
  <w:style w:type="paragraph" w:styleId="2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10063</Words>
  <Characters>11909</Characters>
  <Lines>64</Lines>
  <Paragraphs>18</Paragraphs>
  <TotalTime>11</TotalTime>
  <ScaleCrop>false</ScaleCrop>
  <LinksUpToDate>false</LinksUpToDate>
  <CharactersWithSpaces>12226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2025-04-03T05:09:00Z</dcterms:created>
  <dc:creator>HP</dc:creator>
  <cp:lastModifiedBy>仲杰</cp:lastModifiedBy>
  <dcterms:modified xsi:type="dcterms:W3CDTF">2025-10-20T05:34:21Z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eyJoZGlkIjoiZDlmOGQwYjhiNmI4NDMzYTcyZjE3NmU1NDRkMTcyMTMiLCJ1c2VySWQiOiIyOTgyOTgyOTEifQ==</vt:lpwstr>
  </property>
  <property fmtid="{D5CDD505-2E9C-101B-9397-08002B2CF9AE}" pid="4" name="ICV">
    <vt:lpwstr>2BFD31D5F3FB4B709DBC969892577809_12</vt:lpwstr>
  </property>
</Properties>
</file>