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0EA" w:rsidRPr="001312DC" w:rsidRDefault="00250E8A" w:rsidP="00111A1C">
      <w:pPr>
        <w:spacing w:before="120" w:line="360" w:lineRule="auto"/>
        <w:ind w:firstLineChars="200" w:firstLine="482"/>
        <w:jc w:val="center"/>
        <w:outlineLvl w:val="0"/>
        <w:rPr>
          <w:rFonts w:asciiTheme="minorEastAsia" w:eastAsiaTheme="minorEastAsia" w:hAnsiTheme="minorEastAsia"/>
          <w:b/>
          <w:color w:val="000000" w:themeColor="text1"/>
          <w:sz w:val="24"/>
        </w:rPr>
      </w:pPr>
      <w:r w:rsidRPr="001312DC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光纤</w:t>
      </w:r>
      <w:r w:rsidR="00A67E20" w:rsidRPr="001312DC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存储</w:t>
      </w:r>
      <w:r w:rsidR="002C30EA" w:rsidRPr="001312DC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交换机招标参数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9"/>
        <w:gridCol w:w="1905"/>
        <w:gridCol w:w="7268"/>
      </w:tblGrid>
      <w:tr w:rsidR="006B6397" w:rsidRPr="00F4103C" w:rsidTr="00111A1C">
        <w:trPr>
          <w:trHeight w:val="389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397" w:rsidRPr="00F4103C" w:rsidRDefault="006B6397" w:rsidP="00111A1C">
            <w:pPr>
              <w:spacing w:line="360" w:lineRule="auto"/>
              <w:jc w:val="center"/>
              <w:rPr>
                <w:b/>
              </w:rPr>
            </w:pPr>
            <w:r w:rsidRPr="00F4103C">
              <w:rPr>
                <w:rFonts w:hint="eastAsia"/>
                <w:b/>
              </w:rPr>
              <w:t>序号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97" w:rsidRPr="00F4103C" w:rsidRDefault="006B6397" w:rsidP="00111A1C">
            <w:pPr>
              <w:spacing w:line="360" w:lineRule="auto"/>
              <w:jc w:val="center"/>
              <w:rPr>
                <w:b/>
              </w:rPr>
            </w:pPr>
            <w:r w:rsidRPr="00F4103C">
              <w:rPr>
                <w:rFonts w:hint="eastAsia"/>
                <w:b/>
              </w:rPr>
              <w:t>指标项</w:t>
            </w:r>
          </w:p>
        </w:tc>
        <w:tc>
          <w:tcPr>
            <w:tcW w:w="3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97" w:rsidRPr="00F4103C" w:rsidRDefault="006B6397" w:rsidP="00111A1C">
            <w:pPr>
              <w:spacing w:line="360" w:lineRule="auto"/>
              <w:jc w:val="center"/>
              <w:rPr>
                <w:b/>
              </w:rPr>
            </w:pPr>
            <w:r w:rsidRPr="00F4103C">
              <w:rPr>
                <w:rFonts w:hint="eastAsia"/>
                <w:b/>
              </w:rPr>
              <w:t>指标要求</w:t>
            </w:r>
          </w:p>
        </w:tc>
      </w:tr>
      <w:tr w:rsidR="007C7F17" w:rsidRPr="00F4103C" w:rsidTr="00111A1C">
        <w:trPr>
          <w:trHeight w:val="389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17" w:rsidRPr="00F4103C" w:rsidRDefault="007C7F17" w:rsidP="00111A1C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1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17" w:rsidRPr="00EA1051" w:rsidRDefault="007C7F17" w:rsidP="00111A1C">
            <w:pPr>
              <w:widowControl/>
              <w:spacing w:line="360" w:lineRule="auto"/>
              <w:jc w:val="center"/>
              <w:rPr>
                <w:rFonts w:asciiTheme="minorEastAsia" w:hAnsiTheme="minorEastAsia" w:cs="Arial"/>
                <w:b/>
                <w:szCs w:val="21"/>
              </w:rPr>
            </w:pPr>
            <w:r w:rsidRPr="00EA1051">
              <w:rPr>
                <w:rFonts w:asciiTheme="minorEastAsia" w:hAnsiTheme="minorEastAsia" w:cs="Arial" w:hint="eastAsia"/>
                <w:b/>
                <w:szCs w:val="21"/>
              </w:rPr>
              <w:t>★设备</w:t>
            </w:r>
            <w:r w:rsidRPr="00EA1051">
              <w:rPr>
                <w:rFonts w:asciiTheme="minorEastAsia" w:hAnsiTheme="minorEastAsia" w:cs="Arial"/>
                <w:b/>
                <w:szCs w:val="21"/>
              </w:rPr>
              <w:t>数量</w:t>
            </w:r>
          </w:p>
        </w:tc>
        <w:tc>
          <w:tcPr>
            <w:tcW w:w="3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17" w:rsidRPr="00EA1051" w:rsidRDefault="007C7F17" w:rsidP="00111A1C">
            <w:pPr>
              <w:widowControl/>
              <w:spacing w:line="360" w:lineRule="auto"/>
              <w:jc w:val="left"/>
              <w:rPr>
                <w:rFonts w:asciiTheme="majorEastAsia" w:hAnsiTheme="majorEastAsia"/>
                <w:b/>
                <w:kern w:val="0"/>
              </w:rPr>
            </w:pPr>
            <w:r w:rsidRPr="00EA1051">
              <w:rPr>
                <w:rFonts w:asciiTheme="majorEastAsia" w:hAnsiTheme="majorEastAsia" w:hint="eastAsia"/>
                <w:b/>
                <w:kern w:val="0"/>
              </w:rPr>
              <w:t>2</w:t>
            </w:r>
            <w:r w:rsidRPr="00EA1051">
              <w:rPr>
                <w:rFonts w:asciiTheme="majorEastAsia" w:hAnsiTheme="majorEastAsia"/>
                <w:b/>
                <w:kern w:val="0"/>
              </w:rPr>
              <w:t>台</w:t>
            </w:r>
          </w:p>
        </w:tc>
      </w:tr>
      <w:tr w:rsidR="007C7F17" w:rsidRPr="00F4103C" w:rsidTr="00111A1C"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17" w:rsidRPr="00F4103C" w:rsidRDefault="007C7F17" w:rsidP="00111A1C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rFonts w:asciiTheme="minorEastAsia" w:hAnsiTheme="minorEastAsia" w:cs="Arial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2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F17" w:rsidRPr="00F4103C" w:rsidRDefault="007C7F17" w:rsidP="00111A1C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rFonts w:asciiTheme="majorEastAsia" w:hAnsiTheme="majorEastAsia"/>
                <w:b/>
              </w:rPr>
            </w:pPr>
            <w:r w:rsidRPr="00F4103C">
              <w:rPr>
                <w:rFonts w:asciiTheme="minorEastAsia" w:hAnsiTheme="minorEastAsia" w:cs="Arial" w:hint="eastAsia"/>
                <w:szCs w:val="21"/>
              </w:rPr>
              <w:t>★</w:t>
            </w:r>
            <w:r w:rsidRPr="00F4103C">
              <w:rPr>
                <w:rFonts w:asciiTheme="majorEastAsia" w:hAnsiTheme="majorEastAsia" w:hint="eastAsia"/>
                <w:b/>
              </w:rPr>
              <w:t>端口</w:t>
            </w:r>
          </w:p>
        </w:tc>
        <w:tc>
          <w:tcPr>
            <w:tcW w:w="3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F17" w:rsidRPr="00F4103C" w:rsidRDefault="007C7F17" w:rsidP="00111A1C">
            <w:pPr>
              <w:spacing w:line="360" w:lineRule="auto"/>
              <w:jc w:val="left"/>
              <w:rPr>
                <w:rFonts w:asciiTheme="majorEastAsia" w:hAnsiTheme="majorEastAsia"/>
                <w:kern w:val="0"/>
              </w:rPr>
            </w:pPr>
            <w:r w:rsidRPr="00F4103C">
              <w:rPr>
                <w:rFonts w:asciiTheme="majorEastAsia" w:hAnsiTheme="majorEastAsia" w:hint="eastAsia"/>
                <w:kern w:val="0"/>
              </w:rPr>
              <w:t>单台端口配置</w:t>
            </w:r>
            <w:r w:rsidRPr="00F4103C">
              <w:rPr>
                <w:rFonts w:asciiTheme="minorEastAsia" w:hAnsiTheme="minorEastAsia" w:cs="微软雅黑" w:hint="eastAsia"/>
                <w:kern w:val="0"/>
                <w:szCs w:val="21"/>
              </w:rPr>
              <w:t>≥</w:t>
            </w:r>
            <w:r w:rsidRPr="00F4103C">
              <w:rPr>
                <w:rFonts w:asciiTheme="majorEastAsia" w:hAnsiTheme="majorEastAsia" w:hint="eastAsia"/>
                <w:kern w:val="0"/>
              </w:rPr>
              <w:t>24个16Gb FC接口，满配光纤跳线</w:t>
            </w:r>
            <w:r w:rsidRPr="00C26FAD">
              <w:rPr>
                <w:rFonts w:asciiTheme="majorEastAsia" w:hAnsiTheme="majorEastAsia"/>
                <w:kern w:val="0"/>
              </w:rPr>
              <w:t>30M</w:t>
            </w:r>
            <w:r w:rsidRPr="00C26FAD">
              <w:rPr>
                <w:rFonts w:asciiTheme="majorEastAsia" w:hAnsiTheme="majorEastAsia" w:hint="eastAsia"/>
                <w:kern w:val="0"/>
              </w:rPr>
              <w:t>。</w:t>
            </w:r>
          </w:p>
          <w:p w:rsidR="007C7F17" w:rsidRPr="00F4103C" w:rsidRDefault="007C7F17" w:rsidP="00111A1C">
            <w:pPr>
              <w:spacing w:line="360" w:lineRule="auto"/>
              <w:jc w:val="left"/>
              <w:rPr>
                <w:rFonts w:asciiTheme="majorEastAsia" w:hAnsiTheme="majorEastAsia"/>
                <w:kern w:val="0"/>
              </w:rPr>
            </w:pPr>
            <w:r w:rsidRPr="00F4103C">
              <w:rPr>
                <w:rFonts w:asciiTheme="majorEastAsia" w:hAnsiTheme="majorEastAsia" w:hint="eastAsia"/>
                <w:kern w:val="0"/>
              </w:rPr>
              <w:t>支持16Gb/s、8Gb/s、4Gb/s自适应传输速率，并配置相应附件保证其高可用性。</w:t>
            </w:r>
          </w:p>
          <w:p w:rsidR="007C7F17" w:rsidRPr="00F4103C" w:rsidRDefault="007C7F17" w:rsidP="00111A1C">
            <w:pPr>
              <w:spacing w:line="360" w:lineRule="auto"/>
              <w:jc w:val="left"/>
              <w:rPr>
                <w:rFonts w:asciiTheme="majorEastAsia" w:hAnsiTheme="majorEastAsia"/>
                <w:kern w:val="0"/>
              </w:rPr>
            </w:pPr>
            <w:r w:rsidRPr="00F4103C">
              <w:rPr>
                <w:rFonts w:asciiTheme="majorEastAsia" w:hAnsiTheme="majorEastAsia" w:hint="eastAsia"/>
                <w:kern w:val="0"/>
              </w:rPr>
              <w:t>每台</w:t>
            </w:r>
            <w:r w:rsidRPr="00F4103C">
              <w:rPr>
                <w:rFonts w:asciiTheme="majorEastAsia" w:hAnsiTheme="majorEastAsia"/>
                <w:kern w:val="0"/>
              </w:rPr>
              <w:t>SAN</w:t>
            </w:r>
            <w:r w:rsidRPr="00F4103C">
              <w:rPr>
                <w:rFonts w:asciiTheme="majorEastAsia" w:hAnsiTheme="majorEastAsia" w:hint="eastAsia"/>
                <w:kern w:val="0"/>
              </w:rPr>
              <w:t>交换机配备</w:t>
            </w:r>
            <w:r w:rsidRPr="00F4103C">
              <w:rPr>
                <w:rFonts w:asciiTheme="majorEastAsia" w:hAnsiTheme="majorEastAsia"/>
                <w:kern w:val="0"/>
              </w:rPr>
              <w:t>24</w:t>
            </w:r>
            <w:r w:rsidRPr="00F4103C">
              <w:rPr>
                <w:rFonts w:asciiTheme="majorEastAsia" w:hAnsiTheme="majorEastAsia" w:hint="eastAsia"/>
                <w:kern w:val="0"/>
              </w:rPr>
              <w:t xml:space="preserve">个16Gb/s </w:t>
            </w:r>
            <w:r w:rsidRPr="00F4103C">
              <w:rPr>
                <w:rFonts w:asciiTheme="majorEastAsia" w:hAnsiTheme="majorEastAsia"/>
                <w:kern w:val="0"/>
              </w:rPr>
              <w:t>SFP</w:t>
            </w:r>
            <w:r w:rsidRPr="00F4103C">
              <w:rPr>
                <w:rFonts w:asciiTheme="majorEastAsia" w:hAnsiTheme="majorEastAsia" w:hint="eastAsia"/>
                <w:kern w:val="0"/>
              </w:rPr>
              <w:t>模块</w:t>
            </w:r>
          </w:p>
        </w:tc>
      </w:tr>
      <w:tr w:rsidR="007C7F17" w:rsidRPr="00F4103C" w:rsidTr="00111A1C"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17" w:rsidRPr="00F4103C" w:rsidRDefault="007C7F17" w:rsidP="00111A1C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rFonts w:asciiTheme="majorEastAsia" w:hAnsiTheme="majorEastAsia"/>
              </w:rPr>
            </w:pPr>
            <w:r>
              <w:rPr>
                <w:rFonts w:asciiTheme="majorEastAsia" w:hAnsiTheme="majorEastAsia" w:hint="eastAsia"/>
              </w:rPr>
              <w:t>3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F17" w:rsidRPr="00F4103C" w:rsidRDefault="007C7F17" w:rsidP="00111A1C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rFonts w:asciiTheme="majorEastAsia" w:hAnsiTheme="majorEastAsia"/>
                <w:b/>
              </w:rPr>
            </w:pPr>
            <w:r w:rsidRPr="00F4103C">
              <w:rPr>
                <w:rFonts w:asciiTheme="majorEastAsia" w:hAnsiTheme="majorEastAsia" w:hint="eastAsia"/>
                <w:b/>
              </w:rPr>
              <w:t>协议</w:t>
            </w:r>
          </w:p>
        </w:tc>
        <w:tc>
          <w:tcPr>
            <w:tcW w:w="3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F17" w:rsidRPr="00F4103C" w:rsidRDefault="007C7F17" w:rsidP="00111A1C">
            <w:pPr>
              <w:spacing w:line="360" w:lineRule="auto"/>
              <w:rPr>
                <w:rFonts w:asciiTheme="majorEastAsia" w:hAnsiTheme="majorEastAsia" w:cs="Arial"/>
                <w:kern w:val="0"/>
              </w:rPr>
            </w:pPr>
            <w:r w:rsidRPr="00F4103C">
              <w:rPr>
                <w:rFonts w:asciiTheme="majorEastAsia" w:hAnsiTheme="majorEastAsia" w:hint="eastAsia"/>
                <w:kern w:val="0"/>
              </w:rPr>
              <w:t>支持标准FC协议，支持</w:t>
            </w:r>
            <w:r w:rsidRPr="00F4103C">
              <w:rPr>
                <w:rFonts w:asciiTheme="majorEastAsia" w:hAnsiTheme="majorEastAsia" w:cs="Arial"/>
                <w:kern w:val="0"/>
              </w:rPr>
              <w:t>SSH</w:t>
            </w:r>
            <w:r w:rsidRPr="00F4103C">
              <w:rPr>
                <w:rFonts w:asciiTheme="majorEastAsia" w:hAnsiTheme="majorEastAsia" w:cs="Courier New"/>
                <w:kern w:val="0"/>
              </w:rPr>
              <w:t>、</w:t>
            </w:r>
            <w:r w:rsidRPr="00F4103C">
              <w:rPr>
                <w:rFonts w:asciiTheme="majorEastAsia" w:hAnsiTheme="majorEastAsia" w:cs="Arial"/>
                <w:kern w:val="0"/>
              </w:rPr>
              <w:t>HTTPS</w:t>
            </w:r>
            <w:r w:rsidRPr="00F4103C">
              <w:rPr>
                <w:rFonts w:asciiTheme="majorEastAsia" w:hAnsiTheme="majorEastAsia" w:cs="Courier New"/>
                <w:kern w:val="0"/>
              </w:rPr>
              <w:t>、</w:t>
            </w:r>
            <w:r w:rsidRPr="00F4103C">
              <w:rPr>
                <w:rFonts w:asciiTheme="majorEastAsia" w:hAnsiTheme="majorEastAsia" w:cs="Arial"/>
                <w:kern w:val="0"/>
              </w:rPr>
              <w:t xml:space="preserve">RADIUS </w:t>
            </w:r>
            <w:r w:rsidRPr="00F4103C">
              <w:rPr>
                <w:rFonts w:asciiTheme="majorEastAsia" w:hAnsiTheme="majorEastAsia" w:cs="Arial" w:hint="eastAsia"/>
                <w:kern w:val="0"/>
              </w:rPr>
              <w:t>、SNMP、</w:t>
            </w:r>
          </w:p>
        </w:tc>
      </w:tr>
      <w:tr w:rsidR="007C7F17" w:rsidRPr="00F4103C" w:rsidTr="00111A1C"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17" w:rsidRPr="00F4103C" w:rsidRDefault="007C7F17" w:rsidP="00111A1C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rFonts w:asciiTheme="majorEastAsia" w:hAnsiTheme="majorEastAsia"/>
              </w:rPr>
            </w:pPr>
            <w:r>
              <w:rPr>
                <w:rFonts w:asciiTheme="majorEastAsia" w:hAnsiTheme="majorEastAsia" w:hint="eastAsia"/>
              </w:rPr>
              <w:t>4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F17" w:rsidRPr="00F4103C" w:rsidRDefault="007C7F17" w:rsidP="00111A1C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rFonts w:asciiTheme="majorEastAsia" w:hAnsiTheme="majorEastAsia"/>
                <w:b/>
              </w:rPr>
            </w:pPr>
            <w:r w:rsidRPr="00F4103C">
              <w:rPr>
                <w:rFonts w:asciiTheme="majorEastAsia" w:hAnsiTheme="majorEastAsia" w:hint="eastAsia"/>
                <w:b/>
              </w:rPr>
              <w:t>冗余性</w:t>
            </w:r>
          </w:p>
        </w:tc>
        <w:tc>
          <w:tcPr>
            <w:tcW w:w="3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F17" w:rsidRPr="00F4103C" w:rsidRDefault="007C7F17" w:rsidP="00111A1C">
            <w:pPr>
              <w:spacing w:line="360" w:lineRule="auto"/>
              <w:jc w:val="left"/>
              <w:rPr>
                <w:rFonts w:asciiTheme="majorEastAsia" w:hAnsiTheme="majorEastAsia"/>
                <w:kern w:val="0"/>
              </w:rPr>
            </w:pPr>
            <w:r w:rsidRPr="00F4103C">
              <w:rPr>
                <w:rFonts w:asciiTheme="majorEastAsia" w:hAnsiTheme="majorEastAsia" w:hint="eastAsia"/>
              </w:rPr>
              <w:t>支持</w:t>
            </w:r>
            <w:r w:rsidRPr="00F4103C">
              <w:rPr>
                <w:rFonts w:asciiTheme="majorEastAsia" w:hAnsiTheme="majorEastAsia"/>
              </w:rPr>
              <w:t>集成了系统冷却风扇的双热插拔电源</w:t>
            </w:r>
          </w:p>
        </w:tc>
      </w:tr>
      <w:tr w:rsidR="007C7F17" w:rsidRPr="00F4103C" w:rsidTr="00111A1C"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17" w:rsidRPr="00F4103C" w:rsidRDefault="007C7F17" w:rsidP="00111A1C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rFonts w:asciiTheme="majorEastAsia" w:hAnsiTheme="majorEastAsia"/>
              </w:rPr>
            </w:pPr>
            <w:r>
              <w:rPr>
                <w:rFonts w:asciiTheme="majorEastAsia" w:hAnsiTheme="majorEastAsia" w:hint="eastAsia"/>
              </w:rPr>
              <w:t>5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F17" w:rsidRPr="00F4103C" w:rsidRDefault="007C7F17" w:rsidP="00111A1C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rFonts w:asciiTheme="majorEastAsia" w:hAnsiTheme="majorEastAsia"/>
                <w:b/>
              </w:rPr>
            </w:pPr>
            <w:r w:rsidRPr="00F4103C">
              <w:rPr>
                <w:rFonts w:asciiTheme="majorEastAsia" w:hAnsiTheme="majorEastAsia" w:hint="eastAsia"/>
                <w:b/>
              </w:rPr>
              <w:t>结构服务</w:t>
            </w:r>
          </w:p>
        </w:tc>
        <w:tc>
          <w:tcPr>
            <w:tcW w:w="3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F17" w:rsidRPr="00F4103C" w:rsidRDefault="007C7F17" w:rsidP="00111A1C">
            <w:pPr>
              <w:widowControl/>
              <w:spacing w:line="360" w:lineRule="auto"/>
              <w:jc w:val="left"/>
              <w:rPr>
                <w:rFonts w:asciiTheme="majorEastAsia" w:hAnsiTheme="majorEastAsia"/>
                <w:kern w:val="0"/>
              </w:rPr>
            </w:pPr>
            <w:r w:rsidRPr="00F4103C">
              <w:rPr>
                <w:rFonts w:asciiTheme="majorEastAsia" w:hAnsiTheme="majorEastAsia" w:hint="eastAsia"/>
                <w:kern w:val="0"/>
              </w:rPr>
              <w:t>支持</w:t>
            </w:r>
            <w:r w:rsidRPr="00F4103C">
              <w:rPr>
                <w:rFonts w:asciiTheme="majorEastAsia" w:hAnsiTheme="majorEastAsia"/>
                <w:kern w:val="0"/>
              </w:rPr>
              <w:t>NTP、RADIUS、LDAP、交换机和端口绑定、可靠认可服务(RCS)、高级分区、扩展结构、ISL中继、DPS、高级性能监视</w:t>
            </w:r>
          </w:p>
        </w:tc>
      </w:tr>
      <w:tr w:rsidR="007C7F17" w:rsidRPr="00F4103C" w:rsidTr="00111A1C"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17" w:rsidRPr="00F4103C" w:rsidRDefault="007C7F17" w:rsidP="00111A1C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rFonts w:asciiTheme="majorEastAsia" w:hAnsiTheme="majorEastAsia"/>
              </w:rPr>
            </w:pPr>
            <w:r>
              <w:rPr>
                <w:rFonts w:asciiTheme="majorEastAsia" w:hAnsiTheme="majorEastAsia" w:hint="eastAsia"/>
              </w:rPr>
              <w:t>6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F17" w:rsidRPr="00F4103C" w:rsidRDefault="007C7F17" w:rsidP="00111A1C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rFonts w:asciiTheme="majorEastAsia" w:hAnsiTheme="majorEastAsia"/>
                <w:b/>
              </w:rPr>
            </w:pPr>
            <w:r w:rsidRPr="00F4103C">
              <w:rPr>
                <w:rFonts w:asciiTheme="majorEastAsia" w:hAnsiTheme="majorEastAsia" w:hint="eastAsia"/>
                <w:b/>
              </w:rPr>
              <w:t>管理功能</w:t>
            </w:r>
          </w:p>
        </w:tc>
        <w:tc>
          <w:tcPr>
            <w:tcW w:w="3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F17" w:rsidRPr="00F4103C" w:rsidRDefault="007C7F17" w:rsidP="00111A1C">
            <w:pPr>
              <w:numPr>
                <w:ilvl w:val="12"/>
                <w:numId w:val="0"/>
              </w:numPr>
              <w:spacing w:line="360" w:lineRule="auto"/>
              <w:jc w:val="left"/>
              <w:rPr>
                <w:rFonts w:asciiTheme="majorEastAsia" w:hAnsiTheme="majorEastAsia"/>
              </w:rPr>
            </w:pPr>
            <w:r w:rsidRPr="00F4103C">
              <w:rPr>
                <w:rFonts w:asciiTheme="majorEastAsia" w:hAnsiTheme="majorEastAsia" w:hint="eastAsia"/>
              </w:rPr>
              <w:t>提供</w:t>
            </w:r>
            <w:r w:rsidRPr="00F4103C">
              <w:rPr>
                <w:rFonts w:asciiTheme="majorEastAsia" w:hAnsiTheme="majorEastAsia"/>
              </w:rPr>
              <w:t>SAN</w:t>
            </w:r>
            <w:r w:rsidRPr="00F4103C">
              <w:rPr>
                <w:rFonts w:asciiTheme="majorEastAsia" w:hAnsiTheme="majorEastAsia" w:hint="eastAsia"/>
              </w:rPr>
              <w:t>交换机管理软件；</w:t>
            </w:r>
            <w:r w:rsidRPr="00F4103C">
              <w:rPr>
                <w:rFonts w:asciiTheme="majorEastAsia" w:hAnsiTheme="majorEastAsia"/>
                <w:kern w:val="0"/>
              </w:rPr>
              <w:t>高级WEB TOOLS</w:t>
            </w:r>
            <w:r w:rsidRPr="00F4103C">
              <w:rPr>
                <w:rFonts w:asciiTheme="majorEastAsia" w:hAnsiTheme="majorEastAsia" w:hint="eastAsia"/>
              </w:rPr>
              <w:t>；支持</w:t>
            </w:r>
            <w:r w:rsidRPr="00F4103C">
              <w:rPr>
                <w:rFonts w:asciiTheme="majorEastAsia" w:hAnsiTheme="majorEastAsia"/>
              </w:rPr>
              <w:t>QoS</w:t>
            </w:r>
            <w:r w:rsidRPr="00F4103C">
              <w:rPr>
                <w:rFonts w:asciiTheme="majorEastAsia" w:hAnsiTheme="majorEastAsia"/>
                <w:kern w:val="0"/>
              </w:rPr>
              <w:t>自适应网络服务</w:t>
            </w:r>
            <w:r w:rsidRPr="00F4103C">
              <w:rPr>
                <w:rFonts w:asciiTheme="majorEastAsia" w:hAnsiTheme="majorEastAsia" w:hint="eastAsia"/>
              </w:rPr>
              <w:t>功能；</w:t>
            </w:r>
          </w:p>
        </w:tc>
      </w:tr>
      <w:tr w:rsidR="007C7F17" w:rsidRPr="00F4103C" w:rsidTr="00111A1C"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17" w:rsidRPr="00F4103C" w:rsidRDefault="007C7F17" w:rsidP="00111A1C">
            <w:pPr>
              <w:numPr>
                <w:ilvl w:val="12"/>
                <w:numId w:val="0"/>
              </w:numPr>
              <w:spacing w:line="360" w:lineRule="auto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17" w:rsidRPr="002A79F5" w:rsidRDefault="007C7F17" w:rsidP="00111A1C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rFonts w:asciiTheme="majorEastAsia" w:hAnsiTheme="majorEastAsia"/>
                <w:b/>
              </w:rPr>
            </w:pPr>
            <w:r w:rsidRPr="002A79F5">
              <w:rPr>
                <w:rFonts w:hint="eastAsia"/>
                <w:b/>
              </w:rPr>
              <w:t>★授权</w:t>
            </w:r>
            <w:r w:rsidRPr="002A79F5">
              <w:rPr>
                <w:b/>
              </w:rPr>
              <w:t>许可</w:t>
            </w:r>
          </w:p>
        </w:tc>
        <w:tc>
          <w:tcPr>
            <w:tcW w:w="3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17" w:rsidRPr="00F4103C" w:rsidRDefault="007C7F17" w:rsidP="00111A1C">
            <w:pPr>
              <w:numPr>
                <w:ilvl w:val="12"/>
                <w:numId w:val="0"/>
              </w:numPr>
              <w:spacing w:line="360" w:lineRule="auto"/>
              <w:jc w:val="left"/>
              <w:rPr>
                <w:rFonts w:asciiTheme="majorEastAsia" w:hAnsiTheme="majorEastAsia"/>
              </w:rPr>
            </w:pPr>
            <w:r w:rsidRPr="00F4103C">
              <w:rPr>
                <w:rFonts w:hint="eastAsia"/>
              </w:rPr>
              <w:t>全功能</w:t>
            </w:r>
            <w:r w:rsidRPr="00F4103C">
              <w:rPr>
                <w:rFonts w:hint="eastAsia"/>
              </w:rPr>
              <w:t>License</w:t>
            </w:r>
            <w:r w:rsidRPr="00F4103C">
              <w:rPr>
                <w:rFonts w:hint="eastAsia"/>
              </w:rPr>
              <w:t>：</w:t>
            </w:r>
            <w:r w:rsidRPr="00F4103C">
              <w:rPr>
                <w:rFonts w:asciiTheme="majorEastAsia" w:hAnsiTheme="majorEastAsia" w:hint="eastAsia"/>
              </w:rPr>
              <w:t>24端口全激活，配备级联许可</w:t>
            </w:r>
          </w:p>
        </w:tc>
      </w:tr>
      <w:tr w:rsidR="007C7F17" w:rsidRPr="00F4103C" w:rsidTr="00111A1C">
        <w:trPr>
          <w:trHeight w:val="6648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17" w:rsidRPr="00F4103C" w:rsidRDefault="007C7F17" w:rsidP="00111A1C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rFonts w:asciiTheme="minorEastAsia" w:hAnsiTheme="minorEastAsia" w:cs="Arial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8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C7F17" w:rsidRPr="002A79F5" w:rsidRDefault="007C7F17" w:rsidP="00111A1C">
            <w:pPr>
              <w:spacing w:line="360" w:lineRule="auto"/>
              <w:jc w:val="left"/>
              <w:rPr>
                <w:rFonts w:ascii="宋体" w:hAnsi="宋体" w:cs="Calibri"/>
                <w:b/>
                <w:szCs w:val="21"/>
              </w:rPr>
            </w:pPr>
            <w:r w:rsidRPr="002A79F5">
              <w:rPr>
                <w:rFonts w:ascii="宋体" w:hAnsi="宋体" w:cs="Calibri" w:hint="eastAsia"/>
                <w:b/>
                <w:szCs w:val="21"/>
              </w:rPr>
              <w:t>★维</w:t>
            </w:r>
            <w:r w:rsidRPr="002A79F5">
              <w:rPr>
                <w:rFonts w:ascii="宋体" w:hAnsi="宋体" w:cs="Calibri"/>
                <w:b/>
                <w:szCs w:val="21"/>
              </w:rPr>
              <w:t>保</w:t>
            </w:r>
            <w:r w:rsidRPr="002A79F5">
              <w:rPr>
                <w:rFonts w:ascii="宋体" w:hAnsi="宋体" w:cs="Calibri" w:hint="eastAsia"/>
                <w:b/>
                <w:szCs w:val="21"/>
              </w:rPr>
              <w:t>服务要求</w:t>
            </w:r>
          </w:p>
        </w:tc>
        <w:tc>
          <w:tcPr>
            <w:tcW w:w="3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7C7F17" w:rsidRPr="00C26FAD" w:rsidRDefault="007C7F17" w:rsidP="00111A1C">
            <w:pPr>
              <w:pStyle w:val="a6"/>
              <w:numPr>
                <w:ilvl w:val="0"/>
                <w:numId w:val="2"/>
              </w:numPr>
              <w:spacing w:line="360" w:lineRule="auto"/>
              <w:ind w:firstLineChars="0"/>
              <w:jc w:val="left"/>
              <w:rPr>
                <w:rFonts w:ascii="宋体" w:hAnsi="宋体" w:cs="Calibri"/>
                <w:szCs w:val="21"/>
              </w:rPr>
            </w:pPr>
            <w:r w:rsidRPr="00C26FAD">
              <w:rPr>
                <w:rFonts w:ascii="宋体" w:hAnsi="宋体" w:cs="Calibri" w:hint="eastAsia"/>
                <w:szCs w:val="21"/>
              </w:rPr>
              <w:t>承诺原</w:t>
            </w:r>
            <w:r w:rsidRPr="00C26FAD">
              <w:rPr>
                <w:rFonts w:ascii="宋体" w:hAnsi="宋体" w:cs="Calibri"/>
                <w:szCs w:val="21"/>
              </w:rPr>
              <w:t>厂整机</w:t>
            </w:r>
            <w:r w:rsidRPr="00C26FAD">
              <w:rPr>
                <w:rFonts w:ascii="宋体" w:hAnsi="宋体" w:cs="Calibri" w:hint="eastAsia"/>
                <w:szCs w:val="21"/>
              </w:rPr>
              <w:t>硬件</w:t>
            </w:r>
            <w:r w:rsidRPr="00C26FAD">
              <w:rPr>
                <w:rFonts w:ascii="宋体" w:hAnsi="宋体" w:cs="Calibri"/>
                <w:szCs w:val="21"/>
              </w:rPr>
              <w:t>和软件维护服务期</w:t>
            </w:r>
            <w:r w:rsidRPr="00C26FAD">
              <w:rPr>
                <w:rFonts w:ascii="宋体" w:hAnsi="宋体" w:cs="Calibri" w:hint="eastAsia"/>
                <w:szCs w:val="21"/>
              </w:rPr>
              <w:t>3</w:t>
            </w:r>
            <w:r w:rsidRPr="00C26FAD">
              <w:rPr>
                <w:rFonts w:ascii="宋体" w:hAnsi="宋体" w:cs="Calibri"/>
                <w:szCs w:val="21"/>
              </w:rPr>
              <w:t>年，承诺提供7×24小时技术支持，对突发故障，提供7×24×2小时</w:t>
            </w:r>
            <w:r w:rsidRPr="00C26FAD">
              <w:rPr>
                <w:rFonts w:ascii="宋体" w:hAnsi="宋体" w:cs="Calibri" w:hint="eastAsia"/>
                <w:szCs w:val="21"/>
              </w:rPr>
              <w:t>免费</w:t>
            </w:r>
            <w:r w:rsidRPr="00C26FAD">
              <w:rPr>
                <w:rFonts w:ascii="宋体" w:hAnsi="宋体" w:cs="Calibri"/>
                <w:szCs w:val="21"/>
              </w:rPr>
              <w:t>保修上门服务</w:t>
            </w:r>
            <w:r w:rsidRPr="00C26FAD">
              <w:rPr>
                <w:rFonts w:ascii="宋体" w:hAnsi="宋体" w:cs="Calibri" w:hint="eastAsia"/>
                <w:szCs w:val="21"/>
              </w:rPr>
              <w:t>，包括硬件保修电话支持、现场支持、软件升级；</w:t>
            </w:r>
          </w:p>
          <w:p w:rsidR="007C7F17" w:rsidRPr="00552803" w:rsidRDefault="007C7F17" w:rsidP="00111A1C">
            <w:pPr>
              <w:pStyle w:val="a6"/>
              <w:numPr>
                <w:ilvl w:val="0"/>
                <w:numId w:val="2"/>
              </w:numPr>
              <w:spacing w:line="360" w:lineRule="auto"/>
              <w:ind w:firstLineChars="0"/>
              <w:jc w:val="left"/>
              <w:rPr>
                <w:rFonts w:ascii="宋体" w:hAnsi="宋体" w:cs="Calibri"/>
                <w:szCs w:val="21"/>
              </w:rPr>
            </w:pPr>
            <w:r w:rsidRPr="00C26FAD">
              <w:rPr>
                <w:rFonts w:ascii="宋体" w:hAnsi="宋体" w:cs="Calibri" w:hint="eastAsia"/>
                <w:szCs w:val="21"/>
              </w:rPr>
              <w:t>定期巡检并协助用户做设备维护；每季度一次深度巡检服务，一年不少于4</w:t>
            </w:r>
            <w:r>
              <w:rPr>
                <w:rFonts w:ascii="宋体" w:hAnsi="宋体" w:cs="Calibri" w:hint="eastAsia"/>
                <w:szCs w:val="21"/>
              </w:rPr>
              <w:t>次巡检；</w:t>
            </w:r>
          </w:p>
          <w:p w:rsidR="007C7F17" w:rsidRPr="00C26FAD" w:rsidRDefault="007C7F17" w:rsidP="00111A1C">
            <w:pPr>
              <w:pStyle w:val="a6"/>
              <w:numPr>
                <w:ilvl w:val="0"/>
                <w:numId w:val="2"/>
              </w:numPr>
              <w:spacing w:line="360" w:lineRule="auto"/>
              <w:ind w:firstLineChars="0"/>
              <w:jc w:val="left"/>
              <w:rPr>
                <w:rFonts w:ascii="宋体" w:hAnsi="宋体" w:cs="Calibri"/>
                <w:szCs w:val="21"/>
              </w:rPr>
            </w:pPr>
            <w:r w:rsidRPr="00C26FAD">
              <w:rPr>
                <w:rFonts w:ascii="宋体" w:hAnsi="宋体" w:cs="Calibri" w:hint="eastAsia"/>
                <w:szCs w:val="21"/>
              </w:rPr>
              <w:t>系统软件故障维修、系统升级、系统配置变更、系统联调保障。</w:t>
            </w:r>
          </w:p>
          <w:p w:rsidR="007C7F17" w:rsidRPr="00C26FAD" w:rsidRDefault="007C7F17" w:rsidP="00111A1C">
            <w:pPr>
              <w:pStyle w:val="a6"/>
              <w:numPr>
                <w:ilvl w:val="0"/>
                <w:numId w:val="2"/>
              </w:numPr>
              <w:spacing w:line="360" w:lineRule="auto"/>
              <w:ind w:firstLineChars="0"/>
              <w:jc w:val="left"/>
              <w:rPr>
                <w:rFonts w:ascii="宋体" w:hAnsi="宋体" w:cs="Calibri"/>
                <w:szCs w:val="21"/>
              </w:rPr>
            </w:pPr>
            <w:r w:rsidRPr="00C26FAD">
              <w:rPr>
                <w:rFonts w:ascii="宋体" w:hAnsi="宋体" w:cs="Calibri" w:hint="eastAsia"/>
                <w:szCs w:val="21"/>
              </w:rPr>
              <w:t>提供配件</w:t>
            </w:r>
            <w:r w:rsidRPr="00C26FAD">
              <w:rPr>
                <w:rFonts w:ascii="宋体" w:hAnsi="宋体" w:cs="Calibri"/>
                <w:szCs w:val="21"/>
              </w:rPr>
              <w:t>及维修服务</w:t>
            </w:r>
            <w:r w:rsidRPr="00C26FAD">
              <w:rPr>
                <w:rFonts w:ascii="宋体" w:hAnsi="宋体" w:cs="Calibri" w:hint="eastAsia"/>
                <w:szCs w:val="21"/>
              </w:rPr>
              <w:t>：硬件故障维修，更换损坏部件，</w:t>
            </w:r>
            <w:r w:rsidRPr="00C26FAD">
              <w:rPr>
                <w:rFonts w:ascii="宋体" w:hAnsi="宋体" w:cs="Calibri"/>
                <w:szCs w:val="21"/>
              </w:rPr>
              <w:t>提供的部件</w:t>
            </w:r>
            <w:r w:rsidRPr="00C26FAD">
              <w:rPr>
                <w:rFonts w:ascii="宋体" w:hAnsi="宋体" w:cs="Calibri" w:hint="eastAsia"/>
                <w:szCs w:val="21"/>
              </w:rPr>
              <w:t>须</w:t>
            </w:r>
            <w:r>
              <w:rPr>
                <w:rFonts w:ascii="宋体" w:hAnsi="宋体" w:cs="Calibri"/>
                <w:szCs w:val="21"/>
              </w:rPr>
              <w:t>为原厂部件</w:t>
            </w:r>
            <w:r>
              <w:rPr>
                <w:rFonts w:ascii="宋体" w:hAnsi="宋体" w:cs="Calibri" w:hint="eastAsia"/>
                <w:szCs w:val="21"/>
              </w:rPr>
              <w:t>；</w:t>
            </w:r>
          </w:p>
          <w:p w:rsidR="007C7F17" w:rsidRPr="00C26FAD" w:rsidRDefault="007C7F17" w:rsidP="00111A1C">
            <w:pPr>
              <w:pStyle w:val="a6"/>
              <w:numPr>
                <w:ilvl w:val="0"/>
                <w:numId w:val="2"/>
              </w:numPr>
              <w:spacing w:line="360" w:lineRule="auto"/>
              <w:ind w:firstLineChars="0"/>
              <w:jc w:val="left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cs="Calibri" w:hint="eastAsia"/>
                <w:szCs w:val="21"/>
              </w:rPr>
              <w:t>承诺</w:t>
            </w:r>
            <w:r w:rsidRPr="00C26FAD">
              <w:rPr>
                <w:rFonts w:ascii="宋体" w:hAnsi="宋体" w:cs="Calibri"/>
                <w:szCs w:val="21"/>
              </w:rPr>
              <w:t>提供</w:t>
            </w:r>
            <w:r>
              <w:rPr>
                <w:rFonts w:ascii="宋体" w:hAnsi="宋体" w:cs="Calibri" w:hint="eastAsia"/>
                <w:szCs w:val="21"/>
              </w:rPr>
              <w:t>交换机</w:t>
            </w:r>
            <w:r w:rsidRPr="00C26FAD">
              <w:rPr>
                <w:rFonts w:ascii="宋体" w:hAnsi="宋体" w:cs="Calibri"/>
                <w:szCs w:val="21"/>
              </w:rPr>
              <w:t>扩容安装服务，</w:t>
            </w:r>
            <w:r>
              <w:rPr>
                <w:rFonts w:ascii="宋体" w:hAnsi="宋体" w:cs="Calibri" w:hint="eastAsia"/>
                <w:szCs w:val="21"/>
              </w:rPr>
              <w:t>并根据要求配置交换机，</w:t>
            </w:r>
            <w:r w:rsidRPr="00C26FAD">
              <w:rPr>
                <w:rFonts w:ascii="宋体" w:hAnsi="宋体" w:cs="Calibri"/>
                <w:szCs w:val="21"/>
              </w:rPr>
              <w:t xml:space="preserve">不少于20个工作人天； </w:t>
            </w:r>
          </w:p>
          <w:p w:rsidR="007C7F17" w:rsidRPr="00C26FAD" w:rsidRDefault="007C7F17" w:rsidP="00111A1C">
            <w:pPr>
              <w:pStyle w:val="a6"/>
              <w:numPr>
                <w:ilvl w:val="0"/>
                <w:numId w:val="2"/>
              </w:numPr>
              <w:spacing w:line="360" w:lineRule="auto"/>
              <w:ind w:firstLineChars="0"/>
              <w:jc w:val="left"/>
              <w:rPr>
                <w:rFonts w:ascii="宋体" w:hAnsi="宋体" w:cs="Calibri"/>
                <w:szCs w:val="21"/>
              </w:rPr>
            </w:pPr>
            <w:r w:rsidRPr="00F4103C">
              <w:rPr>
                <w:rFonts w:ascii="宋体" w:hAnsi="宋体" w:cs="Calibri" w:hint="eastAsia"/>
                <w:szCs w:val="21"/>
              </w:rPr>
              <w:t>提供</w:t>
            </w:r>
            <w:r w:rsidRPr="00C26FAD">
              <w:rPr>
                <w:rFonts w:ascii="宋体" w:hAnsi="宋体" w:cs="Calibri" w:hint="eastAsia"/>
                <w:szCs w:val="21"/>
              </w:rPr>
              <w:t>所涉及产品原厂商针对本项目专项授权和原厂盖章的</w:t>
            </w:r>
            <w:r>
              <w:rPr>
                <w:rFonts w:ascii="宋体" w:hAnsi="宋体" w:cs="Calibri" w:hint="eastAsia"/>
                <w:szCs w:val="21"/>
              </w:rPr>
              <w:t>售后服务承诺函；</w:t>
            </w:r>
          </w:p>
          <w:p w:rsidR="007C7F17" w:rsidRPr="00C26FAD" w:rsidRDefault="007C7F17" w:rsidP="00111A1C">
            <w:pPr>
              <w:pStyle w:val="a6"/>
              <w:numPr>
                <w:ilvl w:val="0"/>
                <w:numId w:val="2"/>
              </w:numPr>
              <w:spacing w:line="360" w:lineRule="auto"/>
              <w:ind w:firstLineChars="0"/>
              <w:jc w:val="left"/>
              <w:rPr>
                <w:rFonts w:ascii="宋体" w:hAnsi="宋体" w:cs="Calibri"/>
                <w:szCs w:val="21"/>
              </w:rPr>
            </w:pPr>
            <w:r w:rsidRPr="00C26FAD">
              <w:rPr>
                <w:rFonts w:ascii="宋体" w:hAnsi="宋体" w:cs="Calibri" w:hint="eastAsia"/>
                <w:szCs w:val="21"/>
              </w:rPr>
              <w:t>承诺所提供设备与学校现有光纤交换机存储兼容，并提供相关证明材料</w:t>
            </w:r>
            <w:r>
              <w:rPr>
                <w:rFonts w:ascii="宋体" w:hAnsi="宋体" w:cs="Calibri" w:hint="eastAsia"/>
                <w:szCs w:val="21"/>
              </w:rPr>
              <w:t>。</w:t>
            </w:r>
            <w:r w:rsidR="00062AD4">
              <w:rPr>
                <w:rFonts w:ascii="宋体" w:hAnsi="宋体" w:cs="Calibri" w:hint="eastAsia"/>
                <w:szCs w:val="21"/>
              </w:rPr>
              <w:t>（补充：现有存储交换机型号</w:t>
            </w:r>
            <w:r w:rsidR="006732CC">
              <w:rPr>
                <w:rFonts w:ascii="宋体" w:hAnsi="宋体" w:cs="Calibri" w:hint="eastAsia"/>
                <w:szCs w:val="21"/>
              </w:rPr>
              <w:t>有</w:t>
            </w:r>
            <w:r w:rsidR="00062AD4" w:rsidRPr="00062AD4">
              <w:rPr>
                <w:rFonts w:ascii="宋体" w:hAnsi="宋体" w:cs="Calibri"/>
                <w:szCs w:val="21"/>
              </w:rPr>
              <w:t>EMC DS-300B</w:t>
            </w:r>
            <w:r w:rsidR="00062AD4">
              <w:rPr>
                <w:rFonts w:ascii="宋体" w:hAnsi="宋体" w:cs="Calibri" w:hint="eastAsia"/>
                <w:szCs w:val="21"/>
              </w:rPr>
              <w:t>、</w:t>
            </w:r>
            <w:r w:rsidR="008F0B7D" w:rsidRPr="008F0B7D">
              <w:rPr>
                <w:rFonts w:ascii="宋体" w:hAnsi="宋体" w:cs="Calibri"/>
                <w:szCs w:val="21"/>
              </w:rPr>
              <w:t>EMC DS6505B</w:t>
            </w:r>
            <w:r w:rsidR="008F0B7D">
              <w:rPr>
                <w:rFonts w:ascii="宋体" w:hAnsi="宋体" w:cs="Calibri" w:hint="eastAsia"/>
                <w:szCs w:val="21"/>
              </w:rPr>
              <w:t>、</w:t>
            </w:r>
            <w:r w:rsidR="008F0B7D" w:rsidRPr="008F0B7D">
              <w:rPr>
                <w:rFonts w:ascii="宋体" w:hAnsi="宋体" w:cs="Calibri" w:hint="eastAsia"/>
                <w:szCs w:val="21"/>
              </w:rPr>
              <w:t>博科BR-360-0008</w:t>
            </w:r>
            <w:r w:rsidR="00062AD4">
              <w:rPr>
                <w:rFonts w:ascii="宋体" w:hAnsi="宋体" w:cs="Calibri" w:hint="eastAsia"/>
                <w:szCs w:val="21"/>
              </w:rPr>
              <w:t>）</w:t>
            </w:r>
          </w:p>
        </w:tc>
      </w:tr>
    </w:tbl>
    <w:p w:rsidR="006B6397" w:rsidRPr="006B6397" w:rsidRDefault="006B6397" w:rsidP="00111A1C">
      <w:pPr>
        <w:spacing w:line="360" w:lineRule="auto"/>
      </w:pPr>
    </w:p>
    <w:sectPr w:rsidR="006B6397" w:rsidRPr="006B6397" w:rsidSect="00111A1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77B3" w:rsidRDefault="002977B3" w:rsidP="002C30EA">
      <w:r>
        <w:separator/>
      </w:r>
    </w:p>
  </w:endnote>
  <w:endnote w:type="continuationSeparator" w:id="1">
    <w:p w:rsidR="002977B3" w:rsidRDefault="002977B3" w:rsidP="002C30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77B3" w:rsidRDefault="002977B3" w:rsidP="002C30EA">
      <w:r>
        <w:separator/>
      </w:r>
    </w:p>
  </w:footnote>
  <w:footnote w:type="continuationSeparator" w:id="1">
    <w:p w:rsidR="002977B3" w:rsidRDefault="002977B3" w:rsidP="002C30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BD3364"/>
    <w:multiLevelType w:val="hybridMultilevel"/>
    <w:tmpl w:val="7406A3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A024D9E"/>
    <w:multiLevelType w:val="hybridMultilevel"/>
    <w:tmpl w:val="74B4887A"/>
    <w:lvl w:ilvl="0" w:tplc="08F2A4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30EA"/>
    <w:rsid w:val="00062AD4"/>
    <w:rsid w:val="000A64F5"/>
    <w:rsid w:val="00111A1C"/>
    <w:rsid w:val="001312DC"/>
    <w:rsid w:val="00176F82"/>
    <w:rsid w:val="001B5DC4"/>
    <w:rsid w:val="001E1E58"/>
    <w:rsid w:val="00240BF5"/>
    <w:rsid w:val="00250E8A"/>
    <w:rsid w:val="002629AB"/>
    <w:rsid w:val="00276AFC"/>
    <w:rsid w:val="002977B3"/>
    <w:rsid w:val="002A79F5"/>
    <w:rsid w:val="002C30EA"/>
    <w:rsid w:val="002C7FE6"/>
    <w:rsid w:val="0034737D"/>
    <w:rsid w:val="003D667F"/>
    <w:rsid w:val="00536D1B"/>
    <w:rsid w:val="00552803"/>
    <w:rsid w:val="006732CC"/>
    <w:rsid w:val="006B6397"/>
    <w:rsid w:val="006E662B"/>
    <w:rsid w:val="007275A4"/>
    <w:rsid w:val="00750375"/>
    <w:rsid w:val="007C7F17"/>
    <w:rsid w:val="007D067C"/>
    <w:rsid w:val="007E57E7"/>
    <w:rsid w:val="008F0B7D"/>
    <w:rsid w:val="009A2943"/>
    <w:rsid w:val="00A610CF"/>
    <w:rsid w:val="00A67E20"/>
    <w:rsid w:val="00AE03C8"/>
    <w:rsid w:val="00C032B9"/>
    <w:rsid w:val="00C26FAD"/>
    <w:rsid w:val="00C92584"/>
    <w:rsid w:val="00CF7B39"/>
    <w:rsid w:val="00D3458E"/>
    <w:rsid w:val="00D80189"/>
    <w:rsid w:val="00DF6A98"/>
    <w:rsid w:val="00E05622"/>
    <w:rsid w:val="00EA1051"/>
    <w:rsid w:val="00EA200D"/>
    <w:rsid w:val="00F0372B"/>
    <w:rsid w:val="00FA7A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0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30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C30E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C30E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C30EA"/>
    <w:rPr>
      <w:sz w:val="18"/>
      <w:szCs w:val="18"/>
    </w:rPr>
  </w:style>
  <w:style w:type="paragraph" w:styleId="a5">
    <w:name w:val="Document Map"/>
    <w:basedOn w:val="a"/>
    <w:link w:val="Char1"/>
    <w:uiPriority w:val="99"/>
    <w:semiHidden/>
    <w:unhideWhenUsed/>
    <w:rsid w:val="00240BF5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5"/>
    <w:uiPriority w:val="99"/>
    <w:semiHidden/>
    <w:rsid w:val="00240BF5"/>
    <w:rPr>
      <w:rFonts w:ascii="宋体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6B6397"/>
    <w:pPr>
      <w:ind w:firstLineChars="200" w:firstLine="420"/>
    </w:pPr>
  </w:style>
  <w:style w:type="paragraph" w:styleId="a7">
    <w:name w:val="Balloon Text"/>
    <w:basedOn w:val="a"/>
    <w:link w:val="Char2"/>
    <w:uiPriority w:val="99"/>
    <w:semiHidden/>
    <w:unhideWhenUsed/>
    <w:rsid w:val="00111A1C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111A1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108</Words>
  <Characters>616</Characters>
  <Application>Microsoft Office Word</Application>
  <DocSecurity>0</DocSecurity>
  <Lines>5</Lines>
  <Paragraphs>1</Paragraphs>
  <ScaleCrop>false</ScaleCrop>
  <Company>china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仲杰</cp:lastModifiedBy>
  <cp:revision>27</cp:revision>
  <dcterms:created xsi:type="dcterms:W3CDTF">2020-09-28T02:37:00Z</dcterms:created>
  <dcterms:modified xsi:type="dcterms:W3CDTF">2020-10-13T04:39:00Z</dcterms:modified>
</cp:coreProperties>
</file>