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2D282B">
      <w:pPr>
        <w:jc w:val="center"/>
        <w:rPr>
          <w:rFonts w:hint="eastAsia" w:ascii="方正兰亭黑简体" w:hAnsi="方正兰亭黑简体" w:eastAsia="方正兰亭黑简体" w:cs="方正兰亭黑简体"/>
          <w:b/>
          <w:bCs/>
          <w:color w:val="auto"/>
          <w:sz w:val="28"/>
          <w:szCs w:val="36"/>
          <w:highlight w:val="none"/>
        </w:rPr>
      </w:pPr>
    </w:p>
    <w:p w14:paraId="006AC946">
      <w:pPr>
        <w:jc w:val="center"/>
        <w:rPr>
          <w:rFonts w:hint="eastAsia" w:ascii="方正兰亭黑简体" w:hAnsi="方正兰亭黑简体" w:eastAsia="方正兰亭黑简体" w:cs="方正兰亭黑简体"/>
          <w:b/>
          <w:bCs/>
          <w:color w:val="auto"/>
          <w:sz w:val="28"/>
          <w:szCs w:val="36"/>
          <w:highlight w:val="none"/>
        </w:rPr>
      </w:pPr>
    </w:p>
    <w:p w14:paraId="1BB83921">
      <w:pPr>
        <w:jc w:val="center"/>
        <w:rPr>
          <w:rFonts w:hint="eastAsia" w:ascii="方正兰亭黑简体" w:hAnsi="方正兰亭黑简体" w:eastAsia="方正兰亭黑简体" w:cs="方正兰亭黑简体"/>
          <w:b/>
          <w:bCs/>
          <w:color w:val="auto"/>
          <w:sz w:val="28"/>
          <w:szCs w:val="36"/>
          <w:highlight w:val="none"/>
        </w:rPr>
      </w:pPr>
    </w:p>
    <w:p w14:paraId="05747166">
      <w:pPr>
        <w:jc w:val="center"/>
        <w:rPr>
          <w:rFonts w:hint="eastAsia" w:ascii="方正兰亭黑简体" w:hAnsi="方正兰亭黑简体" w:eastAsia="方正兰亭黑简体" w:cs="方正兰亭黑简体"/>
          <w:b/>
          <w:bCs/>
          <w:color w:val="auto"/>
          <w:sz w:val="28"/>
          <w:szCs w:val="28"/>
          <w:highlight w:val="none"/>
          <w:lang w:eastAsia="zh-CN"/>
        </w:rPr>
      </w:pPr>
      <w:r>
        <w:rPr>
          <w:rFonts w:hint="eastAsia" w:ascii="方正兰亭黑简体" w:hAnsi="方正兰亭黑简体" w:eastAsia="方正兰亭黑简体" w:cs="方正兰亭黑简体"/>
          <w:b/>
          <w:bCs/>
          <w:color w:val="auto"/>
          <w:sz w:val="28"/>
          <w:szCs w:val="28"/>
          <w:highlight w:val="none"/>
          <w:lang w:eastAsia="zh-CN"/>
        </w:rPr>
        <w:t>温度效应和冰载荷联合作用下结构极限承载能力数值预报技术开发研究服务</w:t>
      </w:r>
    </w:p>
    <w:p w14:paraId="5F2EFCD4">
      <w:pPr>
        <w:jc w:val="center"/>
        <w:rPr>
          <w:rFonts w:hint="eastAsia" w:ascii="方正兰亭黑简体" w:hAnsi="方正兰亭黑简体" w:eastAsia="方正兰亭黑简体" w:cs="方正兰亭黑简体"/>
          <w:b/>
          <w:bCs/>
          <w:color w:val="auto"/>
          <w:sz w:val="28"/>
          <w:szCs w:val="28"/>
          <w:highlight w:val="none"/>
        </w:rPr>
      </w:pPr>
      <w:r>
        <w:rPr>
          <w:rFonts w:hint="eastAsia" w:ascii="方正兰亭黑简体" w:hAnsi="方正兰亭黑简体" w:eastAsia="方正兰亭黑简体" w:cs="方正兰亭黑简体"/>
          <w:b/>
          <w:bCs/>
          <w:color w:val="auto"/>
          <w:sz w:val="28"/>
          <w:szCs w:val="28"/>
          <w:highlight w:val="none"/>
        </w:rPr>
        <w:t>比选文件</w:t>
      </w:r>
    </w:p>
    <w:p w14:paraId="28A63E00">
      <w:pPr>
        <w:jc w:val="center"/>
        <w:rPr>
          <w:rFonts w:hint="eastAsia" w:ascii="方正兰亭黑简体" w:hAnsi="方正兰亭黑简体" w:eastAsia="方正兰亭黑简体" w:cs="方正兰亭黑简体"/>
          <w:b/>
          <w:bCs/>
          <w:color w:val="auto"/>
          <w:sz w:val="28"/>
          <w:szCs w:val="28"/>
          <w:highlight w:val="none"/>
        </w:rPr>
      </w:pPr>
    </w:p>
    <w:p w14:paraId="0CA5543B">
      <w:pPr>
        <w:jc w:val="center"/>
        <w:rPr>
          <w:rFonts w:hint="eastAsia" w:ascii="方正兰亭黑简体" w:hAnsi="方正兰亭黑简体" w:eastAsia="方正兰亭黑简体" w:cs="方正兰亭黑简体"/>
          <w:b/>
          <w:bCs/>
          <w:color w:val="auto"/>
          <w:sz w:val="28"/>
          <w:szCs w:val="28"/>
          <w:highlight w:val="none"/>
        </w:rPr>
      </w:pPr>
    </w:p>
    <w:p w14:paraId="3D9D00D3">
      <w:pPr>
        <w:jc w:val="center"/>
        <w:rPr>
          <w:rFonts w:hint="eastAsia" w:ascii="方正兰亭黑简体" w:hAnsi="方正兰亭黑简体" w:eastAsia="方正兰亭黑简体" w:cs="方正兰亭黑简体"/>
          <w:b/>
          <w:bCs/>
          <w:color w:val="auto"/>
          <w:sz w:val="28"/>
          <w:szCs w:val="28"/>
          <w:highlight w:val="none"/>
          <w:lang w:eastAsia="zh-CN"/>
        </w:rPr>
      </w:pPr>
      <w:r>
        <w:rPr>
          <w:rFonts w:hint="eastAsia" w:ascii="方正兰亭黑简体" w:hAnsi="方正兰亭黑简体" w:eastAsia="方正兰亭黑简体" w:cs="方正兰亭黑简体"/>
          <w:b/>
          <w:bCs/>
          <w:color w:val="auto"/>
          <w:sz w:val="28"/>
          <w:szCs w:val="28"/>
          <w:highlight w:val="none"/>
        </w:rPr>
        <w:t>项目编号：</w:t>
      </w:r>
      <w:r>
        <w:rPr>
          <w:rFonts w:hint="eastAsia" w:ascii="方正兰亭黑简体" w:hAnsi="方正兰亭黑简体" w:eastAsia="方正兰亭黑简体" w:cs="方正兰亭黑简体"/>
          <w:color w:val="auto"/>
          <w:sz w:val="28"/>
          <w:szCs w:val="28"/>
          <w:highlight w:val="none"/>
          <w:lang w:eastAsia="zh-CN"/>
        </w:rPr>
        <w:t>HFBX2026029</w:t>
      </w:r>
    </w:p>
    <w:p w14:paraId="4B356AA1">
      <w:pPr>
        <w:jc w:val="center"/>
        <w:rPr>
          <w:rFonts w:hint="eastAsia" w:ascii="方正兰亭黑简体" w:hAnsi="方正兰亭黑简体" w:eastAsia="方正兰亭黑简体" w:cs="方正兰亭黑简体"/>
          <w:b/>
          <w:bCs/>
          <w:color w:val="auto"/>
          <w:sz w:val="24"/>
          <w:szCs w:val="32"/>
          <w:highlight w:val="none"/>
        </w:rPr>
      </w:pPr>
    </w:p>
    <w:p w14:paraId="5B48835F">
      <w:pPr>
        <w:jc w:val="center"/>
        <w:rPr>
          <w:rFonts w:hint="eastAsia" w:ascii="方正兰亭黑简体" w:hAnsi="方正兰亭黑简体" w:eastAsia="方正兰亭黑简体" w:cs="方正兰亭黑简体"/>
          <w:b/>
          <w:bCs/>
          <w:color w:val="auto"/>
          <w:sz w:val="24"/>
          <w:szCs w:val="32"/>
          <w:highlight w:val="none"/>
        </w:rPr>
      </w:pPr>
    </w:p>
    <w:p w14:paraId="07E4A809">
      <w:pPr>
        <w:jc w:val="center"/>
        <w:rPr>
          <w:rFonts w:hint="eastAsia" w:ascii="方正兰亭黑简体" w:hAnsi="方正兰亭黑简体" w:eastAsia="方正兰亭黑简体" w:cs="方正兰亭黑简体"/>
          <w:b/>
          <w:bCs/>
          <w:color w:val="auto"/>
          <w:sz w:val="24"/>
          <w:szCs w:val="32"/>
          <w:highlight w:val="none"/>
        </w:rPr>
      </w:pPr>
    </w:p>
    <w:p w14:paraId="6A0F108C">
      <w:pPr>
        <w:jc w:val="center"/>
        <w:rPr>
          <w:rFonts w:hint="eastAsia" w:ascii="方正兰亭黑简体" w:hAnsi="方正兰亭黑简体" w:eastAsia="方正兰亭黑简体" w:cs="方正兰亭黑简体"/>
          <w:b/>
          <w:bCs/>
          <w:color w:val="auto"/>
          <w:sz w:val="24"/>
          <w:szCs w:val="32"/>
          <w:highlight w:val="none"/>
        </w:rPr>
      </w:pPr>
    </w:p>
    <w:p w14:paraId="5EFABC4D">
      <w:pPr>
        <w:jc w:val="center"/>
        <w:rPr>
          <w:rFonts w:hint="eastAsia" w:ascii="方正兰亭黑简体" w:hAnsi="方正兰亭黑简体" w:eastAsia="方正兰亭黑简体" w:cs="方正兰亭黑简体"/>
          <w:b/>
          <w:bCs/>
          <w:color w:val="auto"/>
          <w:sz w:val="24"/>
          <w:szCs w:val="32"/>
          <w:highlight w:val="none"/>
        </w:rPr>
      </w:pPr>
    </w:p>
    <w:p w14:paraId="5416AFF6">
      <w:pPr>
        <w:jc w:val="center"/>
        <w:rPr>
          <w:rFonts w:hint="eastAsia" w:ascii="方正兰亭黑简体" w:hAnsi="方正兰亭黑简体" w:eastAsia="方正兰亭黑简体" w:cs="方正兰亭黑简体"/>
          <w:b/>
          <w:bCs/>
          <w:color w:val="auto"/>
          <w:sz w:val="24"/>
          <w:szCs w:val="32"/>
          <w:highlight w:val="none"/>
        </w:rPr>
      </w:pPr>
    </w:p>
    <w:p w14:paraId="05694FFB">
      <w:pPr>
        <w:jc w:val="center"/>
        <w:rPr>
          <w:rFonts w:hint="eastAsia" w:ascii="方正兰亭黑简体" w:hAnsi="方正兰亭黑简体" w:eastAsia="方正兰亭黑简体" w:cs="方正兰亭黑简体"/>
          <w:b/>
          <w:bCs/>
          <w:color w:val="auto"/>
          <w:sz w:val="24"/>
          <w:szCs w:val="32"/>
          <w:highlight w:val="none"/>
        </w:rPr>
      </w:pPr>
    </w:p>
    <w:p w14:paraId="342DFAF8">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采购人：上海海事大学</w:t>
      </w:r>
    </w:p>
    <w:p w14:paraId="6301CB11">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二〇二六年</w:t>
      </w:r>
      <w:r>
        <w:rPr>
          <w:rFonts w:hint="eastAsia" w:ascii="方正兰亭黑简体" w:hAnsi="方正兰亭黑简体" w:eastAsia="方正兰亭黑简体" w:cs="方正兰亭黑简体"/>
          <w:b/>
          <w:bCs/>
          <w:color w:val="auto"/>
          <w:sz w:val="24"/>
          <w:szCs w:val="32"/>
          <w:highlight w:val="none"/>
          <w:lang w:val="en-US" w:eastAsia="zh-CN"/>
        </w:rPr>
        <w:t>五</w:t>
      </w:r>
      <w:r>
        <w:rPr>
          <w:rFonts w:hint="eastAsia" w:ascii="方正兰亭黑简体" w:hAnsi="方正兰亭黑简体" w:eastAsia="方正兰亭黑简体" w:cs="方正兰亭黑简体"/>
          <w:b/>
          <w:bCs/>
          <w:color w:val="auto"/>
          <w:sz w:val="24"/>
          <w:szCs w:val="32"/>
          <w:highlight w:val="none"/>
        </w:rPr>
        <w:t>月</w:t>
      </w:r>
    </w:p>
    <w:p w14:paraId="56D8363F">
      <w:pP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br w:type="page"/>
      </w:r>
    </w:p>
    <w:p w14:paraId="3FA5FE61">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第一章 比选公告</w:t>
      </w:r>
    </w:p>
    <w:p w14:paraId="5E1CB3DE">
      <w:pPr>
        <w:ind w:firstLine="440" w:firstLineChars="200"/>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为公开、公正、公平地做好各项货物与服务的采购工作，进一步提高采购过程的透明度，有利于我校选择性价比更高的产品及更优质的服务，欢迎各供应单位本着务实友好的工作态度，积极参与，并做好成本核算，进行一次性报价。我校将本着公开、公正、公平的工作原则，对各供应单位所提供的资料，进行综合评议，择优选购。为确保本次比选采购项目采购工作的顺利开展，请各报价单位按照下述要求提供报价单等相关资料。具体要求及相关注意事项如下：</w:t>
      </w:r>
    </w:p>
    <w:p w14:paraId="0E2D2351">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一、项目基本情况</w:t>
      </w:r>
    </w:p>
    <w:p w14:paraId="74B0A1D4">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项目编号：</w:t>
      </w:r>
      <w:r>
        <w:rPr>
          <w:rFonts w:hint="eastAsia" w:ascii="方正兰亭黑简体" w:hAnsi="方正兰亭黑简体" w:eastAsia="方正兰亭黑简体" w:cs="方正兰亭黑简体"/>
          <w:color w:val="auto"/>
          <w:sz w:val="22"/>
          <w:szCs w:val="28"/>
          <w:highlight w:val="none"/>
          <w:lang w:eastAsia="zh-CN"/>
        </w:rPr>
        <w:t>HFBX2026029</w:t>
      </w:r>
      <w:r>
        <w:rPr>
          <w:rFonts w:hint="eastAsia" w:ascii="方正兰亭黑简体" w:hAnsi="方正兰亭黑简体" w:eastAsia="方正兰亭黑简体" w:cs="方正兰亭黑简体"/>
          <w:color w:val="auto"/>
          <w:sz w:val="22"/>
          <w:szCs w:val="28"/>
          <w:highlight w:val="none"/>
        </w:rPr>
        <w:t>；</w:t>
      </w:r>
    </w:p>
    <w:p w14:paraId="373D4631">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项目名称：</w:t>
      </w:r>
      <w:r>
        <w:rPr>
          <w:rFonts w:hint="eastAsia" w:ascii="方正兰亭黑简体" w:hAnsi="方正兰亭黑简体" w:eastAsia="方正兰亭黑简体" w:cs="方正兰亭黑简体"/>
          <w:color w:val="auto"/>
          <w:sz w:val="22"/>
          <w:szCs w:val="28"/>
          <w:highlight w:val="none"/>
          <w:lang w:eastAsia="zh-CN"/>
        </w:rPr>
        <w:t>温度效应和冰载荷联合作用下结构极限承载能力数值预报技术开发研究服务</w:t>
      </w:r>
      <w:r>
        <w:rPr>
          <w:rFonts w:hint="eastAsia" w:ascii="方正兰亭黑简体" w:hAnsi="方正兰亭黑简体" w:eastAsia="方正兰亭黑简体" w:cs="方正兰亭黑简体"/>
          <w:color w:val="auto"/>
          <w:sz w:val="22"/>
          <w:szCs w:val="28"/>
          <w:highlight w:val="none"/>
        </w:rPr>
        <w:t>；</w:t>
      </w:r>
    </w:p>
    <w:p w14:paraId="44BA8929">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采购方式：</w:t>
      </w:r>
      <w:r>
        <w:rPr>
          <w:rFonts w:hint="eastAsia" w:ascii="方正兰亭黑简体" w:hAnsi="方正兰亭黑简体" w:eastAsia="方正兰亭黑简体" w:cs="方正兰亭黑简体"/>
          <w:color w:val="auto"/>
          <w:sz w:val="22"/>
          <w:szCs w:val="28"/>
          <w:highlight w:val="none"/>
        </w:rPr>
        <w:t>学校比选</w:t>
      </w:r>
      <w:r>
        <w:rPr>
          <w:rFonts w:hint="eastAsia" w:ascii="方正兰亭黑简体" w:hAnsi="方正兰亭黑简体" w:eastAsia="方正兰亭黑简体" w:cs="方正兰亭黑简体"/>
          <w:color w:val="auto"/>
          <w:sz w:val="22"/>
          <w:szCs w:val="28"/>
          <w:highlight w:val="none"/>
        </w:rPr>
        <w:t>；</w:t>
      </w:r>
    </w:p>
    <w:p w14:paraId="432CCF0C">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预算金额（亦是最高限价）：</w:t>
      </w:r>
      <w:r>
        <w:rPr>
          <w:rFonts w:hint="eastAsia" w:ascii="方正兰亭黑简体" w:hAnsi="方正兰亭黑简体" w:eastAsia="方正兰亭黑简体" w:cs="方正兰亭黑简体"/>
          <w:color w:val="auto"/>
          <w:sz w:val="22"/>
          <w:szCs w:val="28"/>
          <w:highlight w:val="none"/>
        </w:rPr>
        <w:t>人民币</w:t>
      </w:r>
      <w:r>
        <w:rPr>
          <w:rFonts w:hint="eastAsia" w:ascii="方正兰亭黑简体" w:hAnsi="方正兰亭黑简体" w:eastAsia="方正兰亭黑简体" w:cs="方正兰亭黑简体"/>
          <w:color w:val="auto"/>
          <w:sz w:val="22"/>
          <w:szCs w:val="28"/>
          <w:highlight w:val="none"/>
          <w:lang w:val="en-US" w:eastAsia="zh-CN"/>
        </w:rPr>
        <w:t>20</w:t>
      </w:r>
      <w:r>
        <w:rPr>
          <w:rFonts w:hint="eastAsia" w:ascii="方正兰亭黑简体" w:hAnsi="方正兰亭黑简体" w:eastAsia="方正兰亭黑简体" w:cs="方正兰亭黑简体"/>
          <w:color w:val="auto"/>
          <w:sz w:val="22"/>
          <w:szCs w:val="28"/>
          <w:highlight w:val="none"/>
        </w:rPr>
        <w:t>万元；</w:t>
      </w:r>
    </w:p>
    <w:p w14:paraId="290FE171">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采购需求：</w:t>
      </w:r>
      <w:r>
        <w:rPr>
          <w:rFonts w:hint="default" w:ascii="方正兰亭黑简体" w:hAnsi="方正兰亭黑简体" w:eastAsia="方正兰亭黑简体" w:cs="方正兰亭黑简体"/>
          <w:color w:val="auto"/>
          <w:sz w:val="22"/>
          <w:szCs w:val="28"/>
          <w:highlight w:val="none"/>
          <w:lang w:eastAsia="zh-CN"/>
        </w:rPr>
        <w:t>本项目</w:t>
      </w:r>
      <w:r>
        <w:rPr>
          <w:rFonts w:hint="eastAsia" w:ascii="方正兰亭黑简体" w:hAnsi="方正兰亭黑简体" w:eastAsia="方正兰亭黑简体" w:cs="方正兰亭黑简体"/>
          <w:color w:val="auto"/>
          <w:sz w:val="22"/>
          <w:szCs w:val="28"/>
          <w:highlight w:val="none"/>
          <w:lang w:val="en-US" w:eastAsia="zh-CN"/>
        </w:rPr>
        <w:t>需委托一家合格供应商为学校相关科研项目提供温度效应和冰载荷联合作用下结构极限承载能力数值预报技术开发研究服务</w:t>
      </w:r>
      <w:r>
        <w:rPr>
          <w:rFonts w:hint="default" w:ascii="方正兰亭黑简体" w:hAnsi="方正兰亭黑简体" w:eastAsia="方正兰亭黑简体" w:cs="方正兰亭黑简体"/>
          <w:color w:val="auto"/>
          <w:sz w:val="22"/>
          <w:szCs w:val="28"/>
          <w:highlight w:val="none"/>
          <w:lang w:val="en-US" w:eastAsia="zh-CN"/>
        </w:rPr>
        <w:t>。</w:t>
      </w:r>
      <w:r>
        <w:rPr>
          <w:rFonts w:hint="eastAsia" w:ascii="方正兰亭黑简体" w:hAnsi="方正兰亭黑简体" w:eastAsia="方正兰亭黑简体" w:cs="方正兰亭黑简体"/>
          <w:color w:val="auto"/>
          <w:sz w:val="22"/>
          <w:szCs w:val="28"/>
          <w:highlight w:val="none"/>
        </w:rPr>
        <w:t>拟采取比选方式实施采购。（具体要求详见比选文件—第二章节采购需求）。</w:t>
      </w:r>
    </w:p>
    <w:p w14:paraId="280C0FF5">
      <w:pPr>
        <w:pStyle w:val="19"/>
        <w:tabs>
          <w:tab w:val="left" w:pos="0"/>
        </w:tabs>
        <w:spacing w:line="360" w:lineRule="auto"/>
        <w:ind w:firstLine="0" w:firstLineChars="0"/>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服务期限：应于合同签订后的2个月内交付研究报告。</w:t>
      </w:r>
    </w:p>
    <w:p w14:paraId="500DF29A">
      <w:pPr>
        <w:pStyle w:val="19"/>
        <w:tabs>
          <w:tab w:val="left" w:pos="0"/>
        </w:tabs>
        <w:spacing w:line="360" w:lineRule="auto"/>
        <w:ind w:firstLine="0" w:firstLineChars="0"/>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rPr>
        <w:t>付款方式：</w:t>
      </w:r>
      <w:r>
        <w:rPr>
          <w:rFonts w:hint="eastAsia" w:ascii="方正兰亭黑简体" w:hAnsi="方正兰亭黑简体" w:eastAsia="方正兰亭黑简体" w:cs="方正兰亭黑简体"/>
          <w:color w:val="auto"/>
          <w:sz w:val="22"/>
          <w:szCs w:val="28"/>
          <w:highlight w:val="none"/>
          <w:lang w:val="en-US" w:eastAsia="zh-CN"/>
        </w:rPr>
        <w:t>合同签订后5日内，甲方向乙方支付服务费用的30%，项目完成后提交研究报告，经甲方验收合格后的十个工作日内，甲方向乙方支付服务费用的70%。</w:t>
      </w:r>
    </w:p>
    <w:p w14:paraId="34EF3CE4">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二、报价人的资格要求</w:t>
      </w:r>
    </w:p>
    <w:p w14:paraId="58FFC7E6">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1、符合《中华人民共和国政府采购法》第二十二条之供应商资格规定。</w:t>
      </w:r>
    </w:p>
    <w:p w14:paraId="67A4B0EC">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2、供应商未被列入“信用中国”网站（www.creditchina.gov.cn）失信执行人名单、重大税收违法案件当事人名单，和中国政府采购网（www.ccgp.gov.cn）政府严重违法失信行为记录名单的供应商。</w:t>
      </w:r>
    </w:p>
    <w:p w14:paraId="34243CEE">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3、经营范围及拟投标货物（服务）符合本次比选要求，具有与本次投标货物（服务）相应的经营、代理（经销）资质，能全程参与并完成本项目，且具有较强的服务能力，以及畅通的问题响应机制和渠道等。</w:t>
      </w:r>
    </w:p>
    <w:p w14:paraId="6D423F37">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三、报名要求</w:t>
      </w:r>
    </w:p>
    <w:p w14:paraId="21800922">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报名邮箱、时间：不单独组织报名，意向单位可在截止日期前递交响应文件。</w:t>
      </w:r>
    </w:p>
    <w:p w14:paraId="47EB2369">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四、获取采购文件</w:t>
      </w:r>
    </w:p>
    <w:p w14:paraId="22BA469E">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获取方式：公告页面下方自行下载</w:t>
      </w:r>
    </w:p>
    <w:p w14:paraId="5F33DC36">
      <w:pPr>
        <w:jc w:val="left"/>
        <w:rPr>
          <w:rFonts w:hint="eastAsia" w:ascii="方正兰亭黑简体" w:hAnsi="方正兰亭黑简体" w:eastAsia="方正兰亭黑简体" w:cs="方正兰亭黑简体"/>
          <w:b/>
          <w:bCs/>
          <w:color w:val="auto"/>
          <w:sz w:val="22"/>
          <w:szCs w:val="28"/>
          <w:highlight w:val="none"/>
        </w:rPr>
      </w:pPr>
      <w:bookmarkStart w:id="0" w:name="_Toc28359005"/>
      <w:r>
        <w:rPr>
          <w:rFonts w:hint="eastAsia" w:ascii="方正兰亭黑简体" w:hAnsi="方正兰亭黑简体" w:eastAsia="方正兰亭黑简体" w:cs="方正兰亭黑简体"/>
          <w:b/>
          <w:bCs/>
          <w:color w:val="auto"/>
          <w:sz w:val="22"/>
          <w:szCs w:val="28"/>
          <w:highlight w:val="none"/>
        </w:rPr>
        <w:t>五、现场踏勘</w:t>
      </w:r>
      <w:bookmarkEnd w:id="0"/>
    </w:p>
    <w:p w14:paraId="6393E206">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不组织</w:t>
      </w:r>
    </w:p>
    <w:p w14:paraId="3B52FB4A">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六、响应文件提交</w:t>
      </w:r>
    </w:p>
    <w:p w14:paraId="797F0A10">
      <w:pPr>
        <w:jc w:val="left"/>
        <w:rPr>
          <w:rFonts w:hint="eastAsia" w:ascii="方正兰亭黑简体" w:hAnsi="方正兰亭黑简体" w:eastAsia="方正兰亭黑简体" w:cs="方正兰亭黑简体"/>
          <w:color w:val="auto"/>
          <w:sz w:val="22"/>
          <w:szCs w:val="28"/>
          <w:highlight w:val="none"/>
        </w:rPr>
      </w:pPr>
      <w:bookmarkStart w:id="1" w:name="_Toc35393795"/>
      <w:bookmarkEnd w:id="1"/>
      <w:bookmarkStart w:id="2" w:name="_Toc35393626"/>
      <w:bookmarkStart w:id="3" w:name="OLE_LINK2"/>
      <w:bookmarkStart w:id="4" w:name="OLE_LINK1"/>
      <w:r>
        <w:rPr>
          <w:rFonts w:hint="eastAsia" w:ascii="方正兰亭黑简体" w:hAnsi="方正兰亭黑简体" w:eastAsia="方正兰亭黑简体" w:cs="方正兰亭黑简体"/>
          <w:color w:val="auto"/>
          <w:sz w:val="22"/>
          <w:szCs w:val="28"/>
          <w:highlight w:val="none"/>
        </w:rPr>
        <w:t>截止</w:t>
      </w:r>
      <w:bookmarkEnd w:id="2"/>
      <w:r>
        <w:rPr>
          <w:rFonts w:hint="eastAsia" w:ascii="方正兰亭黑简体" w:hAnsi="方正兰亭黑简体" w:eastAsia="方正兰亭黑简体" w:cs="方正兰亭黑简体"/>
          <w:color w:val="auto"/>
          <w:sz w:val="22"/>
          <w:szCs w:val="28"/>
          <w:highlight w:val="none"/>
        </w:rPr>
        <w:t>时间：2026年</w:t>
      </w:r>
      <w:r>
        <w:rPr>
          <w:rFonts w:hint="eastAsia" w:ascii="方正兰亭黑简体" w:hAnsi="方正兰亭黑简体" w:eastAsia="方正兰亭黑简体" w:cs="方正兰亭黑简体"/>
          <w:color w:val="auto"/>
          <w:sz w:val="22"/>
          <w:szCs w:val="28"/>
          <w:highlight w:val="none"/>
          <w:lang w:val="en-US" w:eastAsia="zh-CN"/>
        </w:rPr>
        <w:t>5</w:t>
      </w:r>
      <w:r>
        <w:rPr>
          <w:rFonts w:hint="eastAsia" w:ascii="方正兰亭黑简体" w:hAnsi="方正兰亭黑简体" w:eastAsia="方正兰亭黑简体" w:cs="方正兰亭黑简体"/>
          <w:color w:val="auto"/>
          <w:sz w:val="22"/>
          <w:szCs w:val="28"/>
          <w:highlight w:val="none"/>
        </w:rPr>
        <w:t>月</w:t>
      </w:r>
      <w:r>
        <w:rPr>
          <w:rFonts w:hint="eastAsia" w:ascii="方正兰亭黑简体" w:hAnsi="方正兰亭黑简体" w:eastAsia="方正兰亭黑简体" w:cs="方正兰亭黑简体"/>
          <w:color w:val="auto"/>
          <w:sz w:val="22"/>
          <w:szCs w:val="28"/>
          <w:highlight w:val="none"/>
          <w:lang w:val="en-US" w:eastAsia="zh-CN"/>
        </w:rPr>
        <w:t>11</w:t>
      </w:r>
      <w:r>
        <w:rPr>
          <w:rFonts w:hint="eastAsia" w:ascii="方正兰亭黑简体" w:hAnsi="方正兰亭黑简体" w:eastAsia="方正兰亭黑简体" w:cs="方正兰亭黑简体"/>
          <w:color w:val="auto"/>
          <w:sz w:val="22"/>
          <w:szCs w:val="28"/>
          <w:highlight w:val="none"/>
        </w:rPr>
        <w:t>日（</w:t>
      </w:r>
      <w:r>
        <w:rPr>
          <w:rFonts w:hint="eastAsia" w:ascii="方正兰亭黑简体" w:hAnsi="方正兰亭黑简体" w:eastAsia="方正兰亭黑简体" w:cs="方正兰亭黑简体"/>
          <w:color w:val="auto"/>
          <w:sz w:val="22"/>
          <w:szCs w:val="28"/>
          <w:highlight w:val="none"/>
          <w:lang w:val="en-US" w:eastAsia="zh-CN"/>
        </w:rPr>
        <w:t>周一</w:t>
      </w:r>
      <w:r>
        <w:rPr>
          <w:rFonts w:hint="eastAsia" w:ascii="方正兰亭黑简体" w:hAnsi="方正兰亭黑简体" w:eastAsia="方正兰亭黑简体" w:cs="方正兰亭黑简体"/>
          <w:color w:val="auto"/>
          <w:sz w:val="22"/>
          <w:szCs w:val="28"/>
          <w:highlight w:val="none"/>
        </w:rPr>
        <w:t>）</w:t>
      </w:r>
      <w:bookmarkEnd w:id="3"/>
      <w:bookmarkEnd w:id="4"/>
      <w:r>
        <w:rPr>
          <w:rFonts w:hint="eastAsia" w:ascii="方正兰亭黑简体" w:hAnsi="方正兰亭黑简体" w:eastAsia="方正兰亭黑简体" w:cs="方正兰亭黑简体"/>
          <w:color w:val="auto"/>
          <w:sz w:val="22"/>
          <w:szCs w:val="28"/>
          <w:highlight w:val="none"/>
        </w:rPr>
        <w:t>上午11时00分</w:t>
      </w:r>
    </w:p>
    <w:p w14:paraId="19B21342">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提交方式：发送盖章扫描版PDF到指定邮箱，邮件名称：</w:t>
      </w:r>
      <w:r>
        <w:rPr>
          <w:rFonts w:hint="eastAsia" w:ascii="方正兰亭黑简体" w:hAnsi="方正兰亭黑简体" w:eastAsia="方正兰亭黑简体" w:cs="方正兰亭黑简体"/>
          <w:color w:val="auto"/>
          <w:sz w:val="22"/>
          <w:szCs w:val="28"/>
          <w:highlight w:val="none"/>
        </w:rPr>
        <w:t>项目编号+公司名称</w:t>
      </w:r>
    </w:p>
    <w:p w14:paraId="5F997FCD">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邮箱地址：quotation@shmtu.edu.cn</w:t>
      </w:r>
    </w:p>
    <w:p w14:paraId="1EC8B77D">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七、其他补充事宜</w:t>
      </w:r>
    </w:p>
    <w:p w14:paraId="1533EBFD">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1.中标结果将通过发布比选公告的媒介进行公示，公示期为1个工作日，公示期内如对中标结果有异议可向校方提出书面质疑。</w:t>
      </w:r>
      <w:bookmarkStart w:id="5" w:name="_Toc35393627"/>
    </w:p>
    <w:p w14:paraId="03F0F785">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2.</w:t>
      </w:r>
      <w:bookmarkEnd w:id="5"/>
      <w:r>
        <w:rPr>
          <w:rFonts w:hint="eastAsia" w:ascii="方正兰亭黑简体" w:hAnsi="方正兰亭黑简体" w:eastAsia="方正兰亭黑简体" w:cs="方正兰亭黑简体"/>
          <w:color w:val="auto"/>
          <w:sz w:val="22"/>
          <w:szCs w:val="28"/>
          <w:highlight w:val="none"/>
        </w:rPr>
        <w:t>凡对本次采购提出询问，请按以下方式联系：</w:t>
      </w:r>
    </w:p>
    <w:p w14:paraId="4E545C0B">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商务信息：仲老师021-38284707</w:t>
      </w:r>
    </w:p>
    <w:p w14:paraId="155BEAB7">
      <w:pPr>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rPr>
        <w:t>技术信息：</w:t>
      </w:r>
      <w:r>
        <w:rPr>
          <w:rFonts w:hint="eastAsia" w:ascii="方正兰亭黑简体" w:hAnsi="方正兰亭黑简体" w:eastAsia="方正兰亭黑简体" w:cs="方正兰亭黑简体"/>
          <w:color w:val="auto"/>
          <w:sz w:val="22"/>
          <w:szCs w:val="28"/>
          <w:highlight w:val="none"/>
          <w:lang w:val="en-US" w:eastAsia="zh-CN"/>
        </w:rPr>
        <w:t>刘</w:t>
      </w:r>
      <w:r>
        <w:rPr>
          <w:rFonts w:hint="eastAsia" w:ascii="方正兰亭黑简体" w:hAnsi="方正兰亭黑简体" w:eastAsia="方正兰亭黑简体" w:cs="方正兰亭黑简体"/>
          <w:color w:val="auto"/>
          <w:sz w:val="22"/>
          <w:szCs w:val="28"/>
          <w:highlight w:val="none"/>
        </w:rPr>
        <w:t>老师13761523275</w:t>
      </w:r>
    </w:p>
    <w:p w14:paraId="0248245C">
      <w:pP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br w:type="page"/>
      </w:r>
    </w:p>
    <w:p w14:paraId="24A7818A">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第二章 采购需求</w:t>
      </w:r>
    </w:p>
    <w:p w14:paraId="39E2A589">
      <w:pPr>
        <w:rPr>
          <w:rFonts w:hint="eastAsia" w:ascii="Times New Roman" w:hAnsi="Times New Roman" w:eastAsia="方正兰亭黑简体" w:cs="Times New Roman"/>
          <w:b/>
          <w:bCs/>
          <w:color w:val="auto"/>
          <w:sz w:val="22"/>
          <w:szCs w:val="22"/>
          <w:highlight w:val="none"/>
          <w:lang w:eastAsia="zh-CN"/>
        </w:rPr>
      </w:pPr>
      <w:r>
        <w:rPr>
          <w:rFonts w:hint="eastAsia" w:ascii="Times New Roman" w:hAnsi="Times New Roman" w:eastAsia="方正兰亭黑简体" w:cs="Times New Roman"/>
          <w:b/>
          <w:bCs/>
          <w:color w:val="auto"/>
          <w:sz w:val="22"/>
          <w:szCs w:val="22"/>
          <w:highlight w:val="none"/>
          <w:lang w:val="en-US" w:eastAsia="zh-CN"/>
        </w:rPr>
        <w:t>一</w:t>
      </w:r>
      <w:r>
        <w:rPr>
          <w:rFonts w:ascii="Times New Roman" w:hAnsi="Times New Roman" w:eastAsia="方正兰亭黑简体" w:cs="Times New Roman"/>
          <w:b/>
          <w:bCs/>
          <w:color w:val="auto"/>
          <w:sz w:val="22"/>
          <w:szCs w:val="22"/>
          <w:highlight w:val="none"/>
        </w:rPr>
        <w:t>、</w:t>
      </w:r>
      <w:r>
        <w:rPr>
          <w:rFonts w:hint="eastAsia" w:ascii="Times New Roman" w:hAnsi="Times New Roman" w:eastAsia="方正兰亭黑简体" w:cs="Times New Roman"/>
          <w:b/>
          <w:bCs/>
          <w:color w:val="auto"/>
          <w:sz w:val="22"/>
          <w:szCs w:val="22"/>
          <w:highlight w:val="none"/>
          <w:lang w:val="en-US" w:eastAsia="zh-CN"/>
        </w:rPr>
        <w:t>服务技术要求</w:t>
      </w:r>
    </w:p>
    <w:p w14:paraId="57BF108D">
      <w:pPr>
        <w:widowControl/>
        <w:shd w:val="clear" w:color="auto" w:fill="FFFFFF"/>
        <w:spacing w:line="360" w:lineRule="auto"/>
        <w:ind w:left="0" w:leftChars="0" w:firstLine="0" w:firstLineChars="0"/>
        <w:jc w:val="left"/>
        <w:rPr>
          <w:rFonts w:hint="default" w:ascii="Times New Roman" w:hAnsi="Times New Roman" w:eastAsia="方正兰亭黑简体" w:cs="Times New Roman"/>
          <w:color w:val="auto"/>
          <w:kern w:val="0"/>
          <w:sz w:val="22"/>
          <w:szCs w:val="22"/>
          <w:highlight w:val="none"/>
          <w:u w:val="none"/>
        </w:rPr>
      </w:pPr>
      <w:r>
        <w:rPr>
          <w:rFonts w:hint="default" w:ascii="Times New Roman" w:hAnsi="Times New Roman" w:eastAsia="方正兰亭黑简体" w:cs="Times New Roman"/>
          <w:color w:val="auto"/>
          <w:kern w:val="0"/>
          <w:sz w:val="22"/>
          <w:szCs w:val="22"/>
          <w:highlight w:val="none"/>
          <w:u w:val="none"/>
        </w:rPr>
        <w:t>1</w:t>
      </w:r>
      <w:r>
        <w:rPr>
          <w:rFonts w:hint="eastAsia" w:ascii="Times New Roman" w:hAnsi="Times New Roman" w:eastAsia="方正兰亭黑简体" w:cs="Times New Roman"/>
          <w:color w:val="auto"/>
          <w:kern w:val="0"/>
          <w:sz w:val="22"/>
          <w:szCs w:val="22"/>
          <w:highlight w:val="none"/>
          <w:u w:val="none"/>
          <w:lang w:eastAsia="zh-CN"/>
        </w:rPr>
        <w:t>、</w:t>
      </w:r>
      <w:r>
        <w:rPr>
          <w:rFonts w:hint="default" w:ascii="Times New Roman" w:hAnsi="Times New Roman" w:eastAsia="方正兰亭黑简体" w:cs="Times New Roman"/>
          <w:color w:val="auto"/>
          <w:kern w:val="0"/>
          <w:sz w:val="22"/>
          <w:szCs w:val="22"/>
          <w:highlight w:val="none"/>
          <w:u w:val="none"/>
        </w:rPr>
        <w:t>整体目标</w:t>
      </w:r>
    </w:p>
    <w:p w14:paraId="45CB726C">
      <w:pPr>
        <w:widowControl/>
        <w:shd w:val="clear" w:color="auto" w:fill="FFFFFF"/>
        <w:spacing w:line="360" w:lineRule="auto"/>
        <w:ind w:left="0" w:leftChars="0" w:firstLine="0" w:firstLineChars="0"/>
        <w:jc w:val="left"/>
        <w:rPr>
          <w:rFonts w:hint="default" w:ascii="Times New Roman" w:hAnsi="Times New Roman" w:eastAsia="方正兰亭黑简体" w:cs="Times New Roman"/>
          <w:color w:val="auto"/>
          <w:sz w:val="22"/>
          <w:szCs w:val="22"/>
          <w:highlight w:val="none"/>
          <w:u w:val="none"/>
        </w:rPr>
      </w:pPr>
      <w:r>
        <w:rPr>
          <w:rFonts w:hint="default" w:ascii="Times New Roman" w:hAnsi="Times New Roman" w:eastAsia="方正兰亭黑简体" w:cs="Times New Roman"/>
          <w:color w:val="auto"/>
          <w:sz w:val="22"/>
          <w:szCs w:val="22"/>
          <w:highlight w:val="none"/>
          <w:u w:val="none"/>
        </w:rPr>
        <w:t>通过理论及数值模拟相结合的方法，系统揭示低温与冰载荷联合作用下板架结构的力学行为，建立一套科学、可靠的结构极限承载能力评估体系。</w:t>
      </w:r>
    </w:p>
    <w:p w14:paraId="170470A7">
      <w:pPr>
        <w:widowControl/>
        <w:shd w:val="clear" w:color="auto" w:fill="FFFFFF"/>
        <w:spacing w:line="360" w:lineRule="auto"/>
        <w:ind w:left="0" w:leftChars="0" w:firstLine="0" w:firstLineChars="0"/>
        <w:jc w:val="left"/>
        <w:rPr>
          <w:rFonts w:hint="default" w:ascii="Times New Roman" w:hAnsi="Times New Roman" w:eastAsia="方正兰亭黑简体" w:cs="Times New Roman"/>
          <w:color w:val="auto"/>
          <w:sz w:val="22"/>
          <w:szCs w:val="22"/>
          <w:highlight w:val="none"/>
          <w:u w:val="none"/>
        </w:rPr>
      </w:pPr>
      <w:r>
        <w:rPr>
          <w:rFonts w:hint="default" w:ascii="Times New Roman" w:hAnsi="Times New Roman" w:eastAsia="方正兰亭黑简体" w:cs="Times New Roman"/>
          <w:color w:val="auto"/>
          <w:sz w:val="22"/>
          <w:szCs w:val="22"/>
          <w:highlight w:val="none"/>
          <w:u w:val="none"/>
        </w:rPr>
        <w:t>2</w:t>
      </w:r>
      <w:r>
        <w:rPr>
          <w:rFonts w:hint="eastAsia" w:ascii="Times New Roman" w:hAnsi="Times New Roman" w:eastAsia="方正兰亭黑简体" w:cs="Times New Roman"/>
          <w:color w:val="auto"/>
          <w:sz w:val="22"/>
          <w:szCs w:val="22"/>
          <w:highlight w:val="none"/>
          <w:u w:val="none"/>
          <w:lang w:eastAsia="zh-CN"/>
        </w:rPr>
        <w:t>、</w:t>
      </w:r>
      <w:r>
        <w:rPr>
          <w:rFonts w:hint="default" w:ascii="Times New Roman" w:hAnsi="Times New Roman" w:eastAsia="方正兰亭黑简体" w:cs="Times New Roman"/>
          <w:color w:val="auto"/>
          <w:sz w:val="22"/>
          <w:szCs w:val="22"/>
          <w:highlight w:val="none"/>
          <w:u w:val="none"/>
        </w:rPr>
        <w:t>研究内容</w:t>
      </w:r>
    </w:p>
    <w:p w14:paraId="3F1925A8">
      <w:pPr>
        <w:widowControl/>
        <w:shd w:val="clear" w:color="auto" w:fill="FFFFFF"/>
        <w:spacing w:line="360" w:lineRule="auto"/>
        <w:ind w:left="0" w:leftChars="0" w:firstLine="0" w:firstLineChars="0"/>
        <w:jc w:val="left"/>
        <w:rPr>
          <w:rFonts w:hint="default" w:ascii="Times New Roman" w:hAnsi="Times New Roman" w:eastAsia="方正兰亭黑简体" w:cs="Times New Roman"/>
          <w:color w:val="auto"/>
          <w:sz w:val="22"/>
          <w:szCs w:val="22"/>
          <w:highlight w:val="none"/>
          <w:u w:val="none"/>
        </w:rPr>
      </w:pPr>
      <w:r>
        <w:rPr>
          <w:rFonts w:hint="default" w:ascii="Times New Roman" w:hAnsi="Times New Roman" w:eastAsia="方正兰亭黑简体" w:cs="Times New Roman"/>
          <w:color w:val="auto"/>
          <w:sz w:val="22"/>
          <w:szCs w:val="22"/>
          <w:highlight w:val="none"/>
          <w:u w:val="none"/>
        </w:rPr>
        <w:t>1）多源温度场作用下的板架结构温度场应力分析</w:t>
      </w:r>
    </w:p>
    <w:p w14:paraId="21A28D23">
      <w:pPr>
        <w:widowControl/>
        <w:shd w:val="clear" w:color="auto" w:fill="FFFFFF"/>
        <w:spacing w:line="360" w:lineRule="auto"/>
        <w:ind w:left="0" w:leftChars="0" w:firstLine="0" w:firstLineChars="0"/>
        <w:jc w:val="left"/>
        <w:rPr>
          <w:rFonts w:hint="default" w:ascii="Times New Roman" w:hAnsi="Times New Roman" w:eastAsia="方正兰亭黑简体" w:cs="Times New Roman"/>
          <w:color w:val="auto"/>
          <w:sz w:val="22"/>
          <w:szCs w:val="22"/>
          <w:highlight w:val="none"/>
          <w:u w:val="none"/>
        </w:rPr>
      </w:pPr>
      <w:r>
        <w:rPr>
          <w:rFonts w:hint="default" w:ascii="Times New Roman" w:hAnsi="Times New Roman" w:eastAsia="方正兰亭黑简体" w:cs="Times New Roman"/>
          <w:color w:val="auto"/>
          <w:sz w:val="22"/>
          <w:szCs w:val="22"/>
          <w:highlight w:val="none"/>
          <w:u w:val="none"/>
        </w:rPr>
        <w:t>选取典型极地环境，考虑外部空气温度、海水温度和舱室内部空气温度的共同影响，建立包括结构、海水、结构内外空气温度在内的数值模型，兼顾温度场应力求解和冰载作用下的结构应力求解，对数值模型的选取范围进行统一，采用近似数值分析法对多源温度场作用下的结构温度场进行模拟和热分析；基于结构温度场应力求解结果，对温度梯度引起的结构应力进行热应力分析，建立结构在极地环境多源温度场作用下的结构温度场应力数值计算方法。</w:t>
      </w:r>
    </w:p>
    <w:p w14:paraId="092175D0">
      <w:pPr>
        <w:widowControl/>
        <w:shd w:val="clear" w:color="auto" w:fill="FFFFFF"/>
        <w:spacing w:line="360" w:lineRule="auto"/>
        <w:ind w:left="0" w:leftChars="0" w:firstLine="0" w:firstLineChars="0"/>
        <w:jc w:val="left"/>
        <w:rPr>
          <w:rFonts w:hint="default" w:ascii="Times New Roman" w:hAnsi="Times New Roman" w:eastAsia="方正兰亭黑简体" w:cs="Times New Roman"/>
          <w:color w:val="auto"/>
          <w:sz w:val="22"/>
          <w:szCs w:val="22"/>
          <w:highlight w:val="none"/>
          <w:u w:val="none"/>
        </w:rPr>
      </w:pPr>
      <w:r>
        <w:rPr>
          <w:rFonts w:hint="default" w:ascii="Times New Roman" w:hAnsi="Times New Roman" w:eastAsia="方正兰亭黑简体" w:cs="Times New Roman"/>
          <w:color w:val="auto"/>
          <w:sz w:val="22"/>
          <w:szCs w:val="22"/>
          <w:highlight w:val="none"/>
          <w:u w:val="none"/>
        </w:rPr>
        <w:t xml:space="preserve">2）冰区低温与冰载荷作用下的板架结构极限承载能力评估方法  </w:t>
      </w:r>
    </w:p>
    <w:p w14:paraId="32E0C58B">
      <w:pPr>
        <w:widowControl/>
        <w:shd w:val="clear" w:color="auto" w:fill="FFFFFF"/>
        <w:spacing w:line="360" w:lineRule="auto"/>
        <w:ind w:left="0" w:leftChars="0" w:firstLine="0" w:firstLineChars="0"/>
        <w:jc w:val="left"/>
        <w:rPr>
          <w:rFonts w:hint="default" w:ascii="Times New Roman" w:hAnsi="Times New Roman" w:eastAsia="方正兰亭黑简体" w:cs="Times New Roman"/>
          <w:color w:val="auto"/>
          <w:sz w:val="22"/>
          <w:szCs w:val="22"/>
          <w:highlight w:val="none"/>
          <w:u w:val="none"/>
        </w:rPr>
      </w:pPr>
      <w:r>
        <w:rPr>
          <w:rFonts w:hint="default" w:ascii="Times New Roman" w:hAnsi="Times New Roman" w:eastAsia="方正兰亭黑简体" w:cs="Times New Roman"/>
          <w:color w:val="auto"/>
          <w:sz w:val="22"/>
          <w:szCs w:val="22"/>
          <w:highlight w:val="none"/>
          <w:u w:val="none"/>
        </w:rPr>
        <w:t>针对极地多源温度场影响下的结构承受冰载荷能力评估问题，以温度场应力计算结果作为输入，综合考虑温度应力分布特征、冰载荷作用特征和评估对象结构/构件尺度和分布特征，确定冰载荷加载工况，采用逐步加载方式，分析板架结构应力变化和变形特征。提取结构典型位置处的变形，建立载荷-变形曲线，对结构承受冰载荷极限承载能力进行评估，探讨基于塑性设计思想极地结构强度衡准，形成极地低温环境下结构极限承载能力评估方法。通过与不考虑温度效应下的计算结果进行对比，分析多源温度场效应对板架结构极限承载能力的影响。</w:t>
      </w:r>
    </w:p>
    <w:p w14:paraId="72E33785">
      <w:pPr>
        <w:widowControl/>
        <w:shd w:val="clear" w:color="auto" w:fill="FFFFFF"/>
        <w:spacing w:line="360" w:lineRule="auto"/>
        <w:ind w:left="0" w:leftChars="0" w:firstLine="0" w:firstLineChars="0"/>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4.各项指标要求</w:t>
      </w:r>
    </w:p>
    <w:tbl>
      <w:tblPr>
        <w:tblStyle w:val="1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7"/>
        <w:gridCol w:w="2161"/>
        <w:gridCol w:w="6550"/>
      </w:tblGrid>
      <w:tr w14:paraId="0A5C16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626" w:type="pct"/>
            <w:vAlign w:val="center"/>
          </w:tcPr>
          <w:p w14:paraId="4D172C69">
            <w:pPr>
              <w:spacing w:line="360" w:lineRule="auto"/>
              <w:jc w:val="center"/>
              <w:rPr>
                <w:rFonts w:hint="default" w:ascii="Times New Roman" w:hAnsi="Times New Roman" w:eastAsia="方正兰亭黑简体" w:cs="Times New Roman"/>
                <w:b/>
                <w:color w:val="auto"/>
                <w:sz w:val="22"/>
                <w:szCs w:val="22"/>
                <w:highlight w:val="none"/>
              </w:rPr>
            </w:pPr>
            <w:r>
              <w:rPr>
                <w:rFonts w:hint="default" w:ascii="Times New Roman" w:hAnsi="Times New Roman" w:eastAsia="方正兰亭黑简体" w:cs="Times New Roman"/>
                <w:b/>
                <w:color w:val="auto"/>
                <w:sz w:val="22"/>
                <w:szCs w:val="22"/>
                <w:highlight w:val="none"/>
              </w:rPr>
              <w:t>序号</w:t>
            </w:r>
          </w:p>
        </w:tc>
        <w:tc>
          <w:tcPr>
            <w:tcW w:w="1085" w:type="pct"/>
            <w:vAlign w:val="center"/>
          </w:tcPr>
          <w:p w14:paraId="4D4125BB">
            <w:pPr>
              <w:widowControl/>
              <w:spacing w:line="360" w:lineRule="auto"/>
              <w:jc w:val="center"/>
              <w:rPr>
                <w:rFonts w:hint="default" w:ascii="Times New Roman" w:hAnsi="Times New Roman" w:eastAsia="方正兰亭黑简体" w:cs="Times New Roman"/>
                <w:b/>
                <w:color w:val="auto"/>
                <w:sz w:val="22"/>
                <w:szCs w:val="22"/>
                <w:highlight w:val="none"/>
              </w:rPr>
            </w:pPr>
            <w:r>
              <w:rPr>
                <w:rFonts w:hint="default" w:ascii="Times New Roman" w:hAnsi="Times New Roman" w:eastAsia="方正兰亭黑简体" w:cs="Times New Roman"/>
                <w:b/>
                <w:color w:val="auto"/>
                <w:sz w:val="22"/>
                <w:szCs w:val="22"/>
                <w:highlight w:val="none"/>
              </w:rPr>
              <w:t>指标名称</w:t>
            </w:r>
          </w:p>
        </w:tc>
        <w:tc>
          <w:tcPr>
            <w:tcW w:w="3288" w:type="pct"/>
            <w:vAlign w:val="center"/>
          </w:tcPr>
          <w:p w14:paraId="09E1FA1B">
            <w:pPr>
              <w:widowControl/>
              <w:spacing w:line="360" w:lineRule="auto"/>
              <w:jc w:val="center"/>
              <w:rPr>
                <w:rFonts w:hint="default" w:ascii="Times New Roman" w:hAnsi="Times New Roman" w:eastAsia="方正兰亭黑简体" w:cs="Times New Roman"/>
                <w:b/>
                <w:color w:val="auto"/>
                <w:sz w:val="22"/>
                <w:szCs w:val="22"/>
                <w:highlight w:val="none"/>
              </w:rPr>
            </w:pPr>
            <w:r>
              <w:rPr>
                <w:rFonts w:hint="default" w:ascii="Times New Roman" w:hAnsi="Times New Roman" w:eastAsia="方正兰亭黑简体" w:cs="Times New Roman"/>
                <w:b/>
                <w:color w:val="auto"/>
                <w:sz w:val="22"/>
                <w:szCs w:val="22"/>
                <w:highlight w:val="none"/>
              </w:rPr>
              <w:t>指标要求</w:t>
            </w:r>
          </w:p>
        </w:tc>
      </w:tr>
      <w:tr w14:paraId="4CE69E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626" w:type="pct"/>
            <w:vAlign w:val="center"/>
          </w:tcPr>
          <w:p w14:paraId="2447FCA3">
            <w:pPr>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1</w:t>
            </w:r>
          </w:p>
        </w:tc>
        <w:tc>
          <w:tcPr>
            <w:tcW w:w="1085" w:type="pct"/>
            <w:vAlign w:val="center"/>
          </w:tcPr>
          <w:p w14:paraId="20D166AB">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数值误差</w:t>
            </w:r>
          </w:p>
        </w:tc>
        <w:tc>
          <w:tcPr>
            <w:tcW w:w="3288" w:type="pct"/>
            <w:vAlign w:val="center"/>
          </w:tcPr>
          <w:p w14:paraId="34A4A9AF">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基于建立的海冰力学方法得到的弯曲强度与压缩强度与规范推荐值误差不超过15%</w:t>
            </w:r>
          </w:p>
        </w:tc>
      </w:tr>
      <w:tr w14:paraId="3A266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626" w:type="pct"/>
            <w:vAlign w:val="center"/>
          </w:tcPr>
          <w:p w14:paraId="20428B89">
            <w:pPr>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2</w:t>
            </w:r>
          </w:p>
        </w:tc>
        <w:tc>
          <w:tcPr>
            <w:tcW w:w="1085" w:type="pct"/>
            <w:vAlign w:val="center"/>
          </w:tcPr>
          <w:p w14:paraId="4D212B59">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工况数量</w:t>
            </w:r>
          </w:p>
        </w:tc>
        <w:tc>
          <w:tcPr>
            <w:tcW w:w="3288" w:type="pct"/>
            <w:vAlign w:val="center"/>
          </w:tcPr>
          <w:p w14:paraId="060F7019">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模拟的低温工况不少于3组</w:t>
            </w:r>
          </w:p>
        </w:tc>
      </w:tr>
    </w:tbl>
    <w:p w14:paraId="38032319">
      <w:pPr>
        <w:rPr>
          <w:rFonts w:hint="default" w:ascii="Times New Roman" w:hAnsi="Times New Roman" w:eastAsia="方正兰亭黑简体" w:cs="Times New Roman"/>
          <w:b/>
          <w:bCs/>
          <w:color w:val="auto"/>
          <w:sz w:val="22"/>
          <w:szCs w:val="22"/>
          <w:highlight w:val="none"/>
          <w:lang w:val="en-US" w:eastAsia="zh-CN"/>
        </w:rPr>
      </w:pPr>
      <w:r>
        <w:rPr>
          <w:rFonts w:hint="eastAsia" w:ascii="Times New Roman" w:hAnsi="Times New Roman" w:eastAsia="方正兰亭黑简体" w:cs="Times New Roman"/>
          <w:b/>
          <w:bCs/>
          <w:color w:val="auto"/>
          <w:sz w:val="22"/>
          <w:szCs w:val="22"/>
          <w:highlight w:val="none"/>
          <w:lang w:val="en-US" w:eastAsia="zh-CN"/>
        </w:rPr>
        <w:t>二、交付内容物及交付方式</w:t>
      </w:r>
    </w:p>
    <w:p w14:paraId="4EB3FBE9">
      <w:pPr>
        <w:pStyle w:val="19"/>
        <w:tabs>
          <w:tab w:val="left" w:pos="0"/>
        </w:tabs>
        <w:spacing w:line="360" w:lineRule="auto"/>
        <w:ind w:left="0" w:leftChars="0" w:firstLine="0" w:firstLineChars="0"/>
        <w:rPr>
          <w:rFonts w:hint="eastAsia" w:ascii="微软雅黑" w:hAnsi="微软雅黑" w:eastAsia="微软雅黑" w:cs="微软雅黑"/>
          <w:color w:val="auto"/>
          <w:sz w:val="22"/>
          <w:szCs w:val="22"/>
          <w:highlight w:val="none"/>
          <w:lang w:val="en-US" w:eastAsia="zh-CN"/>
        </w:rPr>
      </w:pPr>
      <w:r>
        <w:rPr>
          <w:rFonts w:hint="eastAsia" w:ascii="微软雅黑" w:hAnsi="微软雅黑" w:eastAsia="微软雅黑" w:cs="微软雅黑"/>
          <w:color w:val="auto"/>
          <w:sz w:val="22"/>
          <w:szCs w:val="22"/>
          <w:highlight w:val="none"/>
          <w:lang w:val="zh-CN"/>
        </w:rPr>
        <w:t>研究报告提交至甲方邮箱，liuxiaolei@shmtu.edu.cn</w:t>
      </w:r>
    </w:p>
    <w:p w14:paraId="0B309400">
      <w:pPr>
        <w:rPr>
          <w:rFonts w:hint="default" w:ascii="Times New Roman" w:hAnsi="Times New Roman" w:eastAsia="方正兰亭黑简体" w:cs="Times New Roman"/>
          <w:b/>
          <w:bCs/>
          <w:color w:val="auto"/>
          <w:sz w:val="22"/>
          <w:szCs w:val="22"/>
          <w:highlight w:val="none"/>
          <w:lang w:val="en-US" w:eastAsia="zh-CN"/>
        </w:rPr>
      </w:pPr>
      <w:r>
        <w:rPr>
          <w:rFonts w:hint="eastAsia" w:ascii="Times New Roman" w:hAnsi="Times New Roman" w:eastAsia="方正兰亭黑简体" w:cs="Times New Roman"/>
          <w:b/>
          <w:bCs/>
          <w:color w:val="auto"/>
          <w:sz w:val="22"/>
          <w:szCs w:val="22"/>
          <w:highlight w:val="none"/>
          <w:lang w:val="en-US" w:eastAsia="zh-CN"/>
        </w:rPr>
        <w:t>三、其他要求</w:t>
      </w:r>
    </w:p>
    <w:p w14:paraId="46F01CE5">
      <w:pPr>
        <w:pStyle w:val="19"/>
        <w:tabs>
          <w:tab w:val="left" w:pos="0"/>
        </w:tabs>
        <w:spacing w:line="360" w:lineRule="auto"/>
        <w:ind w:left="0" w:leftChars="0" w:firstLine="0" w:firstLineChars="0"/>
        <w:rPr>
          <w:rFonts w:hint="eastAsia" w:ascii="微软雅黑" w:hAnsi="微软雅黑" w:eastAsia="微软雅黑" w:cs="微软雅黑"/>
          <w:color w:val="auto"/>
          <w:sz w:val="22"/>
          <w:szCs w:val="22"/>
          <w:highlight w:val="none"/>
          <w:lang w:val="en-US" w:eastAsia="zh-CN"/>
        </w:rPr>
      </w:pPr>
      <w:r>
        <w:rPr>
          <w:rFonts w:hint="eastAsia" w:ascii="微软雅黑" w:hAnsi="微软雅黑" w:eastAsia="微软雅黑" w:cs="微软雅黑"/>
          <w:color w:val="auto"/>
          <w:sz w:val="22"/>
          <w:szCs w:val="22"/>
          <w:highlight w:val="none"/>
          <w:lang w:val="en-US" w:eastAsia="zh-CN"/>
        </w:rPr>
        <w:t>1、提供后续一年服务，在此期间</w:t>
      </w:r>
      <w:r>
        <w:rPr>
          <w:rFonts w:hint="eastAsia" w:ascii="微软雅黑" w:hAnsi="微软雅黑" w:eastAsia="微软雅黑" w:cs="微软雅黑"/>
          <w:color w:val="auto"/>
          <w:sz w:val="22"/>
          <w:szCs w:val="22"/>
          <w:highlight w:val="none"/>
          <w:lang w:val="zh-CN"/>
        </w:rPr>
        <w:t>如果</w:t>
      </w:r>
      <w:r>
        <w:rPr>
          <w:rFonts w:hint="eastAsia" w:ascii="微软雅黑" w:hAnsi="微软雅黑" w:eastAsia="微软雅黑" w:cs="微软雅黑"/>
          <w:color w:val="auto"/>
          <w:sz w:val="22"/>
          <w:szCs w:val="22"/>
          <w:highlight w:val="none"/>
          <w:lang w:val="en-US" w:eastAsia="zh-CN"/>
        </w:rPr>
        <w:t>校方</w:t>
      </w:r>
      <w:r>
        <w:rPr>
          <w:rFonts w:hint="eastAsia" w:ascii="微软雅黑" w:hAnsi="微软雅黑" w:eastAsia="微软雅黑" w:cs="微软雅黑"/>
          <w:color w:val="auto"/>
          <w:sz w:val="22"/>
          <w:szCs w:val="22"/>
          <w:highlight w:val="none"/>
          <w:lang w:val="zh-CN"/>
        </w:rPr>
        <w:t>对交付的研究报告有任何疑问，应当在12小时内在线或当面解答，并且承诺不收取任何费用。</w:t>
      </w:r>
    </w:p>
    <w:p w14:paraId="4A893233">
      <w:pPr>
        <w:rPr>
          <w:rFonts w:ascii="Times New Roman" w:hAnsi="Times New Roman" w:eastAsia="方正兰亭黑简体" w:cs="Times New Roman"/>
          <w:b/>
          <w:bCs/>
          <w:color w:val="auto"/>
          <w:sz w:val="22"/>
          <w:szCs w:val="22"/>
          <w:highlight w:val="none"/>
        </w:rPr>
      </w:pPr>
      <w:r>
        <w:rPr>
          <w:rFonts w:hint="eastAsia" w:ascii="Times New Roman" w:hAnsi="Times New Roman" w:eastAsia="方正兰亭黑简体" w:cs="Times New Roman"/>
          <w:b/>
          <w:bCs/>
          <w:color w:val="auto"/>
          <w:sz w:val="22"/>
          <w:szCs w:val="22"/>
          <w:highlight w:val="none"/>
          <w:lang w:val="en-US" w:eastAsia="zh-CN"/>
        </w:rPr>
        <w:t>四</w:t>
      </w:r>
      <w:r>
        <w:rPr>
          <w:rFonts w:hint="eastAsia" w:ascii="Times New Roman" w:hAnsi="Times New Roman" w:eastAsia="方正兰亭黑简体" w:cs="Times New Roman"/>
          <w:b/>
          <w:bCs/>
          <w:color w:val="auto"/>
          <w:sz w:val="22"/>
          <w:szCs w:val="22"/>
          <w:highlight w:val="none"/>
        </w:rPr>
        <w:t>、验收标准</w:t>
      </w:r>
    </w:p>
    <w:p w14:paraId="5F875A1D">
      <w:pPr>
        <w:pStyle w:val="19"/>
        <w:tabs>
          <w:tab w:val="left" w:pos="0"/>
        </w:tabs>
        <w:spacing w:line="360" w:lineRule="auto"/>
        <w:ind w:left="0" w:leftChars="0" w:firstLine="0" w:firstLineChars="0"/>
        <w:rPr>
          <w:rFonts w:hint="eastAsia" w:ascii="微软雅黑" w:hAnsi="微软雅黑" w:eastAsia="微软雅黑" w:cs="微软雅黑"/>
          <w:color w:val="auto"/>
          <w:sz w:val="22"/>
          <w:szCs w:val="22"/>
          <w:highlight w:val="none"/>
          <w:lang w:val="zh-CN"/>
        </w:rPr>
      </w:pPr>
      <w:r>
        <w:rPr>
          <w:rFonts w:hint="eastAsia" w:ascii="微软雅黑" w:hAnsi="微软雅黑" w:eastAsia="微软雅黑" w:cs="微软雅黑"/>
          <w:color w:val="auto"/>
          <w:sz w:val="22"/>
          <w:szCs w:val="22"/>
          <w:highlight w:val="none"/>
          <w:lang w:val="zh-CN"/>
        </w:rPr>
        <w:t>验收时间：提交研究报告后5个工作日内。</w:t>
      </w:r>
    </w:p>
    <w:p w14:paraId="61F20532">
      <w:pPr>
        <w:pStyle w:val="19"/>
        <w:tabs>
          <w:tab w:val="left" w:pos="0"/>
        </w:tabs>
        <w:spacing w:line="360" w:lineRule="auto"/>
        <w:ind w:left="0" w:leftChars="0" w:firstLine="0" w:firstLineChars="0"/>
        <w:rPr>
          <w:rFonts w:hint="eastAsia" w:ascii="微软雅黑" w:hAnsi="微软雅黑" w:eastAsia="微软雅黑" w:cs="微软雅黑"/>
          <w:color w:val="auto"/>
          <w:sz w:val="22"/>
          <w:szCs w:val="22"/>
          <w:highlight w:val="none"/>
          <w:lang w:val="zh-CN"/>
        </w:rPr>
      </w:pPr>
      <w:r>
        <w:rPr>
          <w:rFonts w:hint="eastAsia" w:ascii="微软雅黑" w:hAnsi="微软雅黑" w:eastAsia="微软雅黑" w:cs="微软雅黑"/>
          <w:color w:val="auto"/>
          <w:sz w:val="22"/>
          <w:szCs w:val="22"/>
          <w:highlight w:val="none"/>
          <w:lang w:val="zh-CN"/>
        </w:rPr>
        <w:t>验收方法：</w:t>
      </w:r>
      <w:r>
        <w:rPr>
          <w:rFonts w:hint="eastAsia" w:ascii="微软雅黑" w:hAnsi="微软雅黑" w:eastAsia="微软雅黑" w:cs="微软雅黑"/>
          <w:color w:val="auto"/>
          <w:sz w:val="22"/>
          <w:szCs w:val="22"/>
          <w:highlight w:val="none"/>
          <w:lang w:val="en-US" w:eastAsia="zh-CN"/>
        </w:rPr>
        <w:t>校方</w:t>
      </w:r>
      <w:r>
        <w:rPr>
          <w:rFonts w:hint="eastAsia" w:ascii="微软雅黑" w:hAnsi="微软雅黑" w:eastAsia="微软雅黑" w:cs="微软雅黑"/>
          <w:color w:val="auto"/>
          <w:sz w:val="22"/>
          <w:szCs w:val="22"/>
          <w:highlight w:val="none"/>
          <w:lang w:val="zh-CN"/>
        </w:rPr>
        <w:t>组织内部专家评审。</w:t>
      </w:r>
    </w:p>
    <w:p w14:paraId="0EB34579">
      <w:pPr>
        <w:pStyle w:val="19"/>
        <w:tabs>
          <w:tab w:val="left" w:pos="0"/>
        </w:tabs>
        <w:spacing w:line="360" w:lineRule="auto"/>
        <w:ind w:left="0" w:leftChars="0" w:firstLine="0" w:firstLineChars="0"/>
        <w:rPr>
          <w:rFonts w:hint="default" w:ascii="微软雅黑" w:hAnsi="微软雅黑" w:eastAsia="微软雅黑" w:cs="微软雅黑"/>
          <w:color w:val="auto"/>
          <w:sz w:val="22"/>
          <w:szCs w:val="22"/>
          <w:highlight w:val="none"/>
          <w:lang w:val="zh-CN"/>
        </w:rPr>
      </w:pPr>
      <w:r>
        <w:rPr>
          <w:rFonts w:hint="eastAsia" w:ascii="微软雅黑" w:hAnsi="微软雅黑" w:eastAsia="微软雅黑" w:cs="微软雅黑"/>
          <w:color w:val="auto"/>
          <w:sz w:val="22"/>
          <w:szCs w:val="22"/>
          <w:highlight w:val="none"/>
          <w:lang w:val="zh-CN"/>
        </w:rPr>
        <w:t>验收标准：满足指标要求。</w:t>
      </w:r>
    </w:p>
    <w:p w14:paraId="4420910E">
      <w:pPr>
        <w:rPr>
          <w:rFonts w:hint="eastAsia" w:ascii="方正兰亭黑简体" w:hAnsi="方正兰亭黑简体" w:eastAsia="方正兰亭黑简体" w:cs="方正兰亭黑简体"/>
          <w:b/>
          <w:bCs/>
          <w:color w:val="auto"/>
          <w:sz w:val="24"/>
          <w:szCs w:val="32"/>
          <w:highlight w:val="none"/>
          <w:lang w:val="en-US" w:eastAsia="zh-CN"/>
        </w:rPr>
      </w:pPr>
    </w:p>
    <w:p w14:paraId="1B256155">
      <w:pP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br w:type="page"/>
      </w:r>
    </w:p>
    <w:p w14:paraId="242B56B3">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第三章 评审办法</w:t>
      </w:r>
    </w:p>
    <w:p w14:paraId="2DA9D43D">
      <w:pPr>
        <w:ind w:firstLine="440" w:firstLineChars="200"/>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综合本项目的特点，根据相关法律法规的规定，本着保护竞争，维护采购工作公开、公平、公正原则，特制定本评审办法，作为选定本次采购中标人的依据。</w:t>
      </w:r>
    </w:p>
    <w:p w14:paraId="673FFF60">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1、成立比选评审小组</w:t>
      </w:r>
    </w:p>
    <w:p w14:paraId="1D34F033">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采购人将根据货物与服务的特点，依规组建比选小组，比选小组由3人或以上的单数组成。</w:t>
      </w:r>
    </w:p>
    <w:p w14:paraId="12EFA4B4">
      <w:pPr>
        <w:numPr>
          <w:ilvl w:val="0"/>
          <w:numId w:val="1"/>
        </w:num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具体评分细则如下：</w:t>
      </w:r>
    </w:p>
    <w:tbl>
      <w:tblPr>
        <w:tblStyle w:val="14"/>
        <w:tblW w:w="4988"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656"/>
        <w:gridCol w:w="1330"/>
        <w:gridCol w:w="723"/>
        <w:gridCol w:w="7229"/>
      </w:tblGrid>
      <w:tr w14:paraId="4FA9B33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50" w:hRule="atLeast"/>
          <w:jc w:val="center"/>
        </w:trPr>
        <w:tc>
          <w:tcPr>
            <w:tcW w:w="330" w:type="pct"/>
            <w:vAlign w:val="center"/>
          </w:tcPr>
          <w:p w14:paraId="0E8E4E82">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序号</w:t>
            </w:r>
          </w:p>
        </w:tc>
        <w:tc>
          <w:tcPr>
            <w:tcW w:w="669" w:type="pct"/>
            <w:vAlign w:val="center"/>
          </w:tcPr>
          <w:p w14:paraId="04667EC9">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评审因素</w:t>
            </w:r>
          </w:p>
        </w:tc>
        <w:tc>
          <w:tcPr>
            <w:tcW w:w="364" w:type="pct"/>
            <w:vAlign w:val="center"/>
          </w:tcPr>
          <w:p w14:paraId="6B1AA947">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分值</w:t>
            </w:r>
          </w:p>
        </w:tc>
        <w:tc>
          <w:tcPr>
            <w:tcW w:w="3635" w:type="pct"/>
            <w:vAlign w:val="center"/>
          </w:tcPr>
          <w:p w14:paraId="78DCF4D6">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评分说明</w:t>
            </w:r>
          </w:p>
        </w:tc>
      </w:tr>
      <w:tr w14:paraId="25120DB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53" w:hRule="atLeast"/>
          <w:jc w:val="center"/>
        </w:trPr>
        <w:tc>
          <w:tcPr>
            <w:tcW w:w="5000" w:type="pct"/>
            <w:gridSpan w:val="4"/>
            <w:vAlign w:val="center"/>
          </w:tcPr>
          <w:p w14:paraId="3C4E5B51">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一、价格部分</w:t>
            </w:r>
          </w:p>
        </w:tc>
      </w:tr>
      <w:tr w14:paraId="14B227B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30" w:type="pct"/>
            <w:vAlign w:val="center"/>
          </w:tcPr>
          <w:p w14:paraId="40A3FBEB">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1</w:t>
            </w:r>
          </w:p>
        </w:tc>
        <w:tc>
          <w:tcPr>
            <w:tcW w:w="669" w:type="pct"/>
            <w:vAlign w:val="center"/>
          </w:tcPr>
          <w:p w14:paraId="6E043E2F">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价格得分</w:t>
            </w:r>
          </w:p>
          <w:p w14:paraId="33D28CC8">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（客观分）</w:t>
            </w:r>
          </w:p>
        </w:tc>
        <w:tc>
          <w:tcPr>
            <w:tcW w:w="364" w:type="pct"/>
            <w:vAlign w:val="center"/>
          </w:tcPr>
          <w:p w14:paraId="2F6FAA4D">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20</w:t>
            </w:r>
          </w:p>
        </w:tc>
        <w:tc>
          <w:tcPr>
            <w:tcW w:w="3635" w:type="pct"/>
            <w:vAlign w:val="center"/>
          </w:tcPr>
          <w:p w14:paraId="69E5170C">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采用低价优先法计算，即满足比选文件要求且最低的报价为基准价，其价格分为满分20分。其他报价单位的报价得分计算公式如下：报价得分＝20×（评标基准价/投标报价）。</w:t>
            </w:r>
          </w:p>
        </w:tc>
      </w:tr>
      <w:tr w14:paraId="4DE7C0B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35" w:hRule="atLeast"/>
          <w:jc w:val="center"/>
        </w:trPr>
        <w:tc>
          <w:tcPr>
            <w:tcW w:w="5000" w:type="pct"/>
            <w:gridSpan w:val="4"/>
            <w:vAlign w:val="center"/>
          </w:tcPr>
          <w:p w14:paraId="11AA50BB">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二、商务、技术部分</w:t>
            </w:r>
          </w:p>
        </w:tc>
      </w:tr>
      <w:tr w14:paraId="2540F19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330" w:type="pct"/>
            <w:vAlign w:val="center"/>
          </w:tcPr>
          <w:p w14:paraId="4ED921D1">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2</w:t>
            </w:r>
          </w:p>
        </w:tc>
        <w:tc>
          <w:tcPr>
            <w:tcW w:w="669" w:type="pct"/>
            <w:vAlign w:val="center"/>
          </w:tcPr>
          <w:p w14:paraId="7AF339FF">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经验业绩</w:t>
            </w:r>
          </w:p>
          <w:p w14:paraId="6004DB21">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（客观分）</w:t>
            </w:r>
          </w:p>
        </w:tc>
        <w:tc>
          <w:tcPr>
            <w:tcW w:w="364" w:type="pct"/>
            <w:vAlign w:val="center"/>
          </w:tcPr>
          <w:p w14:paraId="3557659E">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15</w:t>
            </w:r>
          </w:p>
        </w:tc>
        <w:tc>
          <w:tcPr>
            <w:tcW w:w="3635" w:type="pct"/>
            <w:vAlign w:val="center"/>
          </w:tcPr>
          <w:p w14:paraId="74E23610">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提供近3年（合同签订日期自2023年</w:t>
            </w:r>
            <w:r>
              <w:rPr>
                <w:rFonts w:hint="eastAsia" w:ascii="方正兰亭黑简体" w:hAnsi="方正兰亭黑简体" w:eastAsia="方正兰亭黑简体" w:cs="方正兰亭黑简体"/>
                <w:color w:val="auto"/>
                <w:sz w:val="20"/>
                <w:szCs w:val="20"/>
                <w:highlight w:val="none"/>
                <w:lang w:val="en-US" w:eastAsia="zh-CN"/>
              </w:rPr>
              <w:t>4</w:t>
            </w:r>
            <w:r>
              <w:rPr>
                <w:rFonts w:hint="eastAsia" w:ascii="方正兰亭黑简体" w:hAnsi="方正兰亭黑简体" w:eastAsia="方正兰亭黑简体" w:cs="方正兰亭黑简体"/>
                <w:color w:val="auto"/>
                <w:sz w:val="20"/>
                <w:szCs w:val="20"/>
                <w:highlight w:val="none"/>
              </w:rPr>
              <w:t>月1日起至今）业绩案例。（每提供1个得5分；最高得15分）注：需提供相关业绩的合同复印件，否则将不予认可。</w:t>
            </w:r>
          </w:p>
        </w:tc>
      </w:tr>
      <w:tr w14:paraId="6AF9498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04" w:hRule="atLeast"/>
          <w:jc w:val="center"/>
        </w:trPr>
        <w:tc>
          <w:tcPr>
            <w:tcW w:w="330" w:type="pct"/>
            <w:vAlign w:val="center"/>
          </w:tcPr>
          <w:p w14:paraId="4780BF04">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3</w:t>
            </w:r>
          </w:p>
        </w:tc>
        <w:tc>
          <w:tcPr>
            <w:tcW w:w="669" w:type="pct"/>
            <w:vAlign w:val="center"/>
          </w:tcPr>
          <w:p w14:paraId="312CC6C9">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服务响应程度</w:t>
            </w:r>
          </w:p>
          <w:p w14:paraId="1DD2C7B1">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（客观分）</w:t>
            </w:r>
          </w:p>
        </w:tc>
        <w:tc>
          <w:tcPr>
            <w:tcW w:w="364" w:type="pct"/>
            <w:vAlign w:val="center"/>
          </w:tcPr>
          <w:p w14:paraId="3A438D65">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15</w:t>
            </w:r>
          </w:p>
        </w:tc>
        <w:tc>
          <w:tcPr>
            <w:tcW w:w="3635" w:type="pct"/>
            <w:vAlign w:val="center"/>
          </w:tcPr>
          <w:p w14:paraId="4C942918">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针对第二章中的采购需求：不满足技术条款的，每项扣3分；扣完为止。</w:t>
            </w:r>
          </w:p>
        </w:tc>
      </w:tr>
      <w:tr w14:paraId="4D0BBB9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881" w:hRule="atLeast"/>
          <w:jc w:val="center"/>
        </w:trPr>
        <w:tc>
          <w:tcPr>
            <w:tcW w:w="330" w:type="pct"/>
            <w:vAlign w:val="center"/>
          </w:tcPr>
          <w:p w14:paraId="788752CD">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4</w:t>
            </w:r>
          </w:p>
        </w:tc>
        <w:tc>
          <w:tcPr>
            <w:tcW w:w="669" w:type="pct"/>
            <w:tcBorders>
              <w:top w:val="single" w:color="auto" w:sz="6" w:space="0"/>
              <w:left w:val="single" w:color="auto" w:sz="6" w:space="0"/>
              <w:bottom w:val="single" w:color="auto" w:sz="6" w:space="0"/>
              <w:right w:val="single" w:color="auto" w:sz="6" w:space="0"/>
            </w:tcBorders>
            <w:vAlign w:val="center"/>
          </w:tcPr>
          <w:p w14:paraId="7A8085AB">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lang w:val="zh-CN"/>
              </w:rPr>
              <w:t>服务方案</w:t>
            </w:r>
            <w:r>
              <w:rPr>
                <w:rFonts w:hint="eastAsia" w:ascii="方正兰亭黑简体" w:hAnsi="方正兰亭黑简体" w:eastAsia="方正兰亭黑简体" w:cs="方正兰亭黑简体"/>
                <w:color w:val="auto"/>
                <w:sz w:val="20"/>
                <w:szCs w:val="20"/>
                <w:highlight w:val="none"/>
              </w:rPr>
              <w:t>整体质量</w:t>
            </w:r>
          </w:p>
          <w:p w14:paraId="2F94F36C">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（主观分）</w:t>
            </w:r>
          </w:p>
        </w:tc>
        <w:tc>
          <w:tcPr>
            <w:tcW w:w="364" w:type="pct"/>
            <w:vAlign w:val="center"/>
          </w:tcPr>
          <w:p w14:paraId="004B4B48">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30</w:t>
            </w:r>
          </w:p>
        </w:tc>
        <w:tc>
          <w:tcPr>
            <w:tcW w:w="3635" w:type="pct"/>
            <w:vAlign w:val="center"/>
          </w:tcPr>
          <w:p w14:paraId="6393C2D9">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优秀（21～30分）：方案整体质量高，方案合理可行性强，响应措施及时高效，项目进度安排紧凑合理。</w:t>
            </w:r>
          </w:p>
          <w:p w14:paraId="36A6F9CB">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良好（11～20分）：方案整体质量较好，响应措施尚可，方案个别细节有待进一步完善。</w:t>
            </w:r>
          </w:p>
          <w:p w14:paraId="3EC9A561">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一般（6～10分）：方案整体质量一般，合理性与可行性一般，存在风险但总体可控的。</w:t>
            </w:r>
          </w:p>
          <w:p w14:paraId="58DA62C3">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较差（0～5分）：方案整体质量较差，与项目实际契合度低的。</w:t>
            </w:r>
          </w:p>
        </w:tc>
      </w:tr>
      <w:tr w14:paraId="3BB3167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94" w:hRule="atLeast"/>
          <w:jc w:val="center"/>
        </w:trPr>
        <w:tc>
          <w:tcPr>
            <w:tcW w:w="330" w:type="pct"/>
            <w:vAlign w:val="center"/>
          </w:tcPr>
          <w:p w14:paraId="56286725">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5</w:t>
            </w:r>
          </w:p>
        </w:tc>
        <w:tc>
          <w:tcPr>
            <w:tcW w:w="669" w:type="pct"/>
            <w:vAlign w:val="center"/>
          </w:tcPr>
          <w:p w14:paraId="6709E7BB">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服务承诺</w:t>
            </w:r>
          </w:p>
          <w:p w14:paraId="020BE35A">
            <w:pPr>
              <w:pStyle w:val="13"/>
              <w:ind w:firstLine="200"/>
              <w:rPr>
                <w:color w:val="auto"/>
                <w:highlight w:val="none"/>
              </w:rPr>
            </w:pPr>
            <w:r>
              <w:rPr>
                <w:rFonts w:hint="eastAsia" w:ascii="方正兰亭黑简体" w:hAnsi="方正兰亭黑简体" w:eastAsia="方正兰亭黑简体" w:cs="方正兰亭黑简体"/>
                <w:color w:val="auto"/>
                <w:sz w:val="20"/>
                <w:szCs w:val="20"/>
                <w:highlight w:val="none"/>
              </w:rPr>
              <w:t>（主观分）</w:t>
            </w:r>
          </w:p>
        </w:tc>
        <w:tc>
          <w:tcPr>
            <w:tcW w:w="364" w:type="pct"/>
            <w:vAlign w:val="center"/>
          </w:tcPr>
          <w:p w14:paraId="1D1DB52F">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20</w:t>
            </w:r>
          </w:p>
        </w:tc>
        <w:tc>
          <w:tcPr>
            <w:tcW w:w="3635" w:type="pct"/>
          </w:tcPr>
          <w:p w14:paraId="17BC9C7A">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优秀（16～20分）：服务承诺等合理可行。</w:t>
            </w:r>
          </w:p>
          <w:p w14:paraId="39CBBAFA">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良好（11～15分）：服务承诺等比较合理。</w:t>
            </w:r>
          </w:p>
          <w:p w14:paraId="57D0EDAC">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一般（6～10分）：服务承诺等合理性与可行性一般。</w:t>
            </w:r>
          </w:p>
          <w:p w14:paraId="053ACC0F">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较差（0～5分）：服务承诺等合理性与可行性较差。</w:t>
            </w:r>
          </w:p>
        </w:tc>
      </w:tr>
    </w:tbl>
    <w:p w14:paraId="6072BEB5">
      <w:pPr>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br w:type="page"/>
      </w:r>
    </w:p>
    <w:p w14:paraId="2D0B04EA">
      <w:pPr>
        <w:jc w:val="center"/>
        <w:rPr>
          <w:rFonts w:hint="eastAsia" w:ascii="方正兰亭黑简体" w:hAnsi="方正兰亭黑简体" w:eastAsia="方正兰亭黑简体" w:cs="方正兰亭黑简体"/>
          <w:b/>
          <w:bCs/>
          <w:color w:val="auto"/>
          <w:sz w:val="24"/>
          <w:szCs w:val="32"/>
          <w:highlight w:val="none"/>
        </w:rPr>
        <w:sectPr>
          <w:footerReference r:id="rId3" w:type="default"/>
          <w:pgSz w:w="11906" w:h="16838"/>
          <w:pgMar w:top="1440" w:right="1080" w:bottom="1440" w:left="1080" w:header="851" w:footer="992" w:gutter="0"/>
          <w:cols w:space="425" w:num="1"/>
          <w:docGrid w:type="lines" w:linePitch="312" w:charSpace="0"/>
        </w:sectPr>
      </w:pPr>
    </w:p>
    <w:p w14:paraId="1AC852B6">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第四章 格式附件</w:t>
      </w:r>
    </w:p>
    <w:p w14:paraId="1219D175">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附件1：报价单</w:t>
      </w:r>
    </w:p>
    <w:p w14:paraId="038537F8">
      <w:pPr>
        <w:spacing w:line="440" w:lineRule="exact"/>
        <w:jc w:val="center"/>
        <w:rPr>
          <w:rFonts w:hint="eastAsia" w:ascii="宋体" w:hAnsi="宋体" w:eastAsia="宋体"/>
          <w:color w:val="auto"/>
          <w:sz w:val="24"/>
          <w:highlight w:val="none"/>
        </w:rPr>
      </w:pPr>
      <w:r>
        <w:rPr>
          <w:rFonts w:hint="eastAsia" w:ascii="黑体" w:hAnsi="华文楷体" w:eastAsia="黑体"/>
          <w:b/>
          <w:color w:val="auto"/>
          <w:sz w:val="36"/>
          <w:szCs w:val="36"/>
          <w:highlight w:val="none"/>
        </w:rPr>
        <w:t>报   价   单</w:t>
      </w:r>
    </w:p>
    <w:p w14:paraId="28C0DCFE">
      <w:pPr>
        <w:spacing w:line="440" w:lineRule="exact"/>
        <w:jc w:val="left"/>
        <w:rPr>
          <w:rFonts w:hint="eastAsia" w:ascii="黑体" w:hAnsi="华文楷体" w:eastAsia="黑体"/>
          <w:color w:val="auto"/>
          <w:sz w:val="24"/>
          <w:highlight w:val="none"/>
        </w:rPr>
      </w:pPr>
      <w:r>
        <w:rPr>
          <w:rFonts w:hint="eastAsia" w:ascii="黑体" w:hAnsi="华文楷体" w:eastAsia="黑体"/>
          <w:b/>
          <w:color w:val="auto"/>
          <w:sz w:val="24"/>
          <w:highlight w:val="none"/>
        </w:rPr>
        <w:t xml:space="preserve">TO: </w:t>
      </w:r>
      <w:r>
        <w:rPr>
          <w:rFonts w:hint="eastAsia" w:ascii="黑体" w:hAnsi="华文楷体" w:eastAsia="黑体"/>
          <w:color w:val="auto"/>
          <w:sz w:val="24"/>
          <w:highlight w:val="none"/>
        </w:rPr>
        <w:t xml:space="preserve"> 上海海事大学 采购与招投标管理中心</w:t>
      </w:r>
      <w:r>
        <w:rPr>
          <w:rFonts w:hint="eastAsia" w:ascii="黑体" w:hAnsi="华文楷体" w:eastAsia="黑体"/>
          <w:b/>
          <w:color w:val="auto"/>
          <w:sz w:val="36"/>
          <w:szCs w:val="36"/>
          <w:highlight w:val="none"/>
        </w:rPr>
        <w:t xml:space="preserve">             </w:t>
      </w:r>
      <w:r>
        <w:rPr>
          <w:rFonts w:hint="eastAsia" w:ascii="黑体" w:hAnsi="华文楷体" w:eastAsia="黑体"/>
          <w:color w:val="auto"/>
          <w:sz w:val="24"/>
          <w:highlight w:val="none"/>
        </w:rPr>
        <w:t>项目编号：</w:t>
      </w:r>
      <w:r>
        <w:rPr>
          <w:rFonts w:hint="eastAsia" w:ascii="黑体" w:hAnsi="华文楷体" w:eastAsia="黑体"/>
          <w:color w:val="auto"/>
          <w:sz w:val="24"/>
          <w:highlight w:val="none"/>
          <w:lang w:eastAsia="zh-CN"/>
        </w:rPr>
        <w:t>HFBX2026029</w:t>
      </w:r>
      <w:r>
        <w:rPr>
          <w:rFonts w:hint="eastAsia" w:ascii="黑体" w:hAnsi="华文楷体" w:eastAsia="黑体"/>
          <w:b/>
          <w:color w:val="auto"/>
          <w:sz w:val="36"/>
          <w:szCs w:val="36"/>
          <w:highlight w:val="none"/>
        </w:rPr>
        <w:t xml:space="preserve">                     </w:t>
      </w:r>
    </w:p>
    <w:p w14:paraId="09EAC316">
      <w:pPr>
        <w:spacing w:line="440" w:lineRule="exact"/>
        <w:rPr>
          <w:rFonts w:hint="eastAsia" w:ascii="方正仿宋_GB2312" w:hAnsi="方正仿宋_GB2312" w:eastAsia="方正仿宋_GB2312" w:cs="方正仿宋_GB2312"/>
          <w:b/>
          <w:color w:val="auto"/>
          <w:sz w:val="24"/>
          <w:highlight w:val="none"/>
        </w:rPr>
      </w:pPr>
      <w:r>
        <w:rPr>
          <w:rFonts w:hint="eastAsia" w:ascii="黑体" w:hAnsi="华文楷体" w:eastAsia="黑体"/>
          <w:b/>
          <w:color w:val="auto"/>
          <w:sz w:val="24"/>
          <w:highlight w:val="none"/>
        </w:rPr>
        <w:t>电子邮箱：</w:t>
      </w:r>
      <w:r>
        <w:rPr>
          <w:color w:val="auto"/>
          <w:highlight w:val="none"/>
        </w:rPr>
        <w:fldChar w:fldCharType="begin"/>
      </w:r>
      <w:r>
        <w:rPr>
          <w:color w:val="auto"/>
          <w:highlight w:val="none"/>
        </w:rPr>
        <w:instrText xml:space="preserve"> HYPERLINK "mailto:quotation@shmtu.edu.cn" </w:instrText>
      </w:r>
      <w:r>
        <w:rPr>
          <w:color w:val="auto"/>
          <w:highlight w:val="none"/>
        </w:rPr>
        <w:fldChar w:fldCharType="separate"/>
      </w:r>
      <w:r>
        <w:rPr>
          <w:rStyle w:val="18"/>
          <w:rFonts w:ascii="黑体" w:hAnsi="华文楷体" w:eastAsia="黑体"/>
          <w:b/>
          <w:color w:val="auto"/>
          <w:sz w:val="24"/>
          <w:highlight w:val="none"/>
        </w:rPr>
        <w:t>quotation@shmtu.edu.cn</w:t>
      </w:r>
      <w:r>
        <w:rPr>
          <w:rStyle w:val="18"/>
          <w:rFonts w:ascii="黑体" w:hAnsi="华文楷体" w:eastAsia="黑体"/>
          <w:b/>
          <w:color w:val="auto"/>
          <w:sz w:val="24"/>
          <w:highlight w:val="none"/>
        </w:rPr>
        <w:fldChar w:fldCharType="end"/>
      </w:r>
    </w:p>
    <w:p w14:paraId="0E4AC90F">
      <w:pPr>
        <w:spacing w:line="440" w:lineRule="exact"/>
        <w:rPr>
          <w:rFonts w:hint="eastAsia" w:ascii="黑体" w:hAnsi="华文楷体" w:eastAsia="黑体"/>
          <w:b/>
          <w:color w:val="auto"/>
          <w:sz w:val="24"/>
          <w:highlight w:val="none"/>
        </w:rPr>
      </w:pPr>
      <w:r>
        <w:rPr>
          <w:rFonts w:hint="eastAsia" w:ascii="黑体" w:hAnsi="华文楷体" w:eastAsia="黑体"/>
          <w:b/>
          <w:color w:val="auto"/>
          <w:sz w:val="24"/>
          <w:highlight w:val="none"/>
        </w:rPr>
        <w:t>公司名称：</w:t>
      </w:r>
      <w:r>
        <w:rPr>
          <w:rFonts w:hint="eastAsia" w:ascii="黑体" w:hAnsi="华文楷体" w:eastAsia="黑体"/>
          <w:color w:val="auto"/>
          <w:sz w:val="24"/>
          <w:highlight w:val="none"/>
        </w:rPr>
        <w:t xml:space="preserve">                                                </w:t>
      </w:r>
      <w:r>
        <w:rPr>
          <w:rFonts w:hint="eastAsia" w:ascii="黑体" w:hAnsi="华文楷体" w:eastAsia="黑体"/>
          <w:b/>
          <w:color w:val="auto"/>
          <w:sz w:val="24"/>
          <w:highlight w:val="none"/>
        </w:rPr>
        <w:t>联系人：</w:t>
      </w:r>
    </w:p>
    <w:p w14:paraId="6610026A">
      <w:pPr>
        <w:spacing w:line="440" w:lineRule="exact"/>
        <w:rPr>
          <w:rFonts w:hint="eastAsia" w:ascii="黑体" w:hAnsi="华文楷体" w:eastAsia="黑体"/>
          <w:b/>
          <w:color w:val="auto"/>
          <w:sz w:val="24"/>
          <w:highlight w:val="none"/>
        </w:rPr>
      </w:pPr>
      <w:r>
        <w:rPr>
          <w:rFonts w:hint="eastAsia" w:ascii="黑体" w:hAnsi="华文楷体" w:eastAsia="黑体"/>
          <w:b/>
          <w:color w:val="auto"/>
          <w:sz w:val="24"/>
          <w:highlight w:val="none"/>
        </w:rPr>
        <w:t>电子邮箱：                                                公司地址：</w:t>
      </w:r>
    </w:p>
    <w:p w14:paraId="0F397EAB">
      <w:pPr>
        <w:spacing w:line="440" w:lineRule="exact"/>
        <w:rPr>
          <w:rFonts w:hint="eastAsia" w:ascii="黑体" w:hAnsi="华文楷体" w:eastAsia="黑体"/>
          <w:b/>
          <w:color w:val="auto"/>
          <w:sz w:val="24"/>
          <w:highlight w:val="none"/>
        </w:rPr>
      </w:pPr>
      <w:r>
        <w:rPr>
          <w:rFonts w:hint="eastAsia" w:ascii="黑体" w:hAnsi="华文楷体" w:eastAsia="黑体"/>
          <w:b/>
          <w:color w:val="auto"/>
          <w:sz w:val="24"/>
          <w:highlight w:val="none"/>
        </w:rPr>
        <w:t>电话：                                                    联系人手机：</w:t>
      </w:r>
    </w:p>
    <w:p w14:paraId="184D96DB">
      <w:pPr>
        <w:spacing w:line="440" w:lineRule="exact"/>
        <w:rPr>
          <w:rFonts w:hint="eastAsia" w:ascii="黑体" w:hAnsi="华文楷体" w:eastAsia="黑体"/>
          <w:b/>
          <w:color w:val="auto"/>
          <w:sz w:val="24"/>
          <w:highlight w:val="none"/>
        </w:rPr>
      </w:pPr>
    </w:p>
    <w:tbl>
      <w:tblPr>
        <w:tblStyle w:val="14"/>
        <w:tblW w:w="4987"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28" w:type="dxa"/>
          <w:bottom w:w="0" w:type="dxa"/>
          <w:right w:w="28" w:type="dxa"/>
        </w:tblCellMar>
      </w:tblPr>
      <w:tblGrid>
        <w:gridCol w:w="612"/>
        <w:gridCol w:w="4241"/>
        <w:gridCol w:w="2645"/>
        <w:gridCol w:w="2273"/>
      </w:tblGrid>
      <w:tr w14:paraId="164CE40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850" w:hRule="exact"/>
        </w:trPr>
        <w:tc>
          <w:tcPr>
            <w:tcW w:w="313" w:type="pct"/>
            <w:tcBorders>
              <w:top w:val="single" w:color="auto" w:sz="12" w:space="0"/>
              <w:left w:val="single" w:color="auto" w:sz="12" w:space="0"/>
              <w:bottom w:val="double" w:color="auto" w:sz="4" w:space="0"/>
            </w:tcBorders>
            <w:vAlign w:val="center"/>
          </w:tcPr>
          <w:p w14:paraId="2BBD17A6">
            <w:pPr>
              <w:tabs>
                <w:tab w:val="left" w:pos="7020"/>
              </w:tabs>
              <w:jc w:val="center"/>
              <w:rPr>
                <w:rFonts w:hint="eastAsia" w:ascii="黑体" w:hAnsi="黑体" w:eastAsia="黑体"/>
                <w:b/>
                <w:color w:val="auto"/>
                <w:sz w:val="24"/>
                <w:highlight w:val="none"/>
              </w:rPr>
            </w:pPr>
            <w:r>
              <w:rPr>
                <w:rFonts w:hint="eastAsia" w:ascii="黑体" w:hAnsi="黑体" w:eastAsia="黑体"/>
                <w:b/>
                <w:color w:val="auto"/>
                <w:sz w:val="24"/>
                <w:highlight w:val="none"/>
              </w:rPr>
              <w:t>序号</w:t>
            </w:r>
          </w:p>
        </w:tc>
        <w:tc>
          <w:tcPr>
            <w:tcW w:w="2170" w:type="pct"/>
            <w:tcBorders>
              <w:top w:val="single" w:color="auto" w:sz="12" w:space="0"/>
              <w:bottom w:val="double" w:color="auto" w:sz="4" w:space="0"/>
            </w:tcBorders>
            <w:vAlign w:val="center"/>
          </w:tcPr>
          <w:p w14:paraId="1041179F">
            <w:pPr>
              <w:tabs>
                <w:tab w:val="left" w:pos="7020"/>
              </w:tabs>
              <w:jc w:val="center"/>
              <w:rPr>
                <w:rFonts w:hint="eastAsia" w:ascii="黑体" w:hAnsi="黑体" w:eastAsia="黑体"/>
                <w:b/>
                <w:color w:val="auto"/>
                <w:sz w:val="24"/>
                <w:highlight w:val="none"/>
              </w:rPr>
            </w:pPr>
            <w:r>
              <w:rPr>
                <w:rFonts w:hint="eastAsia" w:ascii="黑体" w:hAnsi="黑体" w:eastAsia="黑体"/>
                <w:b/>
                <w:color w:val="auto"/>
                <w:sz w:val="24"/>
                <w:highlight w:val="none"/>
              </w:rPr>
              <w:t>项目名称</w:t>
            </w:r>
          </w:p>
        </w:tc>
        <w:tc>
          <w:tcPr>
            <w:tcW w:w="1353" w:type="pct"/>
            <w:tcBorders>
              <w:top w:val="single" w:color="auto" w:sz="12" w:space="0"/>
              <w:bottom w:val="double" w:color="auto" w:sz="4" w:space="0"/>
              <w:right w:val="single" w:color="auto" w:sz="4" w:space="0"/>
            </w:tcBorders>
            <w:vAlign w:val="center"/>
          </w:tcPr>
          <w:p w14:paraId="2C33D9D9">
            <w:pPr>
              <w:tabs>
                <w:tab w:val="left" w:pos="7020"/>
              </w:tabs>
              <w:jc w:val="center"/>
              <w:rPr>
                <w:rFonts w:hint="eastAsia" w:ascii="黑体" w:hAnsi="黑体" w:eastAsia="黑体"/>
                <w:b/>
                <w:color w:val="auto"/>
                <w:sz w:val="24"/>
                <w:highlight w:val="none"/>
              </w:rPr>
            </w:pPr>
            <w:r>
              <w:rPr>
                <w:rFonts w:hint="eastAsia" w:ascii="黑体" w:hAnsi="黑体" w:eastAsia="黑体"/>
                <w:b/>
                <w:color w:val="auto"/>
                <w:sz w:val="24"/>
                <w:highlight w:val="none"/>
              </w:rPr>
              <w:t>项目报价（元）</w:t>
            </w:r>
          </w:p>
        </w:tc>
        <w:tc>
          <w:tcPr>
            <w:tcW w:w="1163" w:type="pct"/>
            <w:tcBorders>
              <w:top w:val="single" w:color="auto" w:sz="12" w:space="0"/>
              <w:left w:val="single" w:color="auto" w:sz="4" w:space="0"/>
              <w:bottom w:val="double" w:color="auto" w:sz="4" w:space="0"/>
              <w:right w:val="single" w:color="auto" w:sz="12" w:space="0"/>
            </w:tcBorders>
            <w:vAlign w:val="center"/>
          </w:tcPr>
          <w:p w14:paraId="5C391E51">
            <w:pPr>
              <w:tabs>
                <w:tab w:val="left" w:pos="7020"/>
              </w:tabs>
              <w:jc w:val="center"/>
              <w:rPr>
                <w:rFonts w:hint="default" w:ascii="黑体" w:hAnsi="黑体" w:eastAsia="黑体"/>
                <w:b/>
                <w:color w:val="auto"/>
                <w:sz w:val="24"/>
                <w:highlight w:val="none"/>
                <w:lang w:val="en-US" w:eastAsia="zh-CN"/>
              </w:rPr>
            </w:pPr>
            <w:r>
              <w:rPr>
                <w:rFonts w:hint="eastAsia" w:ascii="黑体" w:hAnsi="黑体" w:eastAsia="黑体"/>
                <w:b/>
                <w:color w:val="auto"/>
                <w:sz w:val="24"/>
                <w:highlight w:val="none"/>
                <w:lang w:val="en-US" w:eastAsia="zh-CN"/>
              </w:rPr>
              <w:t>备注</w:t>
            </w:r>
          </w:p>
        </w:tc>
      </w:tr>
      <w:tr w14:paraId="09A6E81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1705" w:hRule="exact"/>
        </w:trPr>
        <w:tc>
          <w:tcPr>
            <w:tcW w:w="313" w:type="pct"/>
            <w:tcBorders>
              <w:top w:val="double" w:color="auto" w:sz="4" w:space="0"/>
              <w:left w:val="single" w:color="auto" w:sz="12" w:space="0"/>
              <w:bottom w:val="double" w:color="auto" w:sz="4" w:space="0"/>
            </w:tcBorders>
            <w:vAlign w:val="center"/>
          </w:tcPr>
          <w:p w14:paraId="1ED43816">
            <w:pPr>
              <w:tabs>
                <w:tab w:val="left" w:pos="7020"/>
              </w:tabs>
              <w:jc w:val="center"/>
              <w:rPr>
                <w:rFonts w:hint="eastAsia" w:ascii="黑体" w:hAnsi="黑体" w:eastAsia="黑体"/>
                <w:b/>
                <w:color w:val="auto"/>
                <w:sz w:val="24"/>
                <w:highlight w:val="none"/>
              </w:rPr>
            </w:pPr>
            <w:r>
              <w:rPr>
                <w:rFonts w:hint="eastAsia" w:ascii="黑体" w:hAnsi="黑体" w:eastAsia="黑体"/>
                <w:b/>
                <w:color w:val="auto"/>
                <w:sz w:val="24"/>
                <w:highlight w:val="none"/>
              </w:rPr>
              <w:t>1</w:t>
            </w:r>
          </w:p>
        </w:tc>
        <w:tc>
          <w:tcPr>
            <w:tcW w:w="2170" w:type="pct"/>
            <w:tcBorders>
              <w:top w:val="double" w:color="auto" w:sz="4" w:space="0"/>
              <w:bottom w:val="double" w:color="auto" w:sz="4" w:space="0"/>
            </w:tcBorders>
            <w:vAlign w:val="center"/>
          </w:tcPr>
          <w:p w14:paraId="4E78542C">
            <w:pPr>
              <w:tabs>
                <w:tab w:val="left" w:pos="7020"/>
              </w:tabs>
              <w:jc w:val="center"/>
              <w:rPr>
                <w:rFonts w:hint="eastAsia" w:ascii="黑体" w:hAnsi="黑体" w:eastAsia="黑体" w:cs="Times New Roman"/>
                <w:b/>
                <w:color w:val="auto"/>
                <w:sz w:val="24"/>
                <w:highlight w:val="none"/>
                <w:lang w:eastAsia="zh-CN"/>
              </w:rPr>
            </w:pPr>
            <w:r>
              <w:rPr>
                <w:rFonts w:hint="eastAsia" w:ascii="黑体" w:hAnsi="黑体" w:eastAsia="黑体"/>
                <w:b/>
                <w:color w:val="auto"/>
                <w:sz w:val="24"/>
                <w:highlight w:val="none"/>
                <w:lang w:eastAsia="zh-CN"/>
              </w:rPr>
              <w:t>温度效应和冰载荷联合作用下结构极限承载能力数值预报技术开发研究服务</w:t>
            </w:r>
          </w:p>
        </w:tc>
        <w:tc>
          <w:tcPr>
            <w:tcW w:w="1353" w:type="pct"/>
            <w:tcBorders>
              <w:top w:val="double" w:color="auto" w:sz="4" w:space="0"/>
              <w:bottom w:val="double" w:color="auto" w:sz="4" w:space="0"/>
              <w:right w:val="single" w:color="auto" w:sz="4" w:space="0"/>
            </w:tcBorders>
            <w:vAlign w:val="center"/>
          </w:tcPr>
          <w:p w14:paraId="7941EDF4">
            <w:pPr>
              <w:tabs>
                <w:tab w:val="left" w:pos="7020"/>
              </w:tabs>
              <w:jc w:val="center"/>
              <w:rPr>
                <w:color w:val="auto"/>
                <w:highlight w:val="none"/>
              </w:rPr>
            </w:pPr>
          </w:p>
        </w:tc>
        <w:tc>
          <w:tcPr>
            <w:tcW w:w="1163" w:type="pct"/>
            <w:tcBorders>
              <w:top w:val="double" w:color="auto" w:sz="4" w:space="0"/>
              <w:left w:val="single" w:color="auto" w:sz="4" w:space="0"/>
              <w:bottom w:val="double" w:color="auto" w:sz="4" w:space="0"/>
              <w:right w:val="single" w:color="auto" w:sz="12" w:space="0"/>
            </w:tcBorders>
            <w:vAlign w:val="center"/>
          </w:tcPr>
          <w:p w14:paraId="71529EE7">
            <w:pPr>
              <w:tabs>
                <w:tab w:val="left" w:pos="7020"/>
              </w:tabs>
              <w:jc w:val="center"/>
              <w:rPr>
                <w:rFonts w:hint="default" w:eastAsiaTheme="minorEastAsia"/>
                <w:color w:val="auto"/>
                <w:highlight w:val="none"/>
                <w:lang w:val="en-US" w:eastAsia="zh-CN"/>
              </w:rPr>
            </w:pPr>
            <w:r>
              <w:rPr>
                <w:rFonts w:hint="eastAsia" w:ascii="黑体" w:hAnsi="黑体" w:eastAsia="黑体"/>
                <w:b/>
                <w:color w:val="auto"/>
                <w:sz w:val="24"/>
                <w:highlight w:val="none"/>
                <w:lang w:val="en-US" w:eastAsia="zh-CN"/>
              </w:rPr>
              <w:t>我方承诺合同签订后2</w:t>
            </w:r>
            <w:bookmarkStart w:id="6" w:name="_GoBack"/>
            <w:bookmarkEnd w:id="6"/>
            <w:r>
              <w:rPr>
                <w:rFonts w:hint="eastAsia" w:ascii="黑体" w:hAnsi="黑体" w:eastAsia="黑体"/>
                <w:b/>
                <w:color w:val="auto"/>
                <w:sz w:val="24"/>
                <w:highlight w:val="none"/>
                <w:lang w:val="en-US" w:eastAsia="zh-CN"/>
              </w:rPr>
              <w:t>个月内完成研究项目并提交研究报告</w:t>
            </w:r>
          </w:p>
        </w:tc>
      </w:tr>
      <w:tr w14:paraId="77FEC64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850" w:hRule="exact"/>
        </w:trPr>
        <w:tc>
          <w:tcPr>
            <w:tcW w:w="2483" w:type="pct"/>
            <w:gridSpan w:val="2"/>
            <w:tcBorders>
              <w:top w:val="double" w:color="auto" w:sz="4" w:space="0"/>
              <w:left w:val="single" w:color="auto" w:sz="12" w:space="0"/>
              <w:bottom w:val="single" w:color="auto" w:sz="12" w:space="0"/>
              <w:right w:val="single" w:color="auto" w:sz="4" w:space="0"/>
            </w:tcBorders>
            <w:vAlign w:val="center"/>
          </w:tcPr>
          <w:p w14:paraId="6322DB60">
            <w:pPr>
              <w:tabs>
                <w:tab w:val="left" w:pos="7020"/>
              </w:tabs>
              <w:jc w:val="center"/>
              <w:rPr>
                <w:rFonts w:hint="eastAsia" w:ascii="黑体" w:hAnsi="黑体" w:eastAsia="黑体"/>
                <w:b/>
                <w:color w:val="auto"/>
                <w:sz w:val="24"/>
                <w:highlight w:val="none"/>
              </w:rPr>
            </w:pPr>
            <w:r>
              <w:rPr>
                <w:rFonts w:hint="eastAsia" w:ascii="黑体" w:hAnsi="黑体" w:eastAsia="黑体"/>
                <w:b/>
                <w:color w:val="auto"/>
                <w:sz w:val="24"/>
                <w:highlight w:val="none"/>
              </w:rPr>
              <w:t>合计金额（人民币）</w:t>
            </w:r>
          </w:p>
        </w:tc>
        <w:tc>
          <w:tcPr>
            <w:tcW w:w="2516" w:type="pct"/>
            <w:gridSpan w:val="2"/>
            <w:tcBorders>
              <w:top w:val="double" w:color="auto" w:sz="4" w:space="0"/>
              <w:left w:val="single" w:color="auto" w:sz="4" w:space="0"/>
              <w:bottom w:val="single" w:color="auto" w:sz="12" w:space="0"/>
              <w:right w:val="single" w:color="auto" w:sz="12" w:space="0"/>
            </w:tcBorders>
            <w:vAlign w:val="center"/>
          </w:tcPr>
          <w:p w14:paraId="4B46D8FA">
            <w:pPr>
              <w:tabs>
                <w:tab w:val="left" w:pos="7020"/>
              </w:tabs>
              <w:jc w:val="center"/>
              <w:rPr>
                <w:rFonts w:hint="eastAsia" w:ascii="黑体" w:hAnsi="黑体" w:eastAsia="黑体"/>
                <w:b/>
                <w:color w:val="auto"/>
                <w:sz w:val="24"/>
                <w:highlight w:val="none"/>
              </w:rPr>
            </w:pPr>
            <w:r>
              <w:rPr>
                <w:rFonts w:hint="eastAsia" w:ascii="黑体" w:hAnsi="黑体" w:eastAsia="黑体"/>
                <w:b/>
                <w:color w:val="auto"/>
                <w:sz w:val="24"/>
                <w:highlight w:val="none"/>
              </w:rPr>
              <w:t>￥           （大写）：</w:t>
            </w:r>
          </w:p>
        </w:tc>
      </w:tr>
    </w:tbl>
    <w:p w14:paraId="0408D135">
      <w:pPr>
        <w:spacing w:line="440" w:lineRule="exact"/>
        <w:rPr>
          <w:rFonts w:hint="eastAsia" w:ascii="黑体" w:hAnsi="华文楷体" w:eastAsia="黑体"/>
          <w:color w:val="auto"/>
          <w:sz w:val="24"/>
          <w:highlight w:val="none"/>
        </w:rPr>
      </w:pPr>
    </w:p>
    <w:p w14:paraId="614EA236">
      <w:pPr>
        <w:spacing w:line="440" w:lineRule="exact"/>
        <w:rPr>
          <w:rFonts w:hint="eastAsia" w:ascii="黑体" w:hAnsi="华文楷体" w:eastAsia="黑体"/>
          <w:color w:val="auto"/>
          <w:sz w:val="24"/>
          <w:highlight w:val="none"/>
        </w:rPr>
      </w:pPr>
      <w:r>
        <w:rPr>
          <w:rFonts w:hint="eastAsia" w:ascii="黑体" w:hAnsi="华文楷体" w:eastAsia="黑体"/>
          <w:color w:val="auto"/>
          <w:sz w:val="24"/>
          <w:highlight w:val="none"/>
        </w:rPr>
        <w:t>公司名称（盖章）：           委托代理人（签字）：        报价日期：      年    月   日</w:t>
      </w:r>
    </w:p>
    <w:p w14:paraId="20B1E828">
      <w:pPr>
        <w:spacing w:line="440" w:lineRule="exact"/>
        <w:rPr>
          <w:rFonts w:hint="eastAsia" w:ascii="黑体" w:hAnsi="华文楷体" w:eastAsia="黑体"/>
          <w:color w:val="auto"/>
          <w:sz w:val="24"/>
          <w:highlight w:val="none"/>
        </w:rPr>
      </w:pPr>
    </w:p>
    <w:p w14:paraId="642407A4">
      <w:pPr>
        <w:rPr>
          <w:rFonts w:hint="eastAsia" w:ascii="黑体" w:hAnsi="华文楷体" w:eastAsia="黑体"/>
          <w:color w:val="auto"/>
          <w:szCs w:val="21"/>
          <w:highlight w:val="none"/>
        </w:rPr>
      </w:pPr>
      <w:r>
        <w:rPr>
          <w:rFonts w:hint="eastAsia" w:ascii="黑体" w:hAnsi="华文楷体" w:eastAsia="黑体"/>
          <w:color w:val="auto"/>
          <w:szCs w:val="21"/>
          <w:highlight w:val="none"/>
        </w:rPr>
        <w:t>报价说明：1、报价公司提供的上述产品，应完全满足或者优于我校提出的需求。</w:t>
      </w:r>
    </w:p>
    <w:p w14:paraId="554618DC">
      <w:pPr>
        <w:rPr>
          <w:rFonts w:hint="eastAsia" w:ascii="黑体" w:hAnsi="华文楷体" w:eastAsia="黑体"/>
          <w:color w:val="auto"/>
          <w:szCs w:val="21"/>
          <w:highlight w:val="none"/>
        </w:rPr>
      </w:pPr>
      <w:r>
        <w:rPr>
          <w:rFonts w:hint="eastAsia" w:ascii="黑体" w:hAnsi="华文楷体" w:eastAsia="黑体"/>
          <w:color w:val="auto"/>
          <w:szCs w:val="21"/>
          <w:highlight w:val="none"/>
        </w:rPr>
        <w:t xml:space="preserve">          2、如属非标配产品，其技术指标（特别是优于我校需求的部分）请另行附页说明。</w:t>
      </w:r>
    </w:p>
    <w:p w14:paraId="7D349A8B">
      <w:pPr>
        <w:rPr>
          <w:rFonts w:hint="eastAsia" w:ascii="黑体" w:hAnsi="华文楷体" w:eastAsia="黑体"/>
          <w:color w:val="auto"/>
          <w:szCs w:val="21"/>
          <w:highlight w:val="none"/>
        </w:rPr>
      </w:pPr>
      <w:r>
        <w:rPr>
          <w:rFonts w:hint="eastAsia" w:ascii="黑体" w:hAnsi="华文楷体" w:eastAsia="黑体"/>
          <w:color w:val="auto"/>
          <w:szCs w:val="21"/>
          <w:highlight w:val="none"/>
        </w:rPr>
        <w:t xml:space="preserve">          3、特殊的售后服务措施、代理证明情况等需要说明的，请另行附页说明。</w:t>
      </w:r>
    </w:p>
    <w:p w14:paraId="6619B28A">
      <w:pPr>
        <w:rPr>
          <w:rFonts w:hint="eastAsia" w:ascii="黑体" w:hAnsi="华文楷体" w:eastAsia="黑体"/>
          <w:color w:val="auto"/>
          <w:szCs w:val="21"/>
          <w:highlight w:val="none"/>
        </w:rPr>
      </w:pPr>
      <w:r>
        <w:rPr>
          <w:rFonts w:hint="eastAsia" w:ascii="黑体" w:hAnsi="华文楷体" w:eastAsia="黑体"/>
          <w:color w:val="auto"/>
          <w:szCs w:val="21"/>
          <w:highlight w:val="none"/>
        </w:rPr>
        <w:t xml:space="preserve">          4、报价单附页（如有）共</w:t>
      </w:r>
      <w:r>
        <w:rPr>
          <w:rFonts w:hint="eastAsia" w:ascii="黑体" w:hAnsi="华文楷体" w:eastAsia="黑体"/>
          <w:color w:val="auto"/>
          <w:szCs w:val="21"/>
          <w:highlight w:val="none"/>
          <w:u w:val="single"/>
        </w:rPr>
        <w:t xml:space="preserve">      </w:t>
      </w:r>
      <w:r>
        <w:rPr>
          <w:rFonts w:hint="eastAsia" w:ascii="黑体" w:hAnsi="华文楷体" w:eastAsia="黑体"/>
          <w:color w:val="auto"/>
          <w:szCs w:val="21"/>
          <w:highlight w:val="none"/>
        </w:rPr>
        <w:t>页。</w:t>
      </w:r>
    </w:p>
    <w:p w14:paraId="02E355A4">
      <w:pPr>
        <w:rPr>
          <w:rFonts w:hint="eastAsia" w:ascii="仿宋" w:hAnsi="仿宋" w:eastAsia="仿宋"/>
          <w:b/>
          <w:bCs/>
          <w:color w:val="auto"/>
          <w:kern w:val="0"/>
          <w:sz w:val="36"/>
          <w:szCs w:val="36"/>
          <w:highlight w:val="none"/>
        </w:rPr>
      </w:pPr>
      <w:r>
        <w:rPr>
          <w:rFonts w:hint="eastAsia" w:ascii="仿宋" w:hAnsi="仿宋" w:eastAsia="仿宋"/>
          <w:b/>
          <w:bCs/>
          <w:color w:val="auto"/>
          <w:kern w:val="0"/>
          <w:sz w:val="36"/>
          <w:szCs w:val="36"/>
          <w:highlight w:val="none"/>
        </w:rPr>
        <w:br w:type="page"/>
      </w:r>
    </w:p>
    <w:p w14:paraId="66593191">
      <w:pPr>
        <w:spacing w:after="157" w:afterLines="50"/>
        <w:jc w:val="center"/>
        <w:rPr>
          <w:rFonts w:hint="eastAsia" w:ascii="仿宋" w:hAnsi="仿宋" w:eastAsia="仿宋"/>
          <w:b/>
          <w:bCs/>
          <w:color w:val="auto"/>
          <w:kern w:val="0"/>
          <w:sz w:val="36"/>
          <w:szCs w:val="36"/>
          <w:highlight w:val="none"/>
        </w:rPr>
      </w:pPr>
      <w:r>
        <w:rPr>
          <w:rFonts w:hint="eastAsia" w:ascii="仿宋" w:hAnsi="仿宋" w:eastAsia="仿宋"/>
          <w:b/>
          <w:bCs/>
          <w:color w:val="auto"/>
          <w:kern w:val="0"/>
          <w:sz w:val="36"/>
          <w:szCs w:val="36"/>
          <w:highlight w:val="none"/>
        </w:rPr>
        <w:t>报价承诺函</w:t>
      </w:r>
    </w:p>
    <w:p w14:paraId="06CF8257">
      <w:pPr>
        <w:spacing w:after="157" w:afterLines="50"/>
        <w:rPr>
          <w:rFonts w:hint="eastAsia" w:ascii="仿宋" w:hAnsi="仿宋" w:eastAsia="仿宋" w:cs="宋体"/>
          <w:color w:val="auto"/>
          <w:sz w:val="24"/>
          <w:highlight w:val="none"/>
        </w:rPr>
      </w:pPr>
      <w:r>
        <w:rPr>
          <w:rFonts w:hint="eastAsia" w:ascii="仿宋" w:hAnsi="仿宋" w:eastAsia="仿宋" w:cs="宋体"/>
          <w:color w:val="auto"/>
          <w:sz w:val="24"/>
          <w:highlight w:val="none"/>
          <w:lang w:val="zh-CN"/>
        </w:rPr>
        <w:t>致：</w:t>
      </w:r>
      <w:r>
        <w:rPr>
          <w:rFonts w:hint="eastAsia" w:ascii="仿宋" w:hAnsi="仿宋" w:eastAsia="仿宋" w:cs="宋体"/>
          <w:color w:val="auto"/>
          <w:sz w:val="24"/>
          <w:highlight w:val="none"/>
        </w:rPr>
        <w:t>上海海事大学</w:t>
      </w:r>
    </w:p>
    <w:p w14:paraId="61C7F4FB">
      <w:pPr>
        <w:spacing w:after="157" w:afterLines="50"/>
        <w:ind w:firstLine="480" w:firstLineChars="200"/>
        <w:rPr>
          <w:rFonts w:hint="eastAsia" w:ascii="仿宋" w:hAnsi="仿宋" w:eastAsia="仿宋" w:cs="宋体"/>
          <w:color w:val="auto"/>
          <w:sz w:val="24"/>
          <w:highlight w:val="none"/>
          <w:lang w:val="zh-CN"/>
        </w:rPr>
      </w:pPr>
      <w:r>
        <w:rPr>
          <w:rFonts w:hint="eastAsia" w:ascii="仿宋" w:hAnsi="仿宋" w:eastAsia="仿宋" w:cs="宋体"/>
          <w:color w:val="auto"/>
          <w:sz w:val="24"/>
          <w:highlight w:val="none"/>
          <w:lang w:val="zh-CN"/>
        </w:rPr>
        <w:t>我</w:t>
      </w:r>
      <w:r>
        <w:rPr>
          <w:rFonts w:ascii="仿宋" w:hAnsi="仿宋" w:eastAsia="仿宋" w:cs="宋体"/>
          <w:color w:val="auto"/>
          <w:sz w:val="24"/>
          <w:highlight w:val="none"/>
          <w:lang w:val="zh-CN"/>
        </w:rPr>
        <w:t>公司在参加本次</w:t>
      </w:r>
      <w:r>
        <w:rPr>
          <w:rFonts w:hint="eastAsia" w:ascii="仿宋" w:hAnsi="仿宋" w:eastAsia="仿宋" w:cs="宋体"/>
          <w:color w:val="auto"/>
          <w:sz w:val="24"/>
          <w:highlight w:val="none"/>
        </w:rPr>
        <w:t>比选采购</w:t>
      </w:r>
      <w:r>
        <w:rPr>
          <w:rFonts w:ascii="仿宋" w:hAnsi="仿宋" w:eastAsia="仿宋" w:cs="宋体"/>
          <w:color w:val="auto"/>
          <w:sz w:val="24"/>
          <w:highlight w:val="none"/>
          <w:lang w:val="zh-CN"/>
        </w:rPr>
        <w:t>活动中，</w:t>
      </w:r>
      <w:r>
        <w:rPr>
          <w:rFonts w:hint="eastAsia" w:ascii="仿宋" w:hAnsi="仿宋" w:eastAsia="仿宋" w:cs="宋体"/>
          <w:color w:val="auto"/>
          <w:sz w:val="24"/>
          <w:highlight w:val="none"/>
          <w:lang w:val="zh-CN"/>
        </w:rPr>
        <w:t>做出如下</w:t>
      </w:r>
      <w:r>
        <w:rPr>
          <w:rFonts w:ascii="仿宋" w:hAnsi="仿宋" w:eastAsia="仿宋" w:cs="宋体"/>
          <w:color w:val="auto"/>
          <w:sz w:val="24"/>
          <w:highlight w:val="none"/>
          <w:lang w:val="zh-CN"/>
        </w:rPr>
        <w:t>承诺：</w:t>
      </w:r>
    </w:p>
    <w:p w14:paraId="4F0E35EC">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lang w:val="zh-CN"/>
        </w:rPr>
        <w:t>一、</w:t>
      </w:r>
      <w:r>
        <w:rPr>
          <w:rFonts w:hint="eastAsia" w:ascii="仿宋" w:hAnsi="仿宋" w:eastAsia="仿宋" w:cs="宋体"/>
          <w:color w:val="auto"/>
          <w:sz w:val="24"/>
          <w:highlight w:val="none"/>
        </w:rPr>
        <w:t>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具备独立法人资格，能够独立承担民事责任。</w:t>
      </w:r>
    </w:p>
    <w:p w14:paraId="6F37786C">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二、我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财务状况良好，具备履行合同所需资金实力。</w:t>
      </w:r>
    </w:p>
    <w:p w14:paraId="3E13B155">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三、我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拥有履行项目所需的专业技术人员和先进的生产设备。</w:t>
      </w:r>
    </w:p>
    <w:p w14:paraId="1486EB83">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四、我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依法纳税，并按时缴纳社会保险费。</w:t>
      </w:r>
    </w:p>
    <w:p w14:paraId="1705CE12">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五、我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在最近三年内无任何违法违规行为，信誉良好。</w:t>
      </w:r>
    </w:p>
    <w:p w14:paraId="54BF34F8">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六、我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完全符合政府采购法及其他相关法律法规的规定。</w:t>
      </w:r>
    </w:p>
    <w:p w14:paraId="46600348">
      <w:pPr>
        <w:spacing w:after="157" w:afterLines="50"/>
        <w:ind w:firstLine="480" w:firstLineChars="200"/>
        <w:rPr>
          <w:rFonts w:hint="eastAsia" w:ascii="仿宋" w:hAnsi="仿宋" w:eastAsia="仿宋" w:cs="宋体"/>
          <w:color w:val="auto"/>
          <w:sz w:val="24"/>
          <w:highlight w:val="none"/>
          <w:lang w:val="zh-CN"/>
        </w:rPr>
      </w:pPr>
      <w:r>
        <w:rPr>
          <w:rFonts w:hint="eastAsia" w:ascii="仿宋" w:hAnsi="仿宋" w:eastAsia="仿宋" w:cs="宋体"/>
          <w:color w:val="auto"/>
          <w:sz w:val="24"/>
          <w:highlight w:val="none"/>
        </w:rPr>
        <w:t>七</w:t>
      </w:r>
      <w:r>
        <w:rPr>
          <w:rFonts w:hint="eastAsia" w:ascii="仿宋" w:hAnsi="仿宋" w:eastAsia="仿宋" w:cs="宋体"/>
          <w:color w:val="auto"/>
          <w:sz w:val="24"/>
          <w:highlight w:val="none"/>
          <w:lang w:val="zh-CN"/>
        </w:rPr>
        <w:t>、</w:t>
      </w:r>
      <w:r>
        <w:rPr>
          <w:rFonts w:hint="eastAsia" w:ascii="仿宋" w:hAnsi="仿宋" w:eastAsia="仿宋" w:cs="宋体"/>
          <w:color w:val="auto"/>
          <w:sz w:val="24"/>
          <w:highlight w:val="none"/>
        </w:rPr>
        <w:t>我</w:t>
      </w:r>
      <w:r>
        <w:rPr>
          <w:rFonts w:hint="eastAsia" w:ascii="仿宋" w:hAnsi="仿宋" w:eastAsia="仿宋" w:cs="宋体"/>
          <w:color w:val="auto"/>
          <w:sz w:val="24"/>
          <w:highlight w:val="none"/>
          <w:lang w:val="zh-CN"/>
        </w:rPr>
        <w:t>公司提供的相关文件均真实、有效。</w:t>
      </w:r>
    </w:p>
    <w:p w14:paraId="6C6ABE4A">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八、我</w:t>
      </w:r>
      <w:r>
        <w:rPr>
          <w:rFonts w:hint="eastAsia" w:ascii="仿宋" w:hAnsi="仿宋" w:eastAsia="仿宋" w:cs="宋体"/>
          <w:color w:val="auto"/>
          <w:sz w:val="24"/>
          <w:highlight w:val="none"/>
          <w:lang w:val="zh-CN"/>
        </w:rPr>
        <w:t>公司未挂靠、借用资质进行投标等违法违规行为。</w:t>
      </w:r>
    </w:p>
    <w:p w14:paraId="5613149E">
      <w:pPr>
        <w:spacing w:after="157" w:afterLines="50"/>
        <w:ind w:firstLine="480" w:firstLineChars="200"/>
        <w:rPr>
          <w:rFonts w:hint="eastAsia" w:ascii="仿宋" w:hAnsi="仿宋" w:eastAsia="仿宋" w:cs="宋体"/>
          <w:color w:val="auto"/>
          <w:sz w:val="24"/>
          <w:highlight w:val="none"/>
          <w:lang w:val="zh-CN"/>
        </w:rPr>
      </w:pPr>
      <w:r>
        <w:rPr>
          <w:rFonts w:hint="eastAsia" w:ascii="仿宋" w:hAnsi="仿宋" w:eastAsia="仿宋" w:cs="宋体"/>
          <w:color w:val="auto"/>
          <w:sz w:val="24"/>
          <w:highlight w:val="none"/>
        </w:rPr>
        <w:t>九、</w:t>
      </w:r>
      <w:r>
        <w:rPr>
          <w:rFonts w:hint="eastAsia" w:ascii="仿宋" w:hAnsi="仿宋" w:eastAsia="仿宋" w:cs="宋体"/>
          <w:color w:val="auto"/>
          <w:sz w:val="24"/>
          <w:highlight w:val="none"/>
          <w:lang w:val="zh-CN"/>
        </w:rPr>
        <w:t>我公司承诺在参加本</w:t>
      </w:r>
      <w:r>
        <w:rPr>
          <w:rFonts w:hint="eastAsia" w:ascii="仿宋" w:hAnsi="仿宋" w:eastAsia="仿宋" w:cs="宋体"/>
          <w:color w:val="auto"/>
          <w:sz w:val="24"/>
          <w:highlight w:val="none"/>
        </w:rPr>
        <w:t>次</w:t>
      </w:r>
      <w:r>
        <w:rPr>
          <w:rFonts w:hint="eastAsia" w:ascii="仿宋" w:hAnsi="仿宋" w:eastAsia="仿宋" w:cs="宋体"/>
          <w:color w:val="auto"/>
          <w:sz w:val="24"/>
          <w:highlight w:val="none"/>
          <w:lang w:val="zh-CN"/>
        </w:rPr>
        <w:t>采购活动中，</w:t>
      </w:r>
      <w:r>
        <w:rPr>
          <w:rFonts w:hint="eastAsia" w:ascii="仿宋" w:hAnsi="仿宋" w:eastAsia="仿宋" w:cs="宋体"/>
          <w:color w:val="auto"/>
          <w:sz w:val="24"/>
          <w:highlight w:val="none"/>
        </w:rPr>
        <w:t>不存在串标围标行为</w:t>
      </w:r>
      <w:r>
        <w:rPr>
          <w:rFonts w:hint="eastAsia" w:ascii="仿宋" w:hAnsi="仿宋" w:eastAsia="仿宋" w:cs="宋体"/>
          <w:color w:val="auto"/>
          <w:sz w:val="24"/>
          <w:highlight w:val="none"/>
          <w:lang w:val="zh-CN"/>
        </w:rPr>
        <w:t>，</w:t>
      </w:r>
      <w:r>
        <w:rPr>
          <w:rFonts w:hint="eastAsia" w:ascii="仿宋" w:hAnsi="仿宋" w:eastAsia="仿宋" w:cs="宋体"/>
          <w:color w:val="auto"/>
          <w:sz w:val="24"/>
          <w:highlight w:val="none"/>
        </w:rPr>
        <w:t>不存在</w:t>
      </w:r>
      <w:r>
        <w:rPr>
          <w:rFonts w:hint="eastAsia" w:ascii="仿宋" w:hAnsi="仿宋" w:eastAsia="仿宋" w:cs="宋体"/>
          <w:color w:val="auto"/>
          <w:sz w:val="24"/>
          <w:highlight w:val="none"/>
          <w:lang w:val="zh-CN"/>
        </w:rPr>
        <w:t>损害</w:t>
      </w:r>
      <w:r>
        <w:rPr>
          <w:rFonts w:hint="eastAsia" w:ascii="仿宋" w:hAnsi="仿宋" w:eastAsia="仿宋" w:cs="宋体"/>
          <w:color w:val="auto"/>
          <w:sz w:val="24"/>
          <w:highlight w:val="none"/>
        </w:rPr>
        <w:t>校方</w:t>
      </w:r>
      <w:r>
        <w:rPr>
          <w:rFonts w:hint="eastAsia" w:ascii="仿宋" w:hAnsi="仿宋" w:eastAsia="仿宋" w:cs="宋体"/>
          <w:color w:val="auto"/>
          <w:sz w:val="24"/>
          <w:highlight w:val="none"/>
          <w:lang w:val="zh-CN"/>
        </w:rPr>
        <w:t>或者其他</w:t>
      </w:r>
      <w:r>
        <w:rPr>
          <w:rFonts w:hint="eastAsia" w:ascii="仿宋" w:hAnsi="仿宋" w:eastAsia="仿宋" w:cs="宋体"/>
          <w:color w:val="auto"/>
          <w:sz w:val="24"/>
          <w:highlight w:val="none"/>
        </w:rPr>
        <w:t>报价单位</w:t>
      </w:r>
      <w:r>
        <w:rPr>
          <w:rFonts w:hint="eastAsia" w:ascii="仿宋" w:hAnsi="仿宋" w:eastAsia="仿宋" w:cs="宋体"/>
          <w:color w:val="auto"/>
          <w:sz w:val="24"/>
          <w:highlight w:val="none"/>
          <w:lang w:val="zh-CN"/>
        </w:rPr>
        <w:t>利益的行为。</w:t>
      </w:r>
    </w:p>
    <w:p w14:paraId="350AD56E">
      <w:pPr>
        <w:spacing w:after="157" w:afterLines="50"/>
        <w:ind w:firstLine="480" w:firstLineChars="200"/>
        <w:rPr>
          <w:rFonts w:hint="eastAsia" w:ascii="仿宋" w:hAnsi="仿宋" w:eastAsia="仿宋" w:cs="宋体"/>
          <w:color w:val="auto"/>
          <w:sz w:val="24"/>
          <w:highlight w:val="none"/>
          <w:lang w:val="zh-CN"/>
        </w:rPr>
      </w:pPr>
      <w:r>
        <w:rPr>
          <w:rFonts w:hint="eastAsia" w:ascii="仿宋" w:hAnsi="仿宋" w:eastAsia="仿宋" w:cs="宋体"/>
          <w:color w:val="auto"/>
          <w:sz w:val="24"/>
          <w:highlight w:val="none"/>
        </w:rPr>
        <w:t>十、</w:t>
      </w:r>
      <w:r>
        <w:rPr>
          <w:rFonts w:hint="eastAsia" w:ascii="仿宋" w:hAnsi="仿宋" w:eastAsia="仿宋" w:cs="宋体"/>
          <w:color w:val="auto"/>
          <w:sz w:val="24"/>
          <w:highlight w:val="none"/>
          <w:lang w:val="zh-CN"/>
        </w:rPr>
        <w:t>我</w:t>
      </w:r>
      <w:r>
        <w:rPr>
          <w:rFonts w:hint="eastAsia" w:ascii="仿宋" w:hAnsi="仿宋" w:eastAsia="仿宋" w:cs="宋体"/>
          <w:color w:val="auto"/>
          <w:sz w:val="24"/>
          <w:highlight w:val="none"/>
        </w:rPr>
        <w:t>公司管理层中</w:t>
      </w:r>
      <w:r>
        <w:rPr>
          <w:rFonts w:hint="eastAsia" w:ascii="仿宋" w:hAnsi="仿宋" w:eastAsia="仿宋" w:cs="宋体"/>
          <w:color w:val="auto"/>
          <w:sz w:val="24"/>
          <w:highlight w:val="none"/>
          <w:lang w:val="zh-CN"/>
        </w:rPr>
        <w:t>没有从</w:t>
      </w:r>
      <w:r>
        <w:rPr>
          <w:rFonts w:hint="eastAsia" w:ascii="仿宋" w:hAnsi="仿宋" w:eastAsia="仿宋" w:cs="宋体"/>
          <w:color w:val="auto"/>
          <w:sz w:val="24"/>
          <w:highlight w:val="none"/>
        </w:rPr>
        <w:t>贵校</w:t>
      </w:r>
      <w:r>
        <w:rPr>
          <w:rFonts w:hint="eastAsia" w:ascii="仿宋" w:hAnsi="仿宋" w:eastAsia="仿宋" w:cs="宋体"/>
          <w:color w:val="auto"/>
          <w:sz w:val="24"/>
          <w:highlight w:val="none"/>
          <w:lang w:val="zh-CN"/>
        </w:rPr>
        <w:t>离职或退休3年以内的人员担任控股股东或实际控股人、董事、监事，也没有聘用从</w:t>
      </w:r>
      <w:r>
        <w:rPr>
          <w:rFonts w:hint="eastAsia" w:ascii="仿宋" w:hAnsi="仿宋" w:eastAsia="仿宋" w:cs="宋体"/>
          <w:color w:val="auto"/>
          <w:sz w:val="24"/>
          <w:highlight w:val="none"/>
        </w:rPr>
        <w:t>贵校</w:t>
      </w:r>
      <w:r>
        <w:rPr>
          <w:rFonts w:hint="eastAsia" w:ascii="仿宋" w:hAnsi="仿宋" w:eastAsia="仿宋" w:cs="宋体"/>
          <w:color w:val="auto"/>
          <w:sz w:val="24"/>
          <w:highlight w:val="none"/>
          <w:lang w:val="zh-CN"/>
        </w:rPr>
        <w:t>离职或退休3年以内的人员。</w:t>
      </w:r>
    </w:p>
    <w:p w14:paraId="7BAAA33E">
      <w:pPr>
        <w:spacing w:after="157" w:afterLines="50"/>
        <w:ind w:firstLine="480" w:firstLineChars="200"/>
        <w:rPr>
          <w:rFonts w:hint="eastAsia" w:ascii="仿宋" w:hAnsi="仿宋" w:eastAsia="仿宋" w:cs="宋体"/>
          <w:color w:val="auto"/>
          <w:sz w:val="24"/>
          <w:highlight w:val="none"/>
          <w:lang w:val="zh-CN"/>
        </w:rPr>
      </w:pPr>
      <w:r>
        <w:rPr>
          <w:rFonts w:hint="eastAsia" w:ascii="仿宋" w:hAnsi="仿宋" w:eastAsia="仿宋" w:cs="宋体"/>
          <w:color w:val="auto"/>
          <w:sz w:val="24"/>
          <w:highlight w:val="none"/>
        </w:rPr>
        <w:t>我公司保证上述声明真实无误，如有不实，愿承担相应法律责任。</w:t>
      </w:r>
    </w:p>
    <w:p w14:paraId="5C4569E6">
      <w:pPr>
        <w:spacing w:after="157" w:afterLines="50"/>
        <w:rPr>
          <w:rFonts w:hint="eastAsia" w:ascii="仿宋" w:hAnsi="仿宋" w:eastAsia="仿宋" w:cs="宋体"/>
          <w:color w:val="auto"/>
          <w:sz w:val="24"/>
          <w:highlight w:val="none"/>
          <w:lang w:val="zh-CN"/>
        </w:rPr>
      </w:pPr>
    </w:p>
    <w:p w14:paraId="6DFC7771">
      <w:pPr>
        <w:spacing w:after="157" w:afterLines="50"/>
        <w:rPr>
          <w:rFonts w:hint="eastAsia" w:ascii="黑体" w:hAnsi="华文楷体" w:eastAsia="黑体"/>
          <w:b/>
          <w:bCs/>
          <w:color w:val="auto"/>
          <w:sz w:val="32"/>
          <w:szCs w:val="32"/>
          <w:highlight w:val="none"/>
        </w:rPr>
      </w:pPr>
      <w:r>
        <w:rPr>
          <w:rFonts w:hint="eastAsia" w:ascii="黑体" w:hAnsi="华文楷体" w:eastAsia="黑体"/>
          <w:color w:val="auto"/>
          <w:sz w:val="24"/>
          <w:highlight w:val="none"/>
        </w:rPr>
        <w:t>公司名称（盖章）：                              委托代理人（签字）：</w:t>
      </w:r>
    </w:p>
    <w:p w14:paraId="097F108E">
      <w:pPr>
        <w:pStyle w:val="5"/>
        <w:rPr>
          <w:rFonts w:hint="eastAsia" w:ascii="方正兰亭黑简体" w:hAnsi="方正兰亭黑简体" w:eastAsia="方正兰亭黑简体" w:cs="方正兰亭黑简体"/>
          <w:color w:val="auto"/>
          <w:sz w:val="22"/>
          <w:szCs w:val="28"/>
          <w:highlight w:val="none"/>
        </w:rPr>
      </w:pPr>
    </w:p>
    <w:p w14:paraId="6AAADDA4">
      <w:pPr>
        <w:pStyle w:val="5"/>
        <w:rPr>
          <w:rFonts w:hint="eastAsia" w:ascii="方正兰亭黑简体" w:hAnsi="方正兰亭黑简体" w:eastAsia="方正兰亭黑简体" w:cs="方正兰亭黑简体"/>
          <w:color w:val="auto"/>
          <w:sz w:val="22"/>
          <w:szCs w:val="28"/>
          <w:highlight w:val="none"/>
        </w:rPr>
      </w:pPr>
    </w:p>
    <w:p w14:paraId="3805D66A">
      <w:pPr>
        <w:jc w:val="left"/>
        <w:rPr>
          <w:rFonts w:hint="eastAsia" w:ascii="方正兰亭黑简体" w:hAnsi="方正兰亭黑简体" w:eastAsia="方正兰亭黑简体" w:cs="方正兰亭黑简体"/>
          <w:color w:val="auto"/>
          <w:sz w:val="22"/>
          <w:szCs w:val="28"/>
          <w:highlight w:val="none"/>
        </w:rPr>
        <w:sectPr>
          <w:pgSz w:w="11906" w:h="16838"/>
          <w:pgMar w:top="1440" w:right="1083" w:bottom="1440" w:left="1083" w:header="851" w:footer="992" w:gutter="0"/>
          <w:cols w:space="0" w:num="1"/>
          <w:docGrid w:type="lines" w:linePitch="314" w:charSpace="0"/>
        </w:sectPr>
      </w:pPr>
    </w:p>
    <w:p w14:paraId="52FF6152">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附件2：其他材料</w:t>
      </w:r>
    </w:p>
    <w:p w14:paraId="2A456533">
      <w:pPr>
        <w:pStyle w:val="4"/>
        <w:ind w:left="0" w:leftChars="0"/>
        <w:rPr>
          <w:color w:val="auto"/>
          <w:highlight w:val="none"/>
        </w:rPr>
      </w:pPr>
      <w:r>
        <w:rPr>
          <w:rFonts w:hint="eastAsia" w:ascii="方正兰亭黑简体" w:hAnsi="方正兰亭黑简体" w:eastAsia="方正兰亭黑简体" w:cs="方正兰亭黑简体"/>
          <w:color w:val="auto"/>
          <w:sz w:val="22"/>
          <w:szCs w:val="28"/>
          <w:highlight w:val="none"/>
        </w:rPr>
        <w:t>包括但不限于：</w:t>
      </w:r>
    </w:p>
    <w:p w14:paraId="43482A45">
      <w:pPr>
        <w:pStyle w:val="4"/>
        <w:ind w:left="0" w:leftChars="0"/>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1、营业执照扫描件</w:t>
      </w:r>
    </w:p>
    <w:p w14:paraId="428A839D">
      <w:pPr>
        <w:pStyle w:val="4"/>
        <w:ind w:left="0" w:leftChars="0"/>
        <w:rPr>
          <w:rFonts w:hint="eastAsia" w:ascii="方正兰亭黑简体" w:hAnsi="方正兰亭黑简体" w:eastAsia="方正兰亭黑简体" w:cs="方正兰亭黑简体"/>
          <w:color w:val="auto"/>
          <w:sz w:val="22"/>
          <w:szCs w:val="28"/>
          <w:highlight w:val="none"/>
        </w:rPr>
      </w:pPr>
      <w:r>
        <w:rPr>
          <w:rFonts w:ascii="方正兰亭黑简体" w:hAnsi="方正兰亭黑简体" w:eastAsia="方正兰亭黑简体" w:cs="方正兰亭黑简体"/>
          <w:color w:val="auto"/>
          <w:sz w:val="22"/>
          <w:szCs w:val="28"/>
          <w:highlight w:val="none"/>
        </w:rPr>
        <w:t>2</w:t>
      </w:r>
      <w:r>
        <w:rPr>
          <w:rFonts w:hint="eastAsia" w:ascii="方正兰亭黑简体" w:hAnsi="方正兰亭黑简体" w:eastAsia="方正兰亭黑简体" w:cs="方正兰亭黑简体"/>
          <w:color w:val="auto"/>
          <w:sz w:val="22"/>
          <w:szCs w:val="28"/>
          <w:highlight w:val="none"/>
        </w:rPr>
        <w:t>、项目服务方案（产品介绍）及实施计划</w:t>
      </w:r>
    </w:p>
    <w:p w14:paraId="56E8031D">
      <w:pPr>
        <w:pStyle w:val="4"/>
        <w:ind w:left="0" w:leftChars="0"/>
        <w:rPr>
          <w:rFonts w:hint="eastAsia" w:ascii="方正兰亭黑简体" w:hAnsi="方正兰亭黑简体" w:eastAsia="方正兰亭黑简体" w:cs="方正兰亭黑简体"/>
          <w:color w:val="auto"/>
          <w:sz w:val="22"/>
          <w:szCs w:val="28"/>
          <w:highlight w:val="none"/>
        </w:rPr>
      </w:pPr>
      <w:r>
        <w:rPr>
          <w:rFonts w:ascii="方正兰亭黑简体" w:hAnsi="方正兰亭黑简体" w:eastAsia="方正兰亭黑简体" w:cs="方正兰亭黑简体"/>
          <w:color w:val="auto"/>
          <w:sz w:val="22"/>
          <w:szCs w:val="28"/>
          <w:highlight w:val="none"/>
        </w:rPr>
        <w:t>3、</w:t>
      </w:r>
      <w:r>
        <w:rPr>
          <w:rFonts w:hint="eastAsia" w:ascii="方正兰亭黑简体" w:hAnsi="方正兰亭黑简体" w:eastAsia="方正兰亭黑简体" w:cs="方正兰亭黑简体"/>
          <w:color w:val="auto"/>
          <w:sz w:val="22"/>
          <w:szCs w:val="28"/>
          <w:highlight w:val="none"/>
        </w:rPr>
        <w:t>服务团队介绍</w:t>
      </w:r>
    </w:p>
    <w:p w14:paraId="1DCC4AA6">
      <w:pPr>
        <w:pStyle w:val="4"/>
        <w:ind w:left="0" w:leftChars="0"/>
        <w:rPr>
          <w:rFonts w:hint="eastAsia" w:ascii="方正兰亭黑简体" w:hAnsi="方正兰亭黑简体" w:eastAsia="方正兰亭黑简体" w:cs="方正兰亭黑简体"/>
          <w:color w:val="auto"/>
          <w:sz w:val="22"/>
          <w:szCs w:val="28"/>
          <w:highlight w:val="none"/>
        </w:rPr>
      </w:pPr>
      <w:r>
        <w:rPr>
          <w:rFonts w:ascii="方正兰亭黑简体" w:hAnsi="方正兰亭黑简体" w:eastAsia="方正兰亭黑简体" w:cs="方正兰亭黑简体"/>
          <w:color w:val="auto"/>
          <w:sz w:val="22"/>
          <w:szCs w:val="28"/>
          <w:highlight w:val="none"/>
        </w:rPr>
        <w:t>4</w:t>
      </w:r>
      <w:r>
        <w:rPr>
          <w:rFonts w:hint="eastAsia" w:ascii="方正兰亭黑简体" w:hAnsi="方正兰亭黑简体" w:eastAsia="方正兰亭黑简体" w:cs="方正兰亭黑简体"/>
          <w:color w:val="auto"/>
          <w:sz w:val="22"/>
          <w:szCs w:val="28"/>
          <w:highlight w:val="none"/>
        </w:rPr>
        <w:t>、服务保障承诺</w:t>
      </w:r>
    </w:p>
    <w:p w14:paraId="41589759">
      <w:pPr>
        <w:pStyle w:val="4"/>
        <w:ind w:left="0" w:leftChars="0"/>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5</w:t>
      </w:r>
      <w:r>
        <w:rPr>
          <w:rFonts w:ascii="方正兰亭黑简体" w:hAnsi="方正兰亭黑简体" w:eastAsia="方正兰亭黑简体" w:cs="方正兰亭黑简体"/>
          <w:color w:val="auto"/>
          <w:sz w:val="22"/>
          <w:szCs w:val="28"/>
          <w:highlight w:val="none"/>
        </w:rPr>
        <w:t>、</w:t>
      </w:r>
      <w:r>
        <w:rPr>
          <w:rFonts w:hint="eastAsia" w:ascii="方正兰亭黑简体" w:hAnsi="方正兰亭黑简体" w:eastAsia="方正兰亭黑简体" w:cs="方正兰亭黑简体"/>
          <w:color w:val="auto"/>
          <w:sz w:val="22"/>
          <w:szCs w:val="28"/>
          <w:highlight w:val="none"/>
        </w:rPr>
        <w:t>业绩案例</w:t>
      </w:r>
    </w:p>
    <w:p w14:paraId="7EB31163">
      <w:pPr>
        <w:pStyle w:val="4"/>
        <w:ind w:left="0" w:leftChars="0"/>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6、其他所必需的相关材料</w:t>
      </w:r>
    </w:p>
    <w:sectPr>
      <w:pgSz w:w="11906" w:h="16838"/>
      <w:pgMar w:top="1440" w:right="1083" w:bottom="1440" w:left="1083" w:header="851" w:footer="992" w:gutter="0"/>
      <w:cols w:space="0" w:num="1"/>
      <w:docGrid w:type="lines" w:linePitch="31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751147C-D2AB-44DB-832B-00FDC20FEA8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方正楷体_GB2312">
    <w:panose1 w:val="02000000000000000000"/>
    <w:charset w:val="86"/>
    <w:family w:val="auto"/>
    <w:pitch w:val="default"/>
    <w:sig w:usb0="A00002BF" w:usb1="184F6CFA" w:usb2="00000012" w:usb3="00000000" w:csb0="00040001" w:csb1="00000000"/>
  </w:font>
  <w:font w:name="方正小标宋简体">
    <w:panose1 w:val="02000000000000000000"/>
    <w:charset w:val="86"/>
    <w:family w:val="auto"/>
    <w:pitch w:val="default"/>
    <w:sig w:usb0="00000001" w:usb1="08000000" w:usb2="00000000" w:usb3="00000000" w:csb0="00040000" w:csb1="00000000"/>
  </w:font>
  <w:font w:name="方正仿宋_GB2312">
    <w:panose1 w:val="02000000000000000000"/>
    <w:charset w:val="86"/>
    <w:family w:val="auto"/>
    <w:pitch w:val="default"/>
    <w:sig w:usb0="A00002BF" w:usb1="184F6CFA" w:usb2="00000012" w:usb3="00000000" w:csb0="00040001" w:csb1="00000000"/>
    <w:embedRegular r:id="rId2" w:fontKey="{F2D9A4BC-F585-436D-893F-C04901AB9AFA}"/>
  </w:font>
  <w:font w:name="仿宋">
    <w:panose1 w:val="02010609060101010101"/>
    <w:charset w:val="86"/>
    <w:family w:val="modern"/>
    <w:pitch w:val="default"/>
    <w:sig w:usb0="800002BF" w:usb1="38CF7CFA" w:usb2="00000016" w:usb3="00000000" w:csb0="00040001" w:csb1="00000000"/>
    <w:embedRegular r:id="rId3" w:fontKey="{A9FA3739-0902-4D6A-B62F-EE134879314C}"/>
  </w:font>
  <w:font w:name="方正兰亭黑简体">
    <w:panose1 w:val="02000000000000000000"/>
    <w:charset w:val="86"/>
    <w:family w:val="auto"/>
    <w:pitch w:val="default"/>
    <w:sig w:usb0="A00002BF" w:usb1="184F6CFA" w:usb2="00000012" w:usb3="00000000" w:csb0="00040001" w:csb1="00000000"/>
    <w:embedRegular r:id="rId4" w:fontKey="{6FA7EB05-895B-4EE9-87ED-33A79F3B1AED}"/>
  </w:font>
  <w:font w:name="微软雅黑">
    <w:panose1 w:val="020B0503020204020204"/>
    <w:charset w:val="86"/>
    <w:family w:val="swiss"/>
    <w:pitch w:val="default"/>
    <w:sig w:usb0="80000287" w:usb1="2ACF3C50" w:usb2="00000016" w:usb3="00000000" w:csb0="0004001F" w:csb1="00000000"/>
    <w:embedRegular r:id="rId5" w:fontKey="{89E4DD07-87A5-46F7-8EFF-E1A5DE20A130}"/>
  </w:font>
  <w:font w:name="华文楷体">
    <w:panose1 w:val="02010600040101010101"/>
    <w:charset w:val="86"/>
    <w:family w:val="auto"/>
    <w:pitch w:val="default"/>
    <w:sig w:usb0="A00002BF" w:usb1="78CF7CFB" w:usb2="00000016" w:usb3="00000000" w:csb0="6006009F" w:csb1="DFD70000"/>
    <w:embedRegular r:id="rId6" w:fontKey="{82C9B8FF-A43B-496B-B0CD-A63CD7BFF98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C6DE97">
    <w:pPr>
      <w:pStyle w:val="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859155" cy="147955"/>
              <wp:effectExtent l="0" t="0" r="0" b="0"/>
              <wp:wrapNone/>
              <wp:docPr id="1" name="文本框 2"/>
              <wp:cNvGraphicFramePr/>
              <a:graphic xmlns:a="http://schemas.openxmlformats.org/drawingml/2006/main">
                <a:graphicData uri="http://schemas.microsoft.com/office/word/2010/wordprocessingShape">
                  <wps:wsp>
                    <wps:cNvSpPr txBox="1"/>
                    <wps:spPr>
                      <a:xfrm>
                        <a:off x="0" y="0"/>
                        <a:ext cx="859155" cy="147955"/>
                      </a:xfrm>
                      <a:prstGeom prst="rect">
                        <a:avLst/>
                      </a:prstGeom>
                      <a:noFill/>
                      <a:ln w="6350">
                        <a:noFill/>
                      </a:ln>
                    </wps:spPr>
                    <wps:txbx>
                      <w:txbxContent>
                        <w:p w14:paraId="1C75E4AA">
                          <w:pPr>
                            <w:pStyle w:val="7"/>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1.65pt;width:67.65pt;mso-position-horizontal:center;mso-position-horizontal-relative:margin;mso-wrap-style:none;z-index:251659264;mso-width-relative:page;mso-height-relative:page;" filled="f" stroked="f" coordsize="21600,21600" o:gfxdata="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FS000NMAAAAEAQAADwAAAAAAAAABACAAAAAiAAAAZHJzL2Rvd25yZXYueG1sUEsBAhQA&#10;FAAAAAgAh07iQLIjnDUwAgAAUwQAAA4AAAAAAAAAAQAgAAAAIgEAAGRycy9lMm9Eb2MueG1sUEsF&#10;BgAAAAAGAAYAWQEAAMQFAAAAAA==&#10;">
              <v:fill on="f" focussize="0,0"/>
              <v:stroke on="f" weight="0.5pt"/>
              <v:imagedata o:title=""/>
              <o:lock v:ext="edit" aspectratio="f"/>
              <v:textbox inset="0mm,0mm,0mm,0mm" style="mso-fit-shape-to-text:t;">
                <w:txbxContent>
                  <w:p w14:paraId="1C75E4AA">
                    <w:pPr>
                      <w:pStyle w:val="7"/>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8D2EBEB"/>
    <w:multiLevelType w:val="singleLevel"/>
    <w:tmpl w:val="E8D2EBEB"/>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7"/>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4CA3"/>
    <w:rsid w:val="000E4CA3"/>
    <w:rsid w:val="001B052D"/>
    <w:rsid w:val="001B1952"/>
    <w:rsid w:val="00283B3F"/>
    <w:rsid w:val="00325073"/>
    <w:rsid w:val="00572733"/>
    <w:rsid w:val="00595CBB"/>
    <w:rsid w:val="006030E1"/>
    <w:rsid w:val="007F3014"/>
    <w:rsid w:val="00836506"/>
    <w:rsid w:val="00C97D62"/>
    <w:rsid w:val="00DB0393"/>
    <w:rsid w:val="00DC509B"/>
    <w:rsid w:val="00E754B4"/>
    <w:rsid w:val="00F2174E"/>
    <w:rsid w:val="02675436"/>
    <w:rsid w:val="029C08D4"/>
    <w:rsid w:val="08B545A5"/>
    <w:rsid w:val="092F2754"/>
    <w:rsid w:val="13353790"/>
    <w:rsid w:val="13CA7CE9"/>
    <w:rsid w:val="152A4FA3"/>
    <w:rsid w:val="157E6317"/>
    <w:rsid w:val="19F06820"/>
    <w:rsid w:val="1E596D71"/>
    <w:rsid w:val="24050543"/>
    <w:rsid w:val="269F2B16"/>
    <w:rsid w:val="2FB07FD7"/>
    <w:rsid w:val="317D7420"/>
    <w:rsid w:val="32F77C98"/>
    <w:rsid w:val="331671BF"/>
    <w:rsid w:val="33B3033B"/>
    <w:rsid w:val="35906085"/>
    <w:rsid w:val="3A9852E0"/>
    <w:rsid w:val="3D6469F5"/>
    <w:rsid w:val="3FCC680A"/>
    <w:rsid w:val="3FDF48A5"/>
    <w:rsid w:val="40115E5B"/>
    <w:rsid w:val="40134FEB"/>
    <w:rsid w:val="41007DAA"/>
    <w:rsid w:val="438704B0"/>
    <w:rsid w:val="44E73D39"/>
    <w:rsid w:val="480A63EB"/>
    <w:rsid w:val="487158D1"/>
    <w:rsid w:val="488E3B06"/>
    <w:rsid w:val="48F25244"/>
    <w:rsid w:val="4CCA439B"/>
    <w:rsid w:val="4D0D4ED5"/>
    <w:rsid w:val="4EFD134C"/>
    <w:rsid w:val="53F3317F"/>
    <w:rsid w:val="543D6D6A"/>
    <w:rsid w:val="58C4549A"/>
    <w:rsid w:val="5AEA704B"/>
    <w:rsid w:val="5C376D46"/>
    <w:rsid w:val="5DF2219B"/>
    <w:rsid w:val="5E8720EC"/>
    <w:rsid w:val="5EE9209B"/>
    <w:rsid w:val="5F44384A"/>
    <w:rsid w:val="60BF2A71"/>
    <w:rsid w:val="63887FE1"/>
    <w:rsid w:val="63F161B6"/>
    <w:rsid w:val="66E533C4"/>
    <w:rsid w:val="681A51E0"/>
    <w:rsid w:val="695E3370"/>
    <w:rsid w:val="699D5EE7"/>
    <w:rsid w:val="6A660877"/>
    <w:rsid w:val="6B99520C"/>
    <w:rsid w:val="7CFA52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iPriority="0" w:semiHidden="0" w:name="Body Text Indent 2"/>
    <w:lsdException w:qFormat="1"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99"/>
    <w:pPr>
      <w:jc w:val="left"/>
    </w:pPr>
    <w:rPr>
      <w:kern w:val="0"/>
      <w:sz w:val="20"/>
      <w:szCs w:val="20"/>
    </w:rPr>
  </w:style>
  <w:style w:type="paragraph" w:styleId="3">
    <w:name w:val="Body Text"/>
    <w:basedOn w:val="1"/>
    <w:next w:val="1"/>
    <w:qFormat/>
    <w:uiPriority w:val="0"/>
    <w:pPr>
      <w:spacing w:after="120"/>
    </w:pPr>
  </w:style>
  <w:style w:type="paragraph" w:styleId="4">
    <w:name w:val="Body Text Indent"/>
    <w:basedOn w:val="1"/>
    <w:qFormat/>
    <w:uiPriority w:val="0"/>
    <w:pPr>
      <w:ind w:left="420" w:leftChars="200"/>
    </w:pPr>
  </w:style>
  <w:style w:type="paragraph" w:styleId="5">
    <w:name w:val="Plain Text"/>
    <w:basedOn w:val="1"/>
    <w:qFormat/>
    <w:uiPriority w:val="0"/>
    <w:rPr>
      <w:rFonts w:ascii="宋体" w:hAnsi="Courier New"/>
    </w:rPr>
  </w:style>
  <w:style w:type="paragraph" w:styleId="6">
    <w:name w:val="Body Text Indent 2"/>
    <w:basedOn w:val="1"/>
    <w:unhideWhenUsed/>
    <w:qFormat/>
    <w:uiPriority w:val="0"/>
    <w:pPr>
      <w:ind w:firstLine="540"/>
    </w:pPr>
    <w:rPr>
      <w:rFonts w:ascii="Calibri" w:hAnsi="Calibri"/>
      <w:sz w:val="28"/>
      <w:szCs w:val="20"/>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toc 1"/>
    <w:basedOn w:val="1"/>
    <w:next w:val="1"/>
    <w:unhideWhenUsed/>
    <w:qFormat/>
    <w:uiPriority w:val="39"/>
    <w:rPr>
      <w:rFonts w:ascii="Calibri" w:hAnsi="Calibri" w:eastAsia="宋体" w:cs="Times New Roman"/>
    </w:rPr>
  </w:style>
  <w:style w:type="paragraph" w:styleId="10">
    <w:name w:val="Body Text Indent 3"/>
    <w:basedOn w:val="1"/>
    <w:qFormat/>
    <w:uiPriority w:val="0"/>
    <w:pPr>
      <w:ind w:firstLine="600" w:firstLineChars="200"/>
    </w:pPr>
    <w:rPr>
      <w:color w:val="FF0000"/>
      <w:sz w:val="30"/>
      <w:szCs w:val="20"/>
    </w:rPr>
  </w:style>
  <w:style w:type="paragraph" w:styleId="11">
    <w:name w:val="Body Text 2"/>
    <w:basedOn w:val="1"/>
    <w:qFormat/>
    <w:uiPriority w:val="0"/>
    <w:pPr>
      <w:spacing w:after="120" w:line="480" w:lineRule="auto"/>
    </w:pPr>
  </w:style>
  <w:style w:type="paragraph" w:styleId="12">
    <w:name w:val="Normal (Web)"/>
    <w:basedOn w:val="1"/>
    <w:qFormat/>
    <w:uiPriority w:val="0"/>
    <w:pPr>
      <w:spacing w:beforeAutospacing="1" w:afterAutospacing="1"/>
      <w:jc w:val="left"/>
    </w:pPr>
    <w:rPr>
      <w:rFonts w:cs="Times New Roman"/>
      <w:kern w:val="0"/>
      <w:sz w:val="24"/>
    </w:rPr>
  </w:style>
  <w:style w:type="paragraph" w:styleId="13">
    <w:name w:val="Body Text First Indent"/>
    <w:basedOn w:val="3"/>
    <w:qFormat/>
    <w:uiPriority w:val="0"/>
    <w:pPr>
      <w:widowControl/>
      <w:ind w:firstLine="420" w:firstLineChars="100"/>
      <w:jc w:val="left"/>
    </w:pPr>
    <w:rPr>
      <w:rFonts w:ascii="Times New Roman"/>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qFormat/>
    <w:uiPriority w:val="22"/>
    <w:rPr>
      <w:b/>
      <w:bCs/>
    </w:rPr>
  </w:style>
  <w:style w:type="character" w:styleId="18">
    <w:name w:val="Hyperlink"/>
    <w:basedOn w:val="16"/>
    <w:unhideWhenUsed/>
    <w:qFormat/>
    <w:uiPriority w:val="99"/>
    <w:rPr>
      <w:color w:val="0000FF"/>
      <w:u w:val="single"/>
    </w:rPr>
  </w:style>
  <w:style w:type="paragraph" w:customStyle="1" w:styleId="19">
    <w:name w:val="列表段落1"/>
    <w:basedOn w:val="1"/>
    <w:qFormat/>
    <w:uiPriority w:val="0"/>
    <w:pPr>
      <w:ind w:firstLine="420" w:firstLineChars="200"/>
    </w:pPr>
  </w:style>
  <w:style w:type="paragraph" w:customStyle="1" w:styleId="20">
    <w:name w:val="Default"/>
    <w:qFormat/>
    <w:uiPriority w:val="0"/>
    <w:pPr>
      <w:widowControl w:val="0"/>
      <w:autoSpaceDE w:val="0"/>
      <w:autoSpaceDN w:val="0"/>
      <w:adjustRightInd w:val="0"/>
    </w:pPr>
    <w:rPr>
      <w:rFonts w:ascii="楷体" w:hAnsi="Times New Roman" w:eastAsia="楷体" w:cs="楷体"/>
      <w:color w:val="000000"/>
      <w:sz w:val="24"/>
      <w:szCs w:val="24"/>
      <w:lang w:val="en-US" w:eastAsia="zh-CN" w:bidi="ar-SA"/>
    </w:rPr>
  </w:style>
  <w:style w:type="character" w:customStyle="1" w:styleId="21">
    <w:name w:val="15"/>
    <w:basedOn w:val="16"/>
    <w:qFormat/>
    <w:uiPriority w:val="0"/>
    <w:rPr>
      <w:rFonts w:hint="default" w:ascii="Calibri" w:hAnsi="Calibri" w:cs="Calibri"/>
      <w:b/>
      <w:bCs/>
    </w:rPr>
  </w:style>
  <w:style w:type="paragraph" w:styleId="22">
    <w:name w:val="List Paragraph"/>
    <w:basedOn w:val="1"/>
    <w:qFormat/>
    <w:uiPriority w:val="34"/>
    <w:pPr>
      <w:ind w:left="720"/>
      <w:contextualSpacing/>
    </w:pPr>
  </w:style>
  <w:style w:type="table" w:customStyle="1" w:styleId="23">
    <w:name w:val="Table Normal"/>
    <w:semiHidden/>
    <w:unhideWhenUsed/>
    <w:qFormat/>
    <w:uiPriority w:val="0"/>
    <w:tblPr>
      <w:tblCellMar>
        <w:top w:w="0" w:type="dxa"/>
        <w:left w:w="0" w:type="dxa"/>
        <w:bottom w:w="0" w:type="dxa"/>
        <w:right w:w="0" w:type="dxa"/>
      </w:tblCellMar>
    </w:tblPr>
  </w:style>
  <w:style w:type="paragraph" w:customStyle="1" w:styleId="24">
    <w:name w:val="表格正文内容"/>
    <w:basedOn w:val="1"/>
    <w:next w:val="1"/>
    <w:autoRedefine/>
    <w:qFormat/>
    <w:uiPriority w:val="0"/>
    <w:pPr>
      <w:widowControl/>
      <w:spacing w:line="360" w:lineRule="exact"/>
      <w:jc w:val="left"/>
    </w:pPr>
    <w:rPr>
      <w:rFonts w:ascii="方正楷体_GB2312" w:hAnsi="方正小标宋简体" w:eastAsia="方正仿宋_GB2312" w:cs="仿宋"/>
      <w:sz w:val="24"/>
      <w:szCs w:val="32"/>
    </w:rPr>
  </w:style>
  <w:style w:type="paragraph" w:customStyle="1" w:styleId="25">
    <w:name w:val="列出段落2"/>
    <w:basedOn w:val="1"/>
    <w:qFormat/>
    <w:uiPriority w:val="0"/>
    <w:pPr>
      <w:ind w:firstLine="420" w:firstLineChars="200"/>
    </w:pPr>
    <w:rPr>
      <w:rFonts w:ascii="Times New Roman" w:hAnsi="Times New Roman" w:eastAsia="宋体" w:cs="Times New Roman"/>
      <w:szCs w:val="21"/>
    </w:rPr>
  </w:style>
  <w:style w:type="paragraph" w:customStyle="1" w:styleId="26">
    <w:name w:val="列出段落1"/>
    <w:basedOn w:val="1"/>
    <w:qFormat/>
    <w:uiPriority w:val="34"/>
    <w:pPr>
      <w:suppressAutoHyphens/>
      <w:ind w:firstLine="420"/>
    </w:pPr>
    <w:rPr>
      <w:rFonts w:ascii="Times New Roman" w:hAnsi="Times New Roman" w:eastAsia="宋体" w:cs="Times New Roman"/>
      <w:kern w:val="1"/>
      <w:szCs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contractReview xmlns="http://schemas.wps.cn/vas-ai-hub/contract-review">
  <reviewItems>
    <reviewItem>
      <errorID>b9063fda-4f1e-4fbe-8910-95eb8e73e03e</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58FFC7E6</paraID>
      <start>0</start>
      <end>2</end>
      <status>unmodified</status>
      <modifiedWord/>
      <trackRevisions>false</trackRevisions>
    </reviewItem>
    <reviewItem>
      <errorID>5a536436-9f48-4085-8da2-ed123a279336</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67A4B0EC</paraID>
      <start>0</start>
      <end>2</end>
      <status>unmodified</status>
      <modifiedWord/>
      <trackRevisions>false</trackRevisions>
    </reviewItem>
    <reviewItem>
      <errorID>b6b0fee8-c23c-45af-817b-ac67ddd13f9b</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34243CEE</paraID>
      <start>0</start>
      <end>2</end>
      <status>unmodified</status>
      <modifiedWord/>
      <trackRevisions>false</trackRevisions>
    </reviewItem>
    <reviewItem>
      <errorID>d0dd7d99-5a79-4b28-8861-8b9edee4708f</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57BF108D</paraID>
      <start>0</start>
      <end>2</end>
      <status>unmodified</status>
      <modifiedWord/>
      <trackRevisions>false</trackRevisions>
    </reviewItem>
    <reviewItem>
      <errorID>f6e91e2f-5b4f-4d57-b0b6-d0c0b23da91e</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170470A7</paraID>
      <start>0</start>
      <end>2</end>
      <status>unmodified</status>
      <modifiedWord/>
      <trackRevisions>false</trackRevisions>
    </reviewItem>
    <reviewItem>
      <errorID>8f2d7252-9d7e-4b91-99bd-23c6d3a5feee</errorID>
      <errorWord>-</errorWord>
      <group>L1_Format</group>
      <groupName>格式问题</groupName>
      <ability>L2_HalfPunc</ability>
      <abilityName>全半角检查</abilityName>
      <candidateList>
        <item>－</item>
      </candidateList>
      <explain>文本全半角错误。</explain>
      <paraID>32E0C58B</paraID>
      <start>132</start>
      <end>133</end>
      <status>unmodified</status>
      <modifiedWord/>
      <trackRevisions>false</trackRevisions>
    </reviewItem>
    <reviewItem>
      <errorID>96d43907-c781-4fbd-9189-33d977841c95</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46F01CE5</paraID>
      <start>0</start>
      <end>2</end>
      <status>unmodified</status>
      <modifiedWord/>
      <trackRevisions>false</trackRevisions>
    </reviewItem>
    <reviewItem>
      <errorID>c13b7c2d-703f-4a7f-962f-2728dcdea4b8</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673FFF60</paraID>
      <start>0</start>
      <end>2</end>
      <status>unmodified</status>
      <modifiedWord/>
      <trackRevisions>false</trackRevisions>
    </reviewItem>
    <reviewItem>
      <errorID>e0eb2c0b-1589-4ff4-b24c-f9b477b8828e</errorID>
      <errorWord>等</errorWord>
      <group>L1_Word</group>
      <groupName>字词问题</groupName>
      <ability>L2_Typo</ability>
      <abilityName>字词错误</abilityName>
      <candidateList>
        <item>的</item>
      </candidateList>
      <explain>“的”常用于连接修饰语与名词性中心语，表示属性、所属或描述。</explain>
      <paraID> 53ACC0F</paraID>
      <start>13</start>
      <end>14</end>
      <status>unmodified</status>
      <modifiedWord/>
      <trackRevisions>false</trackRevisions>
    </reviewItem>
    <reviewItem>
      <errorID>0e9bb81a-c9e6-4a30-ace2-7bb0893b6937</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43482A45</paraID>
      <start>0</start>
      <end>2</end>
      <status>unmodified</status>
      <modifiedWord/>
      <trackRevisions>false</trackRevisions>
    </reviewItem>
    <reviewItem>
      <errorID>38dc9954-5ee5-4bdb-86de-0a171940a11b</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428A839D</paraID>
      <start>0</start>
      <end>2</end>
      <status>unmodified</status>
      <modifiedWord/>
      <trackRevisions>false</trackRevisions>
    </reviewItem>
    <reviewItem>
      <errorID>e79ea07d-e15e-439a-a399-15529c0cce4e</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56E8031D</paraID>
      <start>0</start>
      <end>2</end>
      <status>unmodified</status>
      <modifiedWord/>
      <trackRevisions>false</trackRevisions>
    </reviewItem>
    <reviewItem>
      <errorID>d0b13ff3-028c-4cab-84e6-79eccd463fd8</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1DCC4AA6</paraID>
      <start>0</start>
      <end>2</end>
      <status>unmodified</status>
      <modifiedWord/>
      <trackRevisions>false</trackRevisions>
    </reviewItem>
    <reviewItem>
      <errorID>dc602209-4fa6-4bdc-8fc9-42371c3daba2</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41589759</paraID>
      <start>0</start>
      <end>2</end>
      <status>unmodified</status>
      <modifiedWord/>
      <trackRevisions>false</trackRevisions>
    </reviewItem>
    <reviewItem>
      <errorID>94290628-3576-4a3b-a490-6072e303e2b0</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7EB31163</paraID>
      <start>0</start>
      <end>2</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a66abbe-a269-4190-85bf-90682bc528c5}">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9</Pages>
  <Words>1950</Words>
  <Characters>2087</Characters>
  <Lines>133</Lines>
  <Paragraphs>161</Paragraphs>
  <TotalTime>4</TotalTime>
  <ScaleCrop>false</ScaleCrop>
  <LinksUpToDate>false</LinksUpToDate>
  <CharactersWithSpaces>2092</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2026-02-05T02:57:00Z</dcterms:created>
  <dc:creator>HP</dc:creator>
  <cp:lastModifiedBy>仲杰</cp:lastModifiedBy>
  <dcterms:modified xsi:type="dcterms:W3CDTF">2026-05-06T01:11:29Z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KSOTemplateDocerSaveRecord">
    <vt:lpwstr>eyJoZGlkIjoiMjQzMjJjYTEzYzEzMjVjOGIxYWQwMTc0ZTUwZGE2YjIiLCJ1c2VySWQiOiIyOTgyOTgyOTEifQ==</vt:lpwstr>
  </property>
  <property fmtid="{D5CDD505-2E9C-101B-9397-08002B2CF9AE}" pid="4" name="ICV">
    <vt:lpwstr>2BFD31D5F3FB4B709DBC969892577809_12</vt:lpwstr>
  </property>
</Properties>
</file>