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F5" w:rsidRDefault="00AB21F5" w:rsidP="00976514">
      <w:pPr>
        <w:spacing w:line="276" w:lineRule="auto"/>
        <w:ind w:firstLine="0"/>
        <w:jc w:val="center"/>
        <w:rPr>
          <w:b/>
          <w:sz w:val="44"/>
          <w:szCs w:val="44"/>
        </w:rPr>
      </w:pPr>
    </w:p>
    <w:p w:rsidR="00AB21F5" w:rsidRDefault="00AB21F5" w:rsidP="00976514">
      <w:pPr>
        <w:spacing w:line="276" w:lineRule="auto"/>
        <w:ind w:firstLine="0"/>
        <w:jc w:val="center"/>
        <w:rPr>
          <w:b/>
          <w:sz w:val="44"/>
          <w:szCs w:val="44"/>
        </w:rPr>
      </w:pPr>
    </w:p>
    <w:p w:rsidR="00AF3084" w:rsidRDefault="00AF3084" w:rsidP="00976514">
      <w:pPr>
        <w:spacing w:line="276" w:lineRule="auto"/>
        <w:ind w:firstLine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上海海事大学</w:t>
      </w:r>
    </w:p>
    <w:p w:rsidR="00AB21F5" w:rsidRDefault="00AF3084" w:rsidP="00976514">
      <w:pPr>
        <w:spacing w:line="276" w:lineRule="auto"/>
        <w:ind w:firstLine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中职英语、高中英语</w:t>
      </w:r>
    </w:p>
    <w:p w:rsidR="00AB21F5" w:rsidRDefault="00AF3084" w:rsidP="00976514">
      <w:pPr>
        <w:spacing w:line="276" w:lineRule="auto"/>
        <w:ind w:firstLine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课程资源购买项目</w:t>
      </w:r>
    </w:p>
    <w:p w:rsidR="00AB21F5" w:rsidRDefault="00AB21F5" w:rsidP="00976514">
      <w:pPr>
        <w:spacing w:line="276" w:lineRule="auto"/>
        <w:jc w:val="center"/>
        <w:rPr>
          <w:b/>
          <w:sz w:val="44"/>
          <w:szCs w:val="44"/>
        </w:rPr>
      </w:pPr>
    </w:p>
    <w:p w:rsidR="00AB21F5" w:rsidRDefault="00AB21F5" w:rsidP="00976514">
      <w:pPr>
        <w:spacing w:line="276" w:lineRule="auto"/>
        <w:jc w:val="center"/>
        <w:rPr>
          <w:b/>
          <w:sz w:val="44"/>
          <w:szCs w:val="44"/>
        </w:rPr>
      </w:pPr>
    </w:p>
    <w:p w:rsidR="00AB21F5" w:rsidRDefault="00AB21F5" w:rsidP="00976514">
      <w:pPr>
        <w:spacing w:line="276" w:lineRule="auto"/>
        <w:rPr>
          <w:b/>
          <w:sz w:val="44"/>
          <w:szCs w:val="44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ind w:firstLine="0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p w:rsidR="00AB21F5" w:rsidRDefault="00AB21F5" w:rsidP="00976514">
      <w:pPr>
        <w:spacing w:line="276" w:lineRule="auto"/>
        <w:jc w:val="center"/>
        <w:rPr>
          <w:rFonts w:ascii="楷体" w:eastAsia="楷体" w:hAnsi="楷体"/>
          <w:b/>
          <w:sz w:val="36"/>
          <w:szCs w:val="36"/>
        </w:rPr>
      </w:pPr>
    </w:p>
    <w:tbl>
      <w:tblPr>
        <w:tblW w:w="9000" w:type="dxa"/>
        <w:jc w:val="center"/>
        <w:tblBorders>
          <w:insideH w:val="dotted" w:sz="4" w:space="0" w:color="auto"/>
        </w:tblBorders>
        <w:tblLayout w:type="fixed"/>
        <w:tblLook w:val="04A0"/>
      </w:tblPr>
      <w:tblGrid>
        <w:gridCol w:w="2094"/>
        <w:gridCol w:w="6906"/>
      </w:tblGrid>
      <w:tr w:rsidR="00AB21F5">
        <w:trPr>
          <w:jc w:val="center"/>
        </w:trPr>
        <w:tc>
          <w:tcPr>
            <w:tcW w:w="2094" w:type="dxa"/>
            <w:tcBorders>
              <w:tl2br w:val="nil"/>
              <w:tr2bl w:val="nil"/>
            </w:tcBorders>
          </w:tcPr>
          <w:p w:rsidR="00AB21F5" w:rsidRDefault="00AF3084" w:rsidP="0097651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建设单位：</w:t>
            </w:r>
          </w:p>
        </w:tc>
        <w:tc>
          <w:tcPr>
            <w:tcW w:w="6906" w:type="dxa"/>
            <w:tcBorders>
              <w:tl2br w:val="nil"/>
              <w:tr2bl w:val="nil"/>
            </w:tcBorders>
          </w:tcPr>
          <w:p w:rsidR="00AB21F5" w:rsidRDefault="00AF3084" w:rsidP="00976514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上海海事大学</w:t>
            </w:r>
          </w:p>
        </w:tc>
      </w:tr>
      <w:tr w:rsidR="00AB21F5">
        <w:trPr>
          <w:jc w:val="center"/>
        </w:trPr>
        <w:tc>
          <w:tcPr>
            <w:tcW w:w="2094" w:type="dxa"/>
            <w:tcBorders>
              <w:tl2br w:val="nil"/>
              <w:tr2bl w:val="nil"/>
            </w:tcBorders>
          </w:tcPr>
          <w:p w:rsidR="00AB21F5" w:rsidRDefault="00AF3084" w:rsidP="0097651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项目内容：</w:t>
            </w:r>
          </w:p>
        </w:tc>
        <w:tc>
          <w:tcPr>
            <w:tcW w:w="6906" w:type="dxa"/>
            <w:tcBorders>
              <w:tl2br w:val="nil"/>
              <w:tr2bl w:val="nil"/>
            </w:tcBorders>
          </w:tcPr>
          <w:p w:rsidR="00AB21F5" w:rsidRDefault="00AF3084" w:rsidP="00976514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港湾校区中职英语、高中英语课程资源购买项目</w:t>
            </w:r>
          </w:p>
        </w:tc>
      </w:tr>
      <w:tr w:rsidR="00AB21F5">
        <w:trPr>
          <w:jc w:val="center"/>
        </w:trPr>
        <w:tc>
          <w:tcPr>
            <w:tcW w:w="2094" w:type="dxa"/>
            <w:tcBorders>
              <w:tl2br w:val="nil"/>
              <w:tr2bl w:val="nil"/>
            </w:tcBorders>
          </w:tcPr>
          <w:p w:rsidR="00AB21F5" w:rsidRDefault="00AF3084" w:rsidP="00976514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编制时间：</w:t>
            </w:r>
          </w:p>
        </w:tc>
        <w:tc>
          <w:tcPr>
            <w:tcW w:w="6906" w:type="dxa"/>
            <w:tcBorders>
              <w:tl2br w:val="nil"/>
              <w:tr2bl w:val="nil"/>
            </w:tcBorders>
          </w:tcPr>
          <w:p w:rsidR="00AB21F5" w:rsidRDefault="00AF3084" w:rsidP="00976514">
            <w:pPr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2020年9月</w:t>
            </w:r>
          </w:p>
        </w:tc>
      </w:tr>
    </w:tbl>
    <w:p w:rsidR="00AB21F5" w:rsidRDefault="00AB21F5" w:rsidP="00976514">
      <w:pPr>
        <w:spacing w:line="276" w:lineRule="auto"/>
      </w:pPr>
    </w:p>
    <w:p w:rsidR="00AB21F5" w:rsidRDefault="00AF3084" w:rsidP="00976514">
      <w:pPr>
        <w:spacing w:line="276" w:lineRule="auto"/>
        <w:ind w:firstLine="0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中职英语、高中英语课程资源购买项目</w:t>
      </w:r>
    </w:p>
    <w:p w:rsidR="00AB21F5" w:rsidRDefault="00AF3084" w:rsidP="00976514">
      <w:pPr>
        <w:spacing w:line="276" w:lineRule="auto"/>
        <w:jc w:val="center"/>
        <w:rPr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技术参数</w:t>
      </w:r>
    </w:p>
    <w:p w:rsidR="00AB21F5" w:rsidRDefault="00AF3084" w:rsidP="00976514">
      <w:pPr>
        <w:pStyle w:val="1"/>
        <w:numPr>
          <w:ilvl w:val="0"/>
          <w:numId w:val="1"/>
        </w:numPr>
        <w:spacing w:line="276" w:lineRule="auto"/>
      </w:pPr>
      <w:r>
        <w:rPr>
          <w:rFonts w:hint="eastAsia"/>
        </w:rPr>
        <w:t>项目背景</w:t>
      </w:r>
    </w:p>
    <w:p w:rsidR="00AB21F5" w:rsidRDefault="00AF3084" w:rsidP="00976514">
      <w:pPr>
        <w:pStyle w:val="3"/>
        <w:spacing w:line="276" w:lineRule="auto"/>
      </w:pPr>
      <w:bookmarkStart w:id="0" w:name="_Toc421173467"/>
      <w:r>
        <w:rPr>
          <w:rFonts w:hint="eastAsia"/>
        </w:rPr>
        <w:t>1、本课程在专业教学中的地位与作用</w:t>
      </w:r>
    </w:p>
    <w:p w:rsidR="00AB21F5" w:rsidRDefault="00AF3084" w:rsidP="00976514">
      <w:pPr>
        <w:spacing w:line="276" w:lineRule="auto"/>
        <w:ind w:firstLineChars="200" w:firstLine="480"/>
        <w:jc w:val="left"/>
      </w:pPr>
      <w:r>
        <w:rPr>
          <w:rFonts w:hint="eastAsia"/>
        </w:rPr>
        <w:t>英语课程是中等职业学校学生必修的一门公共基础课。本课程的任务是：使学生掌握一定的英语基础知识和基本技能，培养学生在日常生活和职业场景中的英语应用能力；培养学生的文化意识，提高学生的思想品德修养和文化素养；为学生的职业生涯、继续学习和终身发展奠定基础。</w:t>
      </w:r>
    </w:p>
    <w:p w:rsidR="00AB21F5" w:rsidRDefault="00AF3084" w:rsidP="00976514">
      <w:pPr>
        <w:pStyle w:val="3"/>
        <w:numPr>
          <w:ilvl w:val="0"/>
          <w:numId w:val="2"/>
        </w:numPr>
        <w:spacing w:line="276" w:lineRule="auto"/>
      </w:pPr>
      <w:r>
        <w:rPr>
          <w:rFonts w:hint="eastAsia"/>
        </w:rPr>
        <w:t>本课程的开发诉求与教学要求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开发诉求：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（1）学生诉求：中职英语是学业水平考试的重点内容，学生在传统中职英语教学中互动少、课后学习渠道少，因此学生对中职英语的兴趣低，学习效率不高，这会直接影响学业水平考试的成绩。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（2）教师诉求：传统的中职英语授课方式单一，资源少，加之学生基础差、兴趣低，教师期望改变现状，希望增加授课资源。而高中英语是我校为配合中高职贯通专业新开课程，教学资源更加少，学生诉求更加高。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教学要求：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本课程的教学内容由</w:t>
      </w:r>
      <w:r>
        <w:rPr>
          <w:rFonts w:hint="eastAsia"/>
          <w:b/>
          <w:bCs/>
        </w:rPr>
        <w:t>基础模块、职业模块和拓展模块</w:t>
      </w:r>
      <w:r>
        <w:rPr>
          <w:rFonts w:hint="eastAsia"/>
        </w:rPr>
        <w:t>三个部分构成。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（1）基础模块是各专业学生必修的基础性内容。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（2）职业模块是适应学生学习相关专业需要的限定选修内容，各学校根据实际情况进行选择和安排教学。</w:t>
      </w:r>
    </w:p>
    <w:p w:rsidR="00AB21F5" w:rsidRDefault="00AF3084" w:rsidP="00976514">
      <w:pPr>
        <w:spacing w:line="276" w:lineRule="auto"/>
      </w:pPr>
      <w:r>
        <w:rPr>
          <w:rFonts w:hint="eastAsia"/>
        </w:rPr>
        <w:t>（3）拓展模块是满足学生个性发展和继续学习需要的任意选修内容。</w:t>
      </w:r>
    </w:p>
    <w:p w:rsidR="00AB21F5" w:rsidRDefault="00AF3084" w:rsidP="00976514">
      <w:pPr>
        <w:pStyle w:val="1"/>
        <w:numPr>
          <w:ilvl w:val="0"/>
          <w:numId w:val="1"/>
        </w:numPr>
        <w:spacing w:line="276" w:lineRule="auto"/>
      </w:pPr>
      <w:r>
        <w:rPr>
          <w:rFonts w:hint="eastAsia"/>
        </w:rPr>
        <w:t>建设原则和总体要求</w:t>
      </w:r>
      <w:bookmarkEnd w:id="0"/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本项目作为招标人信息化建设的组成部分，必须遵循以下原则，达到要求：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（1）标准化和规范化原则。制作完成的视频应具备标准化的属性，符合项目制作技术参数要求。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（2）以项目任务引领为导向的原则。突出对英语课程教材改革的成果的建设，展示建设成果。</w:t>
      </w:r>
    </w:p>
    <w:p w:rsidR="00AB21F5" w:rsidRDefault="00AF3084" w:rsidP="00976514">
      <w:pPr>
        <w:spacing w:line="276" w:lineRule="auto"/>
        <w:ind w:firstLineChars="200" w:firstLine="480"/>
        <w:rPr>
          <w:color w:val="FF0000"/>
        </w:rPr>
      </w:pPr>
      <w:r>
        <w:rPr>
          <w:rFonts w:hint="eastAsia"/>
        </w:rPr>
        <w:lastRenderedPageBreak/>
        <w:t>（3）知识产权保护原则。本项目所有技术和资源应取得著作权人的授权。供货方承诺（提供具有法律效力的书面承诺）妥善解决网络传播权，所有知识产权、网络传播权纠纷由供货方承担责任，采购人免责。</w:t>
      </w:r>
    </w:p>
    <w:p w:rsidR="00AB21F5" w:rsidRDefault="00AF3084" w:rsidP="00976514">
      <w:pPr>
        <w:pStyle w:val="1"/>
        <w:numPr>
          <w:ilvl w:val="0"/>
          <w:numId w:val="1"/>
        </w:numPr>
        <w:spacing w:line="276" w:lineRule="auto"/>
      </w:pPr>
      <w:r>
        <w:rPr>
          <w:rFonts w:hint="eastAsia"/>
        </w:rPr>
        <w:t>项目建设内容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英语课程是中等职业学校学生必修的一门公共基础课。英语是当今世界使用最为广泛的通用语言，是国际交流与合作的重要工具， 是思想与文化的载体，对人的全面发展有积极的促进作用。中等职业学校英语课程是各专业学生必修的公共基础课程，兼有工具性与人文性。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基础模块的教学要求分为基本要求和较高要求两个层次，学校根据所在地区、学制、专业等实际情况选择教学要求的层次，并要积极创造条件，争取达到较高要求。</w:t>
      </w:r>
    </w:p>
    <w:p w:rsidR="00AB21F5" w:rsidRDefault="00AB21F5" w:rsidP="00976514">
      <w:pPr>
        <w:spacing w:line="276" w:lineRule="auto"/>
        <w:ind w:firstLineChars="200" w:firstLine="480"/>
      </w:pPr>
    </w:p>
    <w:p w:rsidR="00AB21F5" w:rsidRDefault="00AF3084" w:rsidP="00976514">
      <w:pPr>
        <w:pStyle w:val="1"/>
        <w:numPr>
          <w:ilvl w:val="0"/>
          <w:numId w:val="1"/>
        </w:numPr>
        <w:spacing w:line="276" w:lineRule="auto"/>
      </w:pPr>
      <w:r>
        <w:rPr>
          <w:rFonts w:hint="eastAsia"/>
        </w:rPr>
        <w:t>建设技术参数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2189"/>
        <w:gridCol w:w="474"/>
        <w:gridCol w:w="474"/>
        <w:gridCol w:w="519"/>
        <w:gridCol w:w="501"/>
        <w:gridCol w:w="4967"/>
      </w:tblGrid>
      <w:tr w:rsidR="00AB21F5" w:rsidTr="00976514">
        <w:trPr>
          <w:trHeight w:val="630"/>
        </w:trPr>
        <w:tc>
          <w:tcPr>
            <w:tcW w:w="408" w:type="pct"/>
            <w:shd w:val="clear" w:color="auto" w:fill="FFC000" w:themeFill="accent4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序号</w:t>
            </w:r>
          </w:p>
        </w:tc>
        <w:tc>
          <w:tcPr>
            <w:tcW w:w="645" w:type="pct"/>
            <w:shd w:val="clear" w:color="auto" w:fill="FFC000" w:themeFill="accent4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教材内容</w:t>
            </w:r>
          </w:p>
        </w:tc>
        <w:tc>
          <w:tcPr>
            <w:tcW w:w="322" w:type="pct"/>
            <w:shd w:val="clear" w:color="auto" w:fill="FFC000" w:themeFill="accent4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教学课时</w:t>
            </w:r>
          </w:p>
        </w:tc>
        <w:tc>
          <w:tcPr>
            <w:tcW w:w="322" w:type="pct"/>
            <w:shd w:val="clear" w:color="auto" w:fill="FFC000" w:themeFill="accent4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微课数量</w:t>
            </w:r>
          </w:p>
        </w:tc>
        <w:tc>
          <w:tcPr>
            <w:tcW w:w="345" w:type="pct"/>
            <w:shd w:val="clear" w:color="auto" w:fill="FFC000" w:themeFill="accent4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电子资源数量</w:t>
            </w:r>
          </w:p>
        </w:tc>
        <w:tc>
          <w:tcPr>
            <w:tcW w:w="336" w:type="pct"/>
            <w:shd w:val="clear" w:color="auto" w:fill="FFC000" w:themeFill="accent4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习题/套</w:t>
            </w:r>
          </w:p>
        </w:tc>
        <w:tc>
          <w:tcPr>
            <w:tcW w:w="2622" w:type="pct"/>
            <w:shd w:val="clear" w:color="auto" w:fill="FFC000" w:themeFill="accent4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制作内容与流程</w:t>
            </w:r>
          </w:p>
        </w:tc>
      </w:tr>
      <w:tr w:rsidR="00AB21F5" w:rsidTr="00976514">
        <w:trPr>
          <w:trHeight w:val="4590"/>
        </w:trPr>
        <w:tc>
          <w:tcPr>
            <w:tcW w:w="408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45" w:type="pc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中职英语</w:t>
            </w:r>
          </w:p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（一年级）</w:t>
            </w:r>
          </w:p>
        </w:tc>
        <w:tc>
          <w:tcPr>
            <w:tcW w:w="3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12个</w:t>
            </w:r>
          </w:p>
        </w:tc>
        <w:tc>
          <w:tcPr>
            <w:tcW w:w="345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12套</w:t>
            </w:r>
          </w:p>
        </w:tc>
        <w:tc>
          <w:tcPr>
            <w:tcW w:w="33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12套</w:t>
            </w:r>
          </w:p>
        </w:tc>
        <w:tc>
          <w:tcPr>
            <w:tcW w:w="26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1.1、 Text微课：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协助教师完成布置课前预习内容。</w:t>
            </w:r>
          </w:p>
          <w:p w:rsidR="00AB21F5" w:rsidRDefault="00AB21F5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1.2、课本听读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配合学生完成课文跟读背诵任务。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配套听力测试，辅助学生掌握新学的单词。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配套短文示范发音，解决学生语音问题。</w:t>
            </w:r>
          </w:p>
          <w:p w:rsidR="00AB21F5" w:rsidRDefault="00AB21F5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1.3、词汇跟读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配合学生完成词汇跟读背诵任务。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1.4、经典阅读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提升拓展本节词汇和句型。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1.5、同步作文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配合学生完成写作任务，方便教师完成教学批改任务。同时可以收集学生高频错误，提升教学质量。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1.6、拓展资源包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配合教师课堂教学任务。</w:t>
            </w:r>
          </w:p>
        </w:tc>
      </w:tr>
      <w:tr w:rsidR="00AB21F5" w:rsidTr="00976514">
        <w:trPr>
          <w:trHeight w:val="4590"/>
        </w:trPr>
        <w:tc>
          <w:tcPr>
            <w:tcW w:w="408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645" w:type="pc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高中英语（一年级）</w:t>
            </w:r>
          </w:p>
        </w:tc>
        <w:tc>
          <w:tcPr>
            <w:tcW w:w="3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3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12个</w:t>
            </w:r>
          </w:p>
        </w:tc>
        <w:tc>
          <w:tcPr>
            <w:tcW w:w="345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12套</w:t>
            </w:r>
          </w:p>
        </w:tc>
        <w:tc>
          <w:tcPr>
            <w:tcW w:w="33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12套</w:t>
            </w:r>
          </w:p>
        </w:tc>
        <w:tc>
          <w:tcPr>
            <w:tcW w:w="26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1.1、 Text微课：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协助教师完成布置课前预习内容。</w:t>
            </w:r>
          </w:p>
          <w:p w:rsidR="00AB21F5" w:rsidRDefault="00AB21F5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1.2、课本听读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配合学生完成课文跟读背诵任务。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配套听力测试，辅助学生掌握新学的单词。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配套短文示范发音，解决学生语音问题。</w:t>
            </w:r>
          </w:p>
          <w:p w:rsidR="00AB21F5" w:rsidRDefault="00AB21F5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</w:p>
          <w:p w:rsidR="00AB21F5" w:rsidRDefault="00AB21F5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1.3、词汇跟读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配合学生完成词汇跟读背诵任务。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1.4、经典阅读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提升拓展本节词汇和句型。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1.5、同步作文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配合学生完成写作任务，方便教师完成教学批改任务。同时可以收集学生高频错误，提升教学质量。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1.6、拓展资源包</w:t>
            </w:r>
          </w:p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配合教师课堂教学任务。</w:t>
            </w:r>
          </w:p>
        </w:tc>
      </w:tr>
      <w:tr w:rsidR="00AB21F5" w:rsidTr="00976514">
        <w:trPr>
          <w:trHeight w:val="593"/>
        </w:trPr>
        <w:tc>
          <w:tcPr>
            <w:tcW w:w="408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45" w:type="pct"/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ind w:firstLine="0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期末复习</w:t>
            </w:r>
          </w:p>
        </w:tc>
        <w:tc>
          <w:tcPr>
            <w:tcW w:w="3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B21F5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B21F5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45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B21F5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33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622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B21F5" w:rsidRDefault="00AF3084" w:rsidP="00976514">
            <w:pPr>
              <w:spacing w:line="276" w:lineRule="auto"/>
              <w:jc w:val="left"/>
              <w:textAlignment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试题库一套</w:t>
            </w:r>
          </w:p>
        </w:tc>
      </w:tr>
    </w:tbl>
    <w:p w:rsidR="00AB21F5" w:rsidRDefault="00AB21F5" w:rsidP="00976514">
      <w:pPr>
        <w:spacing w:line="276" w:lineRule="auto"/>
      </w:pP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四、递交时间、地点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1. 时间：2021年1月10日前。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2. 地点：甲方指定。</w:t>
      </w:r>
    </w:p>
    <w:p w:rsidR="00AB21F5" w:rsidRDefault="00AF3084" w:rsidP="00976514">
      <w:pPr>
        <w:pStyle w:val="1"/>
        <w:numPr>
          <w:ilvl w:val="0"/>
          <w:numId w:val="1"/>
        </w:numPr>
        <w:spacing w:line="276" w:lineRule="auto"/>
      </w:pPr>
      <w:r>
        <w:rPr>
          <w:rFonts w:hint="eastAsia"/>
        </w:rPr>
        <w:lastRenderedPageBreak/>
        <w:t>项目建设时间</w:t>
      </w:r>
    </w:p>
    <w:p w:rsidR="00AB21F5" w:rsidRDefault="00AF3084" w:rsidP="00976514">
      <w:pPr>
        <w:spacing w:line="276" w:lineRule="auto"/>
        <w:ind w:firstLineChars="200" w:firstLine="480"/>
      </w:pPr>
      <w:r>
        <w:rPr>
          <w:rFonts w:hint="eastAsia"/>
        </w:rPr>
        <w:t>本项目需在2021年1月中旬之前完成教学资源包开发。</w:t>
      </w:r>
    </w:p>
    <w:p w:rsidR="00AB21F5" w:rsidRDefault="00AF3084" w:rsidP="00976514">
      <w:pPr>
        <w:pStyle w:val="1"/>
        <w:numPr>
          <w:ilvl w:val="0"/>
          <w:numId w:val="1"/>
        </w:numPr>
        <w:spacing w:line="276" w:lineRule="auto"/>
      </w:pPr>
      <w:r>
        <w:rPr>
          <w:rFonts w:hint="eastAsia"/>
        </w:rPr>
        <w:t>售后服务及其他</w:t>
      </w:r>
    </w:p>
    <w:p w:rsidR="00AB21F5" w:rsidRDefault="00AF3084" w:rsidP="00976514">
      <w:pPr>
        <w:numPr>
          <w:ilvl w:val="0"/>
          <w:numId w:val="3"/>
        </w:numPr>
        <w:spacing w:line="276" w:lineRule="auto"/>
        <w:rPr>
          <w:rFonts w:cs="MS Gothic"/>
        </w:rPr>
      </w:pPr>
      <w:r>
        <w:rPr>
          <w:rFonts w:cs="MS Gothic" w:hint="eastAsia"/>
        </w:rPr>
        <w:t>供应商在提交成品后一月内，须根据采购方需求提供相关修改服务，服务次数原则上≤3次。</w:t>
      </w:r>
    </w:p>
    <w:p w:rsidR="00AB21F5" w:rsidRDefault="00AF3084" w:rsidP="00976514">
      <w:pPr>
        <w:numPr>
          <w:ilvl w:val="0"/>
          <w:numId w:val="3"/>
        </w:numPr>
        <w:spacing w:line="276" w:lineRule="auto"/>
        <w:rPr>
          <w:rFonts w:cs="MS Gothic"/>
        </w:rPr>
      </w:pPr>
      <w:r>
        <w:rPr>
          <w:rFonts w:cs="MS Gothic" w:hint="eastAsia"/>
        </w:rPr>
        <w:t>供应商须免费提供课程服务产品相关的培训、技术支持等服务。</w:t>
      </w:r>
    </w:p>
    <w:p w:rsidR="00AB21F5" w:rsidRDefault="00AF3084" w:rsidP="00976514">
      <w:pPr>
        <w:numPr>
          <w:ilvl w:val="0"/>
          <w:numId w:val="3"/>
        </w:numPr>
        <w:spacing w:line="276" w:lineRule="auto"/>
        <w:rPr>
          <w:rFonts w:cs="MS Gothic"/>
        </w:rPr>
      </w:pPr>
      <w:r>
        <w:rPr>
          <w:rFonts w:cs="MS Gothic" w:hint="eastAsia"/>
        </w:rPr>
        <w:t>供应商须提供四种常规技术服务方式，电话支持、BBS在线支持、电子邮件支持、远程维护支持。</w:t>
      </w:r>
    </w:p>
    <w:p w:rsidR="00AB21F5" w:rsidRDefault="00AF3084" w:rsidP="00976514">
      <w:pPr>
        <w:numPr>
          <w:ilvl w:val="0"/>
          <w:numId w:val="3"/>
        </w:numPr>
        <w:spacing w:line="276" w:lineRule="auto"/>
        <w:rPr>
          <w:rFonts w:cs="MS Gothic"/>
        </w:rPr>
      </w:pPr>
      <w:r>
        <w:rPr>
          <w:rFonts w:cs="MS Gothic" w:hint="eastAsia"/>
        </w:rPr>
        <w:t>课程所引用的教育视频资源须无版权问题，同时需满足教师备课资源库需求。</w:t>
      </w:r>
    </w:p>
    <w:p w:rsidR="00AB21F5" w:rsidRDefault="00AF3084" w:rsidP="00976514">
      <w:pPr>
        <w:numPr>
          <w:ilvl w:val="0"/>
          <w:numId w:val="3"/>
        </w:numPr>
        <w:spacing w:line="276" w:lineRule="auto"/>
        <w:rPr>
          <w:rFonts w:cs="MS Gothic"/>
        </w:rPr>
      </w:pPr>
      <w:r>
        <w:rPr>
          <w:rFonts w:cs="MS Gothic" w:hint="eastAsia"/>
        </w:rPr>
        <w:t>根据本采购项目具体要求，提供合理、完整、可行的设计方案，并明确项目实施过程中配套硬件及人员等。</w:t>
      </w:r>
    </w:p>
    <w:p w:rsidR="00AB21F5" w:rsidRDefault="00AB21F5" w:rsidP="00976514">
      <w:pPr>
        <w:spacing w:line="276" w:lineRule="auto"/>
        <w:ind w:firstLine="0"/>
      </w:pPr>
    </w:p>
    <w:sectPr w:rsidR="00AB21F5" w:rsidSect="00976514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EC8" w:rsidRDefault="00C30EC8" w:rsidP="00B16A1B">
      <w:pPr>
        <w:spacing w:line="240" w:lineRule="auto"/>
      </w:pPr>
      <w:r>
        <w:separator/>
      </w:r>
    </w:p>
  </w:endnote>
  <w:endnote w:type="continuationSeparator" w:id="1">
    <w:p w:rsidR="00C30EC8" w:rsidRDefault="00C30EC8" w:rsidP="00B16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EC8" w:rsidRDefault="00C30EC8" w:rsidP="00B16A1B">
      <w:pPr>
        <w:spacing w:line="240" w:lineRule="auto"/>
      </w:pPr>
      <w:r>
        <w:separator/>
      </w:r>
    </w:p>
  </w:footnote>
  <w:footnote w:type="continuationSeparator" w:id="1">
    <w:p w:rsidR="00C30EC8" w:rsidRDefault="00C30EC8" w:rsidP="00B16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9C5"/>
    <w:multiLevelType w:val="multilevel"/>
    <w:tmpl w:val="469E59C5"/>
    <w:lvl w:ilvl="0">
      <w:start w:val="1"/>
      <w:numFmt w:val="decimal"/>
      <w:lvlText w:val="（%1）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C98DE0"/>
    <w:multiLevelType w:val="singleLevel"/>
    <w:tmpl w:val="51C98D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F25F10"/>
    <w:multiLevelType w:val="singleLevel"/>
    <w:tmpl w:val="60F25F10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C0355A"/>
    <w:rsid w:val="00302D44"/>
    <w:rsid w:val="00345874"/>
    <w:rsid w:val="004D74C6"/>
    <w:rsid w:val="00976514"/>
    <w:rsid w:val="00AB21F5"/>
    <w:rsid w:val="00AF3084"/>
    <w:rsid w:val="00B16A1B"/>
    <w:rsid w:val="00C30EC8"/>
    <w:rsid w:val="08E67E67"/>
    <w:rsid w:val="0A8C7B6E"/>
    <w:rsid w:val="120A14CF"/>
    <w:rsid w:val="120C290D"/>
    <w:rsid w:val="12335BD6"/>
    <w:rsid w:val="1DEB1F93"/>
    <w:rsid w:val="1F183E48"/>
    <w:rsid w:val="24925AAB"/>
    <w:rsid w:val="28165840"/>
    <w:rsid w:val="2A456359"/>
    <w:rsid w:val="3327504C"/>
    <w:rsid w:val="33295C36"/>
    <w:rsid w:val="36FE639F"/>
    <w:rsid w:val="3B283F97"/>
    <w:rsid w:val="41C0355A"/>
    <w:rsid w:val="4579167E"/>
    <w:rsid w:val="48620611"/>
    <w:rsid w:val="4FEB2E6E"/>
    <w:rsid w:val="544C11B2"/>
    <w:rsid w:val="6476383A"/>
    <w:rsid w:val="6AA0053F"/>
    <w:rsid w:val="745232CA"/>
    <w:rsid w:val="7D525F42"/>
    <w:rsid w:val="7DAA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1F5"/>
    <w:pPr>
      <w:spacing w:line="480" w:lineRule="auto"/>
      <w:ind w:firstLine="420"/>
      <w:jc w:val="both"/>
    </w:pPr>
    <w:rPr>
      <w:rFonts w:ascii="宋体" w:hAnsi="宋体" w:cs="宋体"/>
      <w:color w:val="000000"/>
      <w:sz w:val="24"/>
      <w:szCs w:val="24"/>
    </w:rPr>
  </w:style>
  <w:style w:type="paragraph" w:styleId="1">
    <w:name w:val="heading 1"/>
    <w:basedOn w:val="a"/>
    <w:next w:val="a"/>
    <w:uiPriority w:val="9"/>
    <w:qFormat/>
    <w:rsid w:val="00AB21F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semiHidden/>
    <w:unhideWhenUsed/>
    <w:qFormat/>
    <w:rsid w:val="00AB21F5"/>
    <w:pPr>
      <w:keepNext/>
      <w:keepLines/>
      <w:spacing w:line="413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unhideWhenUsed/>
    <w:qFormat/>
    <w:rsid w:val="00AB21F5"/>
    <w:pPr>
      <w:keepNext/>
      <w:keepLines/>
      <w:spacing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AB21F5"/>
    <w:pPr>
      <w:ind w:firstLineChars="200" w:firstLine="200"/>
    </w:pPr>
  </w:style>
  <w:style w:type="paragraph" w:customStyle="1" w:styleId="Bodytext1">
    <w:name w:val="Body text|1"/>
    <w:basedOn w:val="a"/>
    <w:qFormat/>
    <w:rsid w:val="00AB21F5"/>
    <w:pPr>
      <w:widowControl w:val="0"/>
      <w:spacing w:after="320" w:line="446" w:lineRule="auto"/>
      <w:ind w:firstLine="400"/>
    </w:pPr>
    <w:rPr>
      <w:sz w:val="22"/>
      <w:szCs w:val="22"/>
      <w:lang w:val="zh-TW" w:eastAsia="zh-TW" w:bidi="zh-TW"/>
    </w:rPr>
  </w:style>
  <w:style w:type="paragraph" w:styleId="a4">
    <w:name w:val="header"/>
    <w:basedOn w:val="a"/>
    <w:link w:val="Char"/>
    <w:rsid w:val="00B1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6A1B"/>
    <w:rPr>
      <w:rFonts w:ascii="宋体" w:hAnsi="宋体" w:cs="宋体"/>
      <w:color w:val="000000"/>
      <w:sz w:val="18"/>
      <w:szCs w:val="18"/>
    </w:rPr>
  </w:style>
  <w:style w:type="paragraph" w:styleId="a5">
    <w:name w:val="footer"/>
    <w:basedOn w:val="a"/>
    <w:link w:val="Char0"/>
    <w:rsid w:val="00B16A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6A1B"/>
    <w:rPr>
      <w:rFonts w:ascii="宋体" w:hAnsi="宋体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FZ</cp:lastModifiedBy>
  <cp:revision>4</cp:revision>
  <dcterms:created xsi:type="dcterms:W3CDTF">2020-09-16T02:04:00Z</dcterms:created>
  <dcterms:modified xsi:type="dcterms:W3CDTF">2020-09-18T02:07:00Z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