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tabs>
          <w:tab w:val="clear" w:pos="1350"/>
        </w:tabs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center"/>
        <w:rPr>
          <w:rFonts w:hint="eastAsia" w:ascii="微软雅黑" w:eastAsia="微软雅黑"/>
          <w:b w:val="0"/>
          <w:color w:val="auto"/>
          <w:sz w:val="32"/>
          <w:szCs w:val="32"/>
          <w:highlight w:val="none"/>
        </w:rPr>
      </w:pPr>
      <w:bookmarkStart w:id="21" w:name="_GoBack"/>
      <w:bookmarkEnd w:id="21"/>
      <w:r>
        <w:rPr>
          <w:rFonts w:hint="eastAsia" w:ascii="微软雅黑" w:eastAsia="微软雅黑"/>
          <w:b w:val="0"/>
          <w:color w:val="auto"/>
          <w:sz w:val="32"/>
          <w:szCs w:val="32"/>
          <w:highlight w:val="none"/>
        </w:rPr>
        <w:t>项目招标需求</w:t>
      </w:r>
    </w:p>
    <w:p>
      <w:p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Arial" w:eastAsia="宋体"/>
          <w:b/>
          <w:color w:val="auto"/>
          <w:sz w:val="24"/>
          <w:szCs w:val="24"/>
          <w:highlight w:val="none"/>
          <w:lang w:val="en-US" w:eastAsia="zh-CN" w:bidi="ar-SA"/>
        </w:rPr>
      </w:pPr>
      <w:bookmarkStart w:id="0" w:name="_Toc16971"/>
      <w:bookmarkStart w:id="1" w:name="_Toc20410"/>
      <w:bookmarkStart w:id="2" w:name="_Toc7968"/>
      <w:bookmarkStart w:id="3" w:name="_Toc23211"/>
      <w:bookmarkStart w:id="4" w:name="_Toc30140"/>
      <w:bookmarkStart w:id="5" w:name="_Toc29476"/>
      <w:bookmarkStart w:id="6" w:name="_Toc23965"/>
      <w:r>
        <w:rPr>
          <w:rFonts w:hint="eastAsia" w:ascii="宋体" w:hAnsi="Arial" w:eastAsia="宋体"/>
          <w:b/>
          <w:color w:val="auto"/>
          <w:sz w:val="24"/>
          <w:szCs w:val="24"/>
          <w:highlight w:val="none"/>
          <w:lang w:val="en-US" w:eastAsia="zh-CN" w:bidi="ar-SA"/>
        </w:rPr>
        <w:t>一、项目</w:t>
      </w:r>
      <w:bookmarkEnd w:id="0"/>
      <w:bookmarkEnd w:id="1"/>
      <w:bookmarkEnd w:id="2"/>
      <w:bookmarkEnd w:id="3"/>
      <w:bookmarkEnd w:id="4"/>
      <w:r>
        <w:rPr>
          <w:rFonts w:hint="eastAsia" w:ascii="宋体" w:hAnsi="Arial" w:eastAsia="宋体"/>
          <w:b/>
          <w:color w:val="auto"/>
          <w:sz w:val="24"/>
          <w:szCs w:val="24"/>
          <w:highlight w:val="none"/>
          <w:lang w:val="en-US" w:eastAsia="zh-CN" w:bidi="ar-SA"/>
        </w:rPr>
        <w:t>概况</w:t>
      </w:r>
      <w:bookmarkEnd w:id="5"/>
      <w:bookmarkEnd w:id="6"/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bookmarkStart w:id="7" w:name="_Toc13343"/>
      <w:bookmarkStart w:id="8" w:name="_Toc25790"/>
      <w:bookmarkStart w:id="9" w:name="_Toc15556"/>
      <w:bookmarkStart w:id="10" w:name="_Toc11224"/>
      <w:bookmarkStart w:id="11" w:name="_Toc12347"/>
      <w:r>
        <w:rPr>
          <w:rFonts w:hint="eastAsia" w:ascii="宋体" w:eastAsia="宋体"/>
          <w:color w:val="auto"/>
          <w:sz w:val="24"/>
          <w:highlight w:val="none"/>
        </w:rPr>
        <w:t>根据</w:t>
      </w:r>
      <w:r>
        <w:rPr>
          <w:rFonts w:hint="eastAsia" w:ascii="宋体" w:eastAsia="宋体"/>
          <w:color w:val="auto"/>
          <w:sz w:val="24"/>
          <w:highlight w:val="none"/>
          <w:lang w:eastAsia="zh-CN"/>
        </w:rPr>
        <w:t>《中华人民共和国消防法》第十六条之规定，我校现通过公开招标形式，对全校所有建筑</w:t>
      </w:r>
      <w:r>
        <w:rPr>
          <w:rFonts w:hint="eastAsia" w:ascii="宋体" w:eastAsia="宋体"/>
          <w:color w:val="auto"/>
          <w:sz w:val="24"/>
          <w:highlight w:val="none"/>
        </w:rPr>
        <w:t>进行一次消防检测，</w:t>
      </w:r>
      <w:r>
        <w:rPr>
          <w:rFonts w:hint="eastAsia" w:ascii="宋体" w:eastAsia="宋体"/>
          <w:color w:val="auto"/>
          <w:sz w:val="24"/>
          <w:highlight w:val="none"/>
          <w:lang w:eastAsia="zh-CN"/>
        </w:rPr>
        <w:t>以确保我校建筑消防设施全面符合法律要求</w:t>
      </w:r>
      <w:r>
        <w:rPr>
          <w:rFonts w:hint="eastAsia" w:ascii="宋体" w:eastAsia="宋体"/>
          <w:color w:val="auto"/>
          <w:sz w:val="24"/>
          <w:highlight w:val="none"/>
        </w:rPr>
        <w:t>。</w:t>
      </w:r>
    </w:p>
    <w:p>
      <w:p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Arial" w:eastAsia="宋体"/>
          <w:b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Arial" w:eastAsia="宋体"/>
          <w:b/>
          <w:color w:val="auto"/>
          <w:sz w:val="24"/>
          <w:szCs w:val="24"/>
          <w:highlight w:val="none"/>
          <w:lang w:val="en-US" w:eastAsia="zh-CN" w:bidi="ar-SA"/>
        </w:rPr>
        <w:t>二、检测依据：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</w:t>
      </w:r>
      <w:r>
        <w:rPr>
          <w:rFonts w:hint="eastAsia" w:ascii="宋体" w:eastAsia="宋体"/>
          <w:color w:val="auto"/>
          <w:sz w:val="24"/>
          <w:highlight w:val="none"/>
        </w:rPr>
        <w:tab/>
      </w:r>
      <w:r>
        <w:rPr>
          <w:rFonts w:hint="eastAsia" w:ascii="宋体" w:eastAsia="宋体"/>
          <w:color w:val="auto"/>
          <w:sz w:val="24"/>
          <w:highlight w:val="none"/>
        </w:rPr>
        <w:t>依据国家相关规范（如：《高层建筑设计防火规范》、《火灾自动报警系统设计规范》、《自动喷水灭火系统设计规范》、《消防应急照明灯具通用技术条件》、《气体灭火系统施工及验收规范》等）进行消防设计检测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2</w:t>
      </w:r>
      <w:r>
        <w:rPr>
          <w:rFonts w:hint="eastAsia" w:ascii="宋体" w:eastAsia="宋体"/>
          <w:color w:val="auto"/>
          <w:sz w:val="24"/>
          <w:highlight w:val="none"/>
        </w:rPr>
        <w:tab/>
      </w:r>
      <w:r>
        <w:rPr>
          <w:rFonts w:hint="eastAsia" w:ascii="宋体" w:eastAsia="宋体"/>
          <w:color w:val="auto"/>
          <w:sz w:val="24"/>
          <w:highlight w:val="none"/>
        </w:rPr>
        <w:t>主要包括火灾自动报警系统、消火栓系统、自动喷水灭火系统、气体灭火系统、防排烟及通风空调系统、防火卷帘、防火门等七个系统。</w:t>
      </w:r>
    </w:p>
    <w:bookmarkEnd w:id="7"/>
    <w:bookmarkEnd w:id="8"/>
    <w:bookmarkEnd w:id="9"/>
    <w:bookmarkEnd w:id="10"/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</w:p>
    <w:p>
      <w:pPr>
        <w:numPr>
          <w:ilvl w:val="0"/>
          <w:numId w:val="0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Arial" w:eastAsia="宋体"/>
          <w:b/>
          <w:color w:val="auto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Arial" w:eastAsia="宋体"/>
          <w:b/>
          <w:color w:val="auto"/>
          <w:sz w:val="24"/>
          <w:szCs w:val="24"/>
          <w:highlight w:val="none"/>
          <w:lang w:val="en-US" w:eastAsia="zh-CN" w:bidi="ar-SA"/>
        </w:rPr>
        <w:t>三、检测范围</w:t>
      </w:r>
    </w:p>
    <w:p>
      <w:pPr>
        <w:numPr>
          <w:ilvl w:val="0"/>
          <w:numId w:val="0"/>
        </w:numPr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Arial" w:eastAsia="宋体"/>
          <w:b/>
          <w:color w:val="auto"/>
          <w:sz w:val="24"/>
          <w:szCs w:val="24"/>
          <w:highlight w:val="none"/>
          <w:lang w:val="en-US" w:eastAsia="zh-CN" w:bidi="ar-SA"/>
        </w:rPr>
      </w:pPr>
    </w:p>
    <w:tbl>
      <w:tblPr>
        <w:tblStyle w:val="5"/>
        <w:tblW w:w="722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2"/>
        <w:gridCol w:w="2256"/>
        <w:gridCol w:w="1283"/>
        <w:gridCol w:w="1850"/>
        <w:gridCol w:w="120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zh-CN"/>
              </w:rPr>
              <w:t>序号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zh-CN"/>
              </w:rPr>
              <w:t>建筑物名称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zh-CN"/>
              </w:rPr>
              <w:t>楼层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zh-CN"/>
              </w:rPr>
              <w:t>建筑面积（</w:t>
            </w:r>
            <w:r>
              <w:rPr>
                <w:rFonts w:hint="eastAsia" w:ascii="宋体" w:hAnsi="宋体" w:cs="宋体"/>
                <w:color w:val="auto"/>
                <w:highlight w:val="none"/>
                <w:lang w:eastAsia="zh-CN" w:bidi="zh-CN"/>
              </w:rPr>
              <w:t>㎡</w:t>
            </w:r>
            <w:r>
              <w:rPr>
                <w:rFonts w:hint="eastAsia" w:ascii="宋体" w:hAnsi="宋体" w:cs="宋体"/>
                <w:color w:val="auto"/>
                <w:highlight w:val="none"/>
                <w:lang w:bidi="zh-CN"/>
              </w:rPr>
              <w:t>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高度（m）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zh-CN"/>
              </w:rPr>
              <w:t>1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科研楼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12742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23.10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行政楼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10018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19.05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图文信息中心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45407.5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39.3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大礼堂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5298.1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29.05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学生活动中心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6266.1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6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水上训练中心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5877.5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15.15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7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商船学院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44527.8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22.10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8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物流工程学院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21945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22.45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9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外语学院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6960.6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21.05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zh-CN"/>
              </w:rPr>
              <w:t>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0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法学院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4617.4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16.95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zh-CN"/>
              </w:rPr>
              <w:t>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经济管理学院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10236.6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22.45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zh-CN"/>
              </w:rPr>
              <w:t>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交通运输学院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8901.9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21.05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bidi="zh-CN"/>
              </w:rPr>
              <w:t>1</w:t>
            </w: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3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海洋环境工程学院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9836.3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14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信息工程学院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5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13271.1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20.45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15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体育中心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1、2、3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26501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26.35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16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实训中心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2、3、4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16808.5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20.85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17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校医院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1、2、4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4877.2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17.35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18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食堂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2、3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24769.4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16.4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19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文理公共教学楼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2、3、4、5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58965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22.3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20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南区学生公寓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1、6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31608.3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20.4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21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北区学生公寓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38648.1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19.7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22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三期学生公寓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99824.89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20.9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23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五期学生公寓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6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70323.9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24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教职工集体宿舍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1、5、11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10215.6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32.75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25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集装箱供应链技术研究中心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13958.5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17.2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26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海云楼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4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3727.7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16.8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27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研究生公寓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16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23590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48.6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28</w:t>
            </w:r>
          </w:p>
        </w:tc>
        <w:tc>
          <w:tcPr>
            <w:tcW w:w="225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高恒大厦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28</w:t>
            </w: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33573.87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96.88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288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  <w:t>总计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</w:p>
        </w:tc>
        <w:tc>
          <w:tcPr>
            <w:tcW w:w="18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zh-CN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 w:bidi="zh-CN"/>
              </w:rPr>
              <w:t>63297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zh-CN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 w:bidi="zh-CN"/>
              </w:rPr>
              <w:t>74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highlight w:val="none"/>
                <w:lang w:val="en-US" w:eastAsia="zh-CN" w:bidi="zh-CN"/>
              </w:rPr>
            </w:pPr>
          </w:p>
        </w:tc>
      </w:tr>
    </w:tbl>
    <w:p>
      <w:pPr>
        <w:numPr>
          <w:ilvl w:val="0"/>
          <w:numId w:val="0"/>
        </w:numPr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Arial" w:eastAsia="宋体"/>
          <w:b/>
          <w:color w:val="auto"/>
          <w:sz w:val="24"/>
          <w:szCs w:val="24"/>
          <w:highlight w:val="none"/>
          <w:lang w:val="en-US" w:eastAsia="zh-CN" w:bidi="ar-SA"/>
        </w:rPr>
      </w:pPr>
    </w:p>
    <w:p>
      <w:pPr>
        <w:pStyle w:val="2"/>
        <w:numPr>
          <w:ilvl w:val="0"/>
          <w:numId w:val="2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hAnsi="Arial" w:eastAsia="宋体"/>
          <w:b/>
          <w:color w:val="auto"/>
          <w:sz w:val="24"/>
          <w:szCs w:val="24"/>
          <w:lang w:val="en-US" w:eastAsia="zh-CN"/>
        </w:rPr>
      </w:pPr>
      <w:bookmarkStart w:id="12" w:name="_Toc29113"/>
      <w:bookmarkStart w:id="13" w:name="_Toc19131"/>
      <w:bookmarkStart w:id="14" w:name="_Toc25543"/>
      <w:bookmarkStart w:id="15" w:name="_Toc29796"/>
      <w:r>
        <w:rPr>
          <w:rFonts w:hint="eastAsia" w:ascii="宋体" w:hAnsi="Arial" w:eastAsia="宋体"/>
          <w:b/>
          <w:color w:val="auto"/>
          <w:sz w:val="24"/>
          <w:szCs w:val="24"/>
          <w:highlight w:val="none"/>
          <w:lang w:val="en-US" w:eastAsia="zh-CN"/>
        </w:rPr>
        <w:t>具体检测内容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</w:t>
      </w:r>
      <w:r>
        <w:rPr>
          <w:rFonts w:hint="eastAsia" w:ascii="宋体" w:eastAsia="宋体"/>
          <w:color w:val="auto"/>
          <w:sz w:val="24"/>
          <w:highlight w:val="none"/>
        </w:rPr>
        <w:tab/>
      </w:r>
      <w:r>
        <w:rPr>
          <w:rFonts w:hint="eastAsia" w:ascii="宋体" w:eastAsia="宋体"/>
          <w:color w:val="auto"/>
          <w:sz w:val="24"/>
          <w:highlight w:val="none"/>
        </w:rPr>
        <w:t>火灾自动报警系统：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1.1检测火灾自动报警系统线路的绝缘电阻、接地电阻、系统的接地、管线的安装及其保护状况（每个回路检测）；检测火灾探测器和手动报警按钮的设置状况、安装质量、保护半径及与周围遮挡物的距离等，进行模拟响应测试，并按比例抽检；检测火灾报警控制器的安装质量、柜内配线、保护接地的设置、主备电源的设置及其转换功能，并对控制器的各项功能测试（100%检测）；检测消防设备控制柜的安装质量、柜内配线、手、自动控制及屏面接受消防设备的信号反馈功能（100%检测）；检测消防控制室、各消防设备间及消火栓按钮处的消防通讯功能；检测消防控制室的设置位置及明显标志、室内防火阀及无关管线的设置、双回路电源的设置和切换功能；检测火灾应急广播的音响功能，手动选层和自动广播、遥控开启和强行切换等功能；检测电梯的迫降功能、消防电梯的使用功能（100%检测），切断非消防电源功能和着火层的灯光显示功能；检测火灾应急照明和疏散指示标志的设置、照度、转换时间和图形符号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1.2相关技术要求：火灾自动报警系统（应急广播、消防电梯、事故照明及疏散指示灯）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系统组成：电源、火灾报警控制器、火灾报警触发装置、消防联动控制设备、消防通讯设备、火灾应急广播、消防电梯、火灾应急照明及疏散指示装置等。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1.3电源：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1.3.1交流电源：规范要求火灾报警控制器主电源采用专用消防电源，或采用单独的供电回路，不能与日常用电合用（包括控制室监控电源、空调电源），《高规》还要求双电供电，设置自动转换装置。主电源容量要求：火灾报警控制器在百分之二十的报警部位（10≤报警点≤32）处于正常报警状态条件下，连续正常工作4小时，还有电压稳定度、负载稳定度不大于5%等要求。主电源不应采用漏电保护开关保护；不能采用插头连接。除主电源供电外，还要有直流备用电源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1.4消防控制室及火灾报警控制器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1.4.1消防控制室：规范要求消防控制室的标志应齐全。消防控制室入口处应有明显标志（塑料、金属）；控制器主电源要有明显标志；保护接地要设明显标志；控制器及消防控制设备外接导线端部应有明显标志；不同电压等级、不同电流类别的端子应有明显标志；消防联动控制盘面应有明显标志。火灾报警控制器：控制器柜内导线要求布线美观，绑扎成束，导线编号、端子压接导线小于2根。火灾自动报警系统应设专用接地干线，应采用铜芯绝缘导线，其芯线截面积不小于25mm2,消防控制室接地板的接地线也应选用铜芯绝缘导线，其芯线截面积不小于4mm2。控制器主要功能：消音功能，复位功能，故障报警功能，火灾报警功能，二次火警功能，火灾优先功能，自检功能，显示记忆功能，屏蔽功能等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1.5消防联动控制设备，消防联动控制设备电源容量试验和控制器试验类似。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1.5.1火灾探测器和手动报警按钮（火灾触发装置）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1.5.2消防通讯、应急广播、消防电梯、火灾应急照明及疏散指示装置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1.5.3消防通讯：消防控制室应设置消防专用电话总机。设备间（泵房、风机房、空调机房、配电室、分控室等）应设专用电话分机，手动报警按钮、消火栓按钮等处宜插孔电话。要求语言清晰，通话可靠。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1.5.4应急广播：控制中心报警系统应设置火灾应急广播，集中报警系统宜设置火灾应急广播，未设置火灾应急广播的火灾自动报警系统应设置火灾警报装置。扬声器功率不小于3瓦，任何部位距离不大于25米，声压级高于背景15分贝。也可与日常公共广播系统合用，平时用于广播、背景音乐等，火警时</w:t>
      </w:r>
      <w:r>
        <w:rPr>
          <w:rFonts w:hint="eastAsia" w:ascii="宋体"/>
          <w:color w:val="auto"/>
          <w:sz w:val="24"/>
          <w:highlight w:val="none"/>
          <w:lang w:eastAsia="zh-CN"/>
        </w:rPr>
        <w:t>消防</w:t>
      </w:r>
      <w:r>
        <w:rPr>
          <w:rFonts w:hint="eastAsia" w:ascii="宋体" w:eastAsia="宋体"/>
          <w:color w:val="auto"/>
          <w:sz w:val="24"/>
          <w:highlight w:val="none"/>
        </w:rPr>
        <w:t>控制室应能强制转入应急广播状态，即相应楼层或防火分区的扬声器和公共广播扩音机（功放机）强制转入应急广播状态。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1.5.5消防电梯：普通电梯要求在火警时能强制降于首层，打开轿厢门，不作为疏散用。而消防电梯除要求在控制室和首层都能强制降于首层外，还要求有消防操作功能，即不能外呼，轿厢内可操作，设专用电话，有排水设施等。消防控制室应能控制电梯全部停于首层并接收其反馈信号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1.5.6应急照明及疏散指示：规范要求，应急照明和疏散指示连续供电工作时间不少于20分钟。应急照明度不低于0.5LX，地下室不低于5LX，疏散指示照度不小于0.5LX。消防控制室应能切断有关部位的非消防电源，并接通火灾应急照明及疏散指示装置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2消防供水及消火栓系统：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2.1检查消防水源的性质、进水管的条数和直径及消防水池的设置状况（100%检测）；检查消防水池的容积、水位指示器和补水设施、保证消防用水和防冻措施等（100%检测）；检查消防水箱的设置、容积、防冻措施、补水及单向阀的状况等（100%检测）；检测各种消防供水泵的性能、管道、手自动控制、启动时间，主备泵和主备电源转换功能等（100%检测）；检测水泵接合器的设置、标志及输送消防水的功能等（100%检测）。检查室内消火栓的安装、组件、规格及其间距等；检测屋顶消火栓的设置、陈冻措施及其充实水柱长度等（100%检测）；检查室内消火栓管网的设置、管径、颜色、保证消防用水及其连接形状；检测室内消火栓的首层和最不利点的静压、动压及其充实水柱长度（按每个供水分区最不利点及首层均进行出水测试）；检查手动启泵按钮的设置及其功能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2.2相关技术要求：室外消火栓系统：较为常见的采用市政供水。地下式室外消火栓井盖及附近应有标志，平时注意维护阀门、接口，保持清洁、干燥，启闭灵活。室内消火栓系统：分为市政供水系统和临时高压给水系统（设消火栓泵）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2.2.1组成：市政供水系统由消火栓箱、管网、水源构成。临时高压给水系统由消火栓箱、消火栓启泵按钮、管网、水泵、水源构成。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2.2.2消火栓管网进水管不少于两根，应为独立的两根，当有一根需要检修时不影响系统管网的供水。管网应布置呈环状。消火栓启泵按钮要有保护措施；报警要准确，设有报警系统的要显示部位；并能联动消火栓泵，当消火栓泵启动后应有红色指示灯指示。消火栓栓口静水压力：不低于0.07MPa，不高于0.8MPa；出水压力：不大于0.50MPa，最主要是充实水柱长度不小于7m（高规10m）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3</w:t>
      </w:r>
      <w:r>
        <w:rPr>
          <w:rFonts w:hint="eastAsia" w:ascii="宋体" w:eastAsia="宋体"/>
          <w:color w:val="auto"/>
          <w:sz w:val="24"/>
          <w:highlight w:val="none"/>
        </w:rPr>
        <w:tab/>
      </w:r>
      <w:r>
        <w:rPr>
          <w:rFonts w:hint="eastAsia" w:ascii="宋体" w:eastAsia="宋体"/>
          <w:color w:val="auto"/>
          <w:sz w:val="24"/>
          <w:highlight w:val="none"/>
        </w:rPr>
        <w:t>自动喷水灭火系统：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3.1检查管网的安装、连接、设置喷头数量及末端管径等；检查水流指示器和信号阀的安装及其功能；检测报警阀组的安装、阀门的状态、各组件及其功能（100%检测）；检测喷淋头安装、外观、保护间距和保护面积及与邻近障碍物的距离等；对报警阀组进行功能试验（100%检测）；对自动喷淋水（雾）系统进行功能试验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3.2相关技术要求：组成：喷头、管网、水流指示器、末端试水装置、检修阀、报警阀组、水泵、水源。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3.3喷头：在装设通透性吊顶的场所，喷头应布置在顶板下，距顶板的距离不小于75mm，不大于150mm。喷头距梁、通风管道距离要符合规范要求，高于底边0.14m，0.6≤水平距离≤0.9，高于底边0.35m，1.2≤水平距离≤1.5m，当通风管道宽度大于1.2m，应增设喷头。如果喷头安装位置较低时也可增加集热挡水板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3.4排水设施：湿式报警阀处应设有排水设施。试水管管径应为25mm，最好将泄水管直接引至水池、地漏，以便随时进行放水试验。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3.5水流指示器：水流指示器一般与检修阀相邻设置，距离不小于300mm，应设在便于维修的场所（同检修阀）。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3.6报警阀组（湿式）：水力警铃是利用水流的冲击发出声响的报警装置，应设在有人值班或公共场所（或附近），通过水力达到报警目的。压力开关是一种利用水压推动微动开关将水压转换成电信号的装置。稳压系统：喷淋系统的稳压非常重要的，是决定报警阀动作与否的关键所在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4气体灭火系统：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4.1检查气体灭火系统的贮瓶间的设备、组件、灭火剂输送管道、喷嘴及防护区的设置和安装状况（100%检测）；对气体灭火系统模拟联动试验、查看先发声、后发光的报警程序，查看切断火场电源、自动启动、延时启动量、防火阀和排风机、喷射过程、气体释放指示灯等的动作是否正常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5防排烟系统、防火卷帘门、防火门：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5.1检测排烟系统风机（100%检测）、风道、防火阀、送风口、主备电源设置状况及其功能；检查通风空调系统的管道和防火阀的设置状况；对各个系统进行手动、自动及联动功能试验；检查正压送风系统的风管、风机、送风口设置状况并测量其风速和正压送风值；检测防火卷帘、防火门外观、安装、传动机构、动作程序及其手动和联动功能进行检测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5.2相关技术要求：防排烟及通风空调系统，分三部分：正压送风系统、机械排烟系统、通风空调系统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5.2.1正压送风系统：正压送风系统由送风机、送风管道、送风口及相关阀体等组成。《高规》要求，楼梯间正压值：40Pa≤正压值≤50Pa，前室正压值：25Pa≤正压值≤30Pa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5.2.2机械排烟系统：一般设置在走道、中庭、（前室）、地下车库、地下室等。火灾中对人员造成最大伤害的是烟气，历次火灾中因烟气导致人员窒息的比例也是最高的，因此机械排烟系统是不容忽视的。机械排烟系统由排烟机、排烟防火阀、排烟管道、排烟口（排烟阀）等组成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5.2.3通风空调系统：主要是防火阀（70℃）。火灾和烟气的横向及纵向蔓延主要是通过防火墙的孔洞蔓延。当有火警时，相应的空调送风系统应联动关闭，也就是切断非消防电源功能，并有正确的反馈信号传送到控制室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5.2.4</w:t>
      </w:r>
      <w:r>
        <w:rPr>
          <w:rFonts w:hint="eastAsia" w:ascii="宋体" w:eastAsia="宋体"/>
          <w:color w:val="auto"/>
          <w:sz w:val="24"/>
          <w:highlight w:val="none"/>
        </w:rPr>
        <w:tab/>
      </w:r>
      <w:r>
        <w:rPr>
          <w:rFonts w:hint="eastAsia" w:ascii="宋体" w:eastAsia="宋体"/>
          <w:color w:val="auto"/>
          <w:sz w:val="24"/>
          <w:highlight w:val="none"/>
        </w:rPr>
        <w:t>防火卷帘、防火门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5.2.4.1防火卷帘分钢质防火卷帘、双层无机布（基）防火卷帘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5.2.4.2联动控制功能：分为两种：作为防火分隔的卷帘，可直接降至底位（有的设延时），作为疏散通道上的防火卷帘可分两步降底：感烟探测器动作后，卷帘下降至距地面1.8m，感温探测器动作后卷帘下降到底，卷帘关闭信号应传送至消防控制室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5.2.4.3防火门：电动防火门、普通防火门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5.2.4.4建筑的通道、走廊等处设常开防火门，门任一侧探测器报警后，防火门机构释放，防火门自动关闭，其反馈信号应传送到消防控制室。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color w:val="auto"/>
          <w:sz w:val="24"/>
          <w:highlight w:val="none"/>
        </w:rPr>
      </w:pPr>
      <w:r>
        <w:rPr>
          <w:rFonts w:hint="eastAsia" w:ascii="宋体" w:eastAsia="宋体"/>
          <w:color w:val="auto"/>
          <w:sz w:val="24"/>
          <w:highlight w:val="none"/>
        </w:rPr>
        <w:t>6</w:t>
      </w:r>
      <w:r>
        <w:rPr>
          <w:rFonts w:hint="eastAsia" w:ascii="宋体" w:eastAsia="宋体"/>
          <w:color w:val="auto"/>
          <w:sz w:val="24"/>
          <w:highlight w:val="none"/>
        </w:rPr>
        <w:tab/>
      </w:r>
      <w:r>
        <w:rPr>
          <w:rFonts w:hint="eastAsia" w:ascii="宋体" w:eastAsia="宋体"/>
          <w:color w:val="auto"/>
          <w:sz w:val="24"/>
          <w:highlight w:val="none"/>
        </w:rPr>
        <w:t>包括检测方案编制、方案送审（有关行政管理部门）、消防设施检测、编制并提交检测成果报告，协调解决消防验收等工作。所有工作应符合国家、省、市有关规范规程和规定的要求及设计要求。</w:t>
      </w:r>
    </w:p>
    <w:p>
      <w:pPr>
        <w:numPr>
          <w:ilvl w:val="0"/>
          <w:numId w:val="0"/>
        </w:num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eastAsia="宋体"/>
          <w:sz w:val="24"/>
          <w:lang w:val="en-US" w:eastAsia="zh-CN"/>
        </w:rPr>
      </w:pPr>
    </w:p>
    <w:p>
      <w:pPr>
        <w:pStyle w:val="2"/>
        <w:numPr>
          <w:ilvl w:val="0"/>
          <w:numId w:val="0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eastAsia="宋体"/>
          <w:b/>
          <w:color w:val="auto"/>
          <w:sz w:val="24"/>
          <w:szCs w:val="24"/>
          <w:highlight w:val="none"/>
        </w:rPr>
      </w:pPr>
      <w:r>
        <w:rPr>
          <w:rFonts w:hint="eastAsia" w:ascii="宋体" w:eastAsia="宋体"/>
          <w:b/>
          <w:color w:val="auto"/>
          <w:sz w:val="24"/>
          <w:szCs w:val="24"/>
          <w:highlight w:val="none"/>
          <w:lang w:val="en-US" w:eastAsia="zh-CN"/>
        </w:rPr>
        <w:t>五、</w:t>
      </w:r>
      <w:r>
        <w:rPr>
          <w:rFonts w:hint="eastAsia" w:ascii="宋体" w:eastAsia="宋体"/>
          <w:b/>
          <w:color w:val="auto"/>
          <w:sz w:val="24"/>
          <w:szCs w:val="24"/>
          <w:highlight w:val="none"/>
        </w:rPr>
        <w:t>服务要求</w:t>
      </w:r>
      <w:bookmarkEnd w:id="11"/>
      <w:bookmarkEnd w:id="12"/>
      <w:bookmarkEnd w:id="13"/>
      <w:bookmarkEnd w:id="14"/>
      <w:bookmarkEnd w:id="15"/>
      <w:bookmarkStart w:id="16" w:name="_Toc2190"/>
      <w:bookmarkStart w:id="17" w:name="_Toc3735"/>
      <w:bookmarkStart w:id="18" w:name="_Toc26459"/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以出具以下两个文本，并达到发标人认可，作为完成履约和付款条件：</w:t>
      </w:r>
    </w:p>
    <w:p>
      <w:pPr>
        <w:numPr>
          <w:ilvl w:val="0"/>
          <w:numId w:val="3"/>
        </w:num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《上海市建筑消防设施检测报告》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（高恒大厦单独出具）</w:t>
      </w:r>
    </w:p>
    <w:p>
      <w:pPr>
        <w:numPr>
          <w:ilvl w:val="0"/>
          <w:numId w:val="3"/>
        </w:num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《上海海事大学消防安全诊断报告》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（高恒大厦单独出具）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（该报告需客观体现发标人各消防系统的现状、问题及完善措施）；</w:t>
      </w:r>
    </w:p>
    <w:p>
      <w:pPr>
        <w:numPr>
          <w:ilvl w:val="0"/>
          <w:numId w:val="3"/>
        </w:num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并将检测报告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安全诊断报告上传上海市消防技术服务管理系统。</w:t>
      </w:r>
    </w:p>
    <w:p>
      <w:pPr>
        <w:snapToGrid/>
        <w:spacing w:beforeAutospacing="0" w:afterAutospacing="0" w:line="360" w:lineRule="auto"/>
        <w:ind w:left="0" w:leftChars="0" w:right="0" w:rightChars="0" w:firstLine="482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4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以上</w:t>
      </w:r>
      <w:r>
        <w:rPr>
          <w:rFonts w:hint="eastAsia" w:ascii="宋体" w:hAnsi="宋体" w:eastAsia="宋体"/>
          <w:b/>
          <w:color w:val="auto"/>
          <w:sz w:val="24"/>
          <w:highlight w:val="none"/>
        </w:rPr>
        <w:t>检测工作必须符合国家相关行业法律法规的标准和要求。</w:t>
      </w:r>
    </w:p>
    <w:p>
      <w:pPr>
        <w:pStyle w:val="2"/>
        <w:numPr>
          <w:ilvl w:val="0"/>
          <w:numId w:val="0"/>
        </w:numPr>
        <w:snapToGrid/>
        <w:spacing w:before="200" w:beforeAutospacing="0" w:after="200" w:afterAutospacing="0" w:line="240" w:lineRule="auto"/>
        <w:ind w:left="0" w:leftChars="0" w:right="0" w:rightChars="0" w:firstLine="0" w:firstLineChars="0"/>
        <w:jc w:val="left"/>
        <w:outlineLvl w:val="0"/>
        <w:rPr>
          <w:rFonts w:hint="eastAsia" w:ascii="宋体" w:eastAsia="宋体"/>
          <w:b/>
          <w:color w:val="auto"/>
          <w:sz w:val="24"/>
          <w:szCs w:val="24"/>
          <w:highlight w:val="none"/>
        </w:rPr>
      </w:pPr>
      <w:bookmarkStart w:id="19" w:name="_Toc14845"/>
      <w:bookmarkStart w:id="20" w:name="_Toc27373"/>
      <w:r>
        <w:rPr>
          <w:rFonts w:hint="eastAsia" w:ascii="宋体" w:eastAsia="宋体"/>
          <w:b/>
          <w:color w:val="auto"/>
          <w:sz w:val="24"/>
          <w:szCs w:val="24"/>
          <w:highlight w:val="none"/>
          <w:lang w:val="en-US" w:eastAsia="zh-CN"/>
        </w:rPr>
        <w:t>六、</w:t>
      </w:r>
      <w:r>
        <w:rPr>
          <w:rFonts w:hint="eastAsia" w:ascii="宋体" w:eastAsia="宋体"/>
          <w:b/>
          <w:color w:val="auto"/>
          <w:sz w:val="24"/>
          <w:szCs w:val="24"/>
          <w:highlight w:val="none"/>
        </w:rPr>
        <w:t>其它要求</w:t>
      </w:r>
      <w:bookmarkEnd w:id="19"/>
      <w:bookmarkEnd w:id="20"/>
    </w:p>
    <w:p>
      <w:pPr>
        <w:pStyle w:val="4"/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1.投标单位须具有建筑消防检测资质。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2.投标单位须具有良好的售后服务体系，在本市有固定的服务网点和专业人员，且能提供良好的技术支持和售后服务保障能力。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3.该项目限于2023年11月20日前完成。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4.投标人近3年须有本市高校检测案例。</w:t>
      </w:r>
    </w:p>
    <w:p>
      <w:pPr>
        <w:snapToGrid/>
        <w:spacing w:beforeAutospacing="0" w:afterAutospacing="0" w:line="360" w:lineRule="auto"/>
        <w:ind w:left="0" w:leftChars="0" w:right="0" w:rightChars="0"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5.本次招标限定价格为19.5万元。</w:t>
      </w:r>
      <w:bookmarkEnd w:id="16"/>
      <w:bookmarkEnd w:id="17"/>
      <w:bookmarkEnd w:id="18"/>
    </w:p>
    <w:p/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34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0"/>
    <w:multiLevelType w:val="multilevel"/>
    <w:tmpl w:val="2F0000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  <w:lvl w:ilvl="1" w:tentative="0">
      <w:start w:val="4"/>
      <w:numFmt w:val="chineseCounting"/>
      <w:suff w:val="nothing"/>
      <w:lvlText w:val="%1、"/>
      <w:lvlJc w:val="left"/>
      <w:rPr>
        <w:rFonts w:hint="eastAsia"/>
      </w:rPr>
    </w:lvl>
    <w:lvl w:ilvl="2" w:tentative="0">
      <w:start w:val="4"/>
      <w:numFmt w:val="chineseCounting"/>
      <w:suff w:val="nothing"/>
      <w:lvlText w:val="%1、"/>
      <w:lvlJc w:val="left"/>
      <w:rPr>
        <w:rFonts w:hint="eastAsia"/>
      </w:rPr>
    </w:lvl>
    <w:lvl w:ilvl="3" w:tentative="0">
      <w:start w:val="4"/>
      <w:numFmt w:val="chineseCounting"/>
      <w:suff w:val="nothing"/>
      <w:lvlText w:val="%1、"/>
      <w:lvlJc w:val="left"/>
      <w:rPr>
        <w:rFonts w:hint="eastAsia"/>
      </w:rPr>
    </w:lvl>
    <w:lvl w:ilvl="4" w:tentative="0">
      <w:start w:val="4"/>
      <w:numFmt w:val="chineseCounting"/>
      <w:suff w:val="nothing"/>
      <w:lvlText w:val="%1、"/>
      <w:lvlJc w:val="left"/>
      <w:rPr>
        <w:rFonts w:hint="eastAsia"/>
      </w:rPr>
    </w:lvl>
    <w:lvl w:ilvl="5" w:tentative="0">
      <w:start w:val="4"/>
      <w:numFmt w:val="chineseCounting"/>
      <w:suff w:val="nothing"/>
      <w:lvlText w:val="%1、"/>
      <w:lvlJc w:val="left"/>
      <w:rPr>
        <w:rFonts w:hint="eastAsia"/>
      </w:rPr>
    </w:lvl>
    <w:lvl w:ilvl="6" w:tentative="0">
      <w:start w:val="4"/>
      <w:numFmt w:val="chineseCounting"/>
      <w:suff w:val="nothing"/>
      <w:lvlText w:val="%1、"/>
      <w:lvlJc w:val="left"/>
      <w:rPr>
        <w:rFonts w:hint="eastAsia"/>
      </w:rPr>
    </w:lvl>
    <w:lvl w:ilvl="7" w:tentative="0">
      <w:start w:val="4"/>
      <w:numFmt w:val="chineseCounting"/>
      <w:suff w:val="nothing"/>
      <w:lvlText w:val="%1、"/>
      <w:lvlJc w:val="left"/>
      <w:rPr>
        <w:rFonts w:hint="eastAsia"/>
      </w:rPr>
    </w:lvl>
    <w:lvl w:ilvl="8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000001"/>
    <w:multiLevelType w:val="multilevel"/>
    <w:tmpl w:val="2F0000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2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3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4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5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6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7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8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F000002"/>
    <w:multiLevelType w:val="multilevel"/>
    <w:tmpl w:val="2F000002"/>
    <w:lvl w:ilvl="0" w:tentative="0">
      <w:start w:val="2"/>
      <w:numFmt w:val="upperLetter"/>
      <w:pStyle w:val="2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  <w:lvl w:ilvl="1" w:tentative="0">
      <w:start w:val="2"/>
      <w:numFmt w:val="upperLetter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  <w:lvl w:ilvl="2" w:tentative="0">
      <w:start w:val="2"/>
      <w:numFmt w:val="upperLetter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  <w:lvl w:ilvl="3" w:tentative="0">
      <w:start w:val="2"/>
      <w:numFmt w:val="upperLetter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  <w:lvl w:ilvl="4" w:tentative="0">
      <w:start w:val="2"/>
      <w:numFmt w:val="upperLetter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  <w:lvl w:ilvl="5" w:tentative="0">
      <w:start w:val="2"/>
      <w:numFmt w:val="upperLetter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  <w:lvl w:ilvl="6" w:tentative="0">
      <w:start w:val="2"/>
      <w:numFmt w:val="upperLetter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  <w:lvl w:ilvl="7" w:tentative="0">
      <w:start w:val="2"/>
      <w:numFmt w:val="upperLetter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  <w:lvl w:ilvl="8" w:tentative="0">
      <w:start w:val="2"/>
      <w:numFmt w:val="upperLetter"/>
      <w:lvlText w:val="%1、"/>
      <w:lvlJc w:val="left"/>
      <w:pPr>
        <w:tabs>
          <w:tab w:val="left" w:pos="1350"/>
        </w:tabs>
        <w:ind w:left="1350" w:hanging="72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docVars>
    <w:docVar w:name="commondata" w:val="eyJoZGlkIjoiMDkzNDhjNmZmYmY4MzQ4YTNkNTY2ZDhhMDkyNDgyNDIifQ=="/>
  </w:docVars>
  <w:rsids>
    <w:rsidRoot w:val="00000000"/>
    <w:rsid w:val="2EBD12B3"/>
    <w:rsid w:val="4C004D54"/>
    <w:rsid w:val="4C3F3261"/>
    <w:rsid w:val="588E2720"/>
    <w:rsid w:val="5D854DB8"/>
    <w:rsid w:val="5D862241"/>
    <w:rsid w:val="68B05A6D"/>
    <w:rsid w:val="68DC3C28"/>
    <w:rsid w:val="6C2C6080"/>
    <w:rsid w:val="7F0E6D65"/>
    <w:rsid w:val="7FAC155A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151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7"/>
    <w:pPr>
      <w:numPr>
        <w:ilvl w:val="0"/>
        <w:numId w:val="1"/>
      </w:numPr>
      <w:jc w:val="left"/>
      <w:outlineLvl w:val="0"/>
    </w:pPr>
    <w:rPr>
      <w:rFonts w:ascii="仿宋_GB2312" w:eastAsia="仿宋_GB2312"/>
      <w:sz w:val="24"/>
      <w:szCs w:val="24"/>
    </w:rPr>
  </w:style>
  <w:style w:type="paragraph" w:styleId="3">
    <w:name w:val="heading 2"/>
    <w:basedOn w:val="1"/>
    <w:next w:val="1"/>
    <w:qFormat/>
    <w:uiPriority w:val="8"/>
    <w:pPr>
      <w:spacing w:before="260" w:after="260" w:line="415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6">
    <w:name w:val="Default Paragraph Font"/>
    <w:semiHidden/>
    <w:qFormat/>
    <w:uiPriority w:val="2"/>
  </w:style>
  <w:style w:type="table" w:default="1" w:styleId="5">
    <w:name w:val="Normal Table"/>
    <w:semiHidden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151"/>
    <w:pPr>
      <w:jc w:val="left"/>
    </w:pPr>
    <w:rPr>
      <w:rFonts w:eastAsia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2023-10-07T00:21:00Z</dcterms:created>
  <dc:creator>Administrator</dc:creator>
  <cp:lastModifiedBy>仲杰</cp:lastModifiedBy>
  <dcterms:modified xsi:type="dcterms:W3CDTF">2023-10-10T04:38:25Z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D49766D669DB4FC78DF153B7DB46AE82_13</vt:lpwstr>
  </property>
</Properties>
</file>