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6A56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05F143FD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C29A4C3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5D3CC1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CCTV远程监控智慧大屏系统采购项目</w:t>
      </w:r>
    </w:p>
    <w:p w14:paraId="3A6F3C59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比选文件</w:t>
      </w:r>
    </w:p>
    <w:p w14:paraId="746E0DD5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F5B1C2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0B84232F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8"/>
          <w:szCs w:val="28"/>
          <w:highlight w:val="none"/>
          <w:lang w:val="en-US" w:eastAsia="zh-CN"/>
        </w:rPr>
        <w:t>HFBX2026077</w:t>
      </w:r>
      <w:bookmarkStart w:id="4" w:name="_GoBack"/>
      <w:bookmarkEnd w:id="4"/>
    </w:p>
    <w:p w14:paraId="43E1A51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564BAA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CBECD8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7AEA8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AFBFE6C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8A2CE08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9F671C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0E2559B5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采购人：上海海事大学</w:t>
      </w:r>
    </w:p>
    <w:p w14:paraId="64BB972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二〇二六年八月</w:t>
      </w:r>
    </w:p>
    <w:p w14:paraId="4258C5C0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5637B82A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第一章 比选公告</w:t>
      </w:r>
    </w:p>
    <w:p w14:paraId="54E46ED1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为公开、公正、公平地做好各项货物与服务的采购工作，进一步提高采购过程的透明度，有利于我校选择性价比更高的产品及更优质的服务，欢迎各供应单位本着务实友好的工作态度，积极参与，并做好成本核算，进行一次性报价。我校将本着公开、公正、公平的工作原则，对各供应单位所提供的资料，进行综合评议，择优选购。为确保本次比选采购项目采购工作的顺利开展，请各报价单位按照下述要求提供报价单等相关资料。具体要求及相关注意事项如下：</w:t>
      </w:r>
    </w:p>
    <w:p w14:paraId="5694D68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一、项目基本情况</w:t>
      </w:r>
    </w:p>
    <w:p w14:paraId="6ED9240D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HFBX2026077；</w:t>
      </w:r>
    </w:p>
    <w:p w14:paraId="40680CD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项目名称：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CCTV远程监控智慧大屏系统采购项目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9D3EF9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学校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比选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1D14FF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预算金额（亦是最高限价）：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人民币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14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万元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92657F0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本项目旨在围绕智慧港口远程操控与可视化监控教学需求，建设与岸边集装箱起重机远程操作实训系统相配套的CCTV远程监控智慧大屏系统，构建多画面集中显示、作业状态联动监控和数据可视化展示的一体化教学环境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（具体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要求详见比选文件—第二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章节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采购需求）</w:t>
      </w:r>
    </w:p>
    <w:p w14:paraId="07A4D9A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交付地址：上海市浦东大道2600号。</w:t>
      </w:r>
    </w:p>
    <w:p w14:paraId="1B7A6D3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交付时间：合同签订后15天内交货并安装调试完毕。</w:t>
      </w:r>
    </w:p>
    <w:p w14:paraId="52623BFF">
      <w:pPr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质保时间：提供不少于两年的产品质保服务。</w:t>
      </w:r>
    </w:p>
    <w:p w14:paraId="27BDE804">
      <w:pP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付款方式：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货到验收合格后的一个月内，甲方一次性支付合同全款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。合同内全部款项均以“银行转账”方式予以支付。</w:t>
      </w:r>
    </w:p>
    <w:p w14:paraId="41BEA8D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二、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报价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人的资格要求</w:t>
      </w:r>
    </w:p>
    <w:p w14:paraId="022E876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1、符合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《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中华人民共和国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政府采购法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》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第二十二条之供应商资格规定。</w:t>
      </w:r>
    </w:p>
    <w:p w14:paraId="6441606B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2、供应商未被列入“信用中国”网站（www.creditchina.gov.cn）失信执行人名单、重大税收违法案件当事人名单和中国政府采购网（www.ccgp.gov.cn）政府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严重违法失信行为记录名单的供应商。</w:t>
      </w:r>
    </w:p>
    <w:p w14:paraId="3A3BF07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经营范围及拟投标货物（服务）符合本次比选要求，具有与本次投标货物（服务）相应的经营、代理（经销）资质，能全程参与并完成本项目，且具有较强的服务能力，以及畅通的问题响应机制和渠道等；</w:t>
      </w:r>
    </w:p>
    <w:p w14:paraId="3710B34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三、报名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要求</w:t>
      </w:r>
    </w:p>
    <w:p w14:paraId="04917284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报名邮箱、时间：不单独组织报名，意向单位可在截止日期前递交响应文件。</w:t>
      </w:r>
    </w:p>
    <w:p w14:paraId="24CD6CD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四、获取采购文件</w:t>
      </w:r>
    </w:p>
    <w:p w14:paraId="5050A6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获取方式：公告页面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下方自行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下载</w:t>
      </w:r>
    </w:p>
    <w:p w14:paraId="4D745344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bookmarkStart w:id="0" w:name="_Toc28359005"/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五、现场踏勘</w:t>
      </w:r>
      <w:bookmarkEnd w:id="0"/>
    </w:p>
    <w:p w14:paraId="2C26225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不组织。</w:t>
      </w:r>
    </w:p>
    <w:p w14:paraId="213C813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六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、响应文件提交</w:t>
      </w:r>
    </w:p>
    <w:p w14:paraId="231DF22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bookmarkStart w:id="1" w:name="_Toc35393795"/>
      <w:bookmarkEnd w:id="1"/>
      <w:bookmarkStart w:id="2" w:name="_Toc35393626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截止</w:t>
      </w:r>
      <w:bookmarkEnd w:id="2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时间：202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年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9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4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周五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上午11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00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分</w:t>
      </w:r>
    </w:p>
    <w:p w14:paraId="52EA2719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提交方式：发送盖章扫描版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PDF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到指定邮箱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邮件名称：项目编号+公司名称</w:t>
      </w:r>
    </w:p>
    <w:p w14:paraId="45738F2D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邮箱地址：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u w:val="none"/>
        </w:rPr>
        <w:t>quotation@shmtu.edu.cn</w:t>
      </w:r>
    </w:p>
    <w:p w14:paraId="7C16205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七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、其他补充事宜</w:t>
      </w:r>
    </w:p>
    <w:p w14:paraId="3C9CF2D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1.中标结果将通过发布比选公告的媒介进行公示，公示期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为1个工作日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，公示期内如对中标结果有异议可向校方提出书面质疑。</w:t>
      </w:r>
      <w:bookmarkStart w:id="3" w:name="_Toc35393627"/>
    </w:p>
    <w:p w14:paraId="17FB2B9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2.</w:t>
      </w:r>
      <w:bookmarkEnd w:id="3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凡对本次采购提出询问，请按以下方式联系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：</w:t>
      </w:r>
    </w:p>
    <w:p w14:paraId="2432335E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商务信息：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仲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老师021-3828470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7、13764131075</w:t>
      </w:r>
    </w:p>
    <w:p w14:paraId="00F3E09A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技术信息：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沈老师021-50460391、13564049658</w:t>
      </w:r>
    </w:p>
    <w:p w14:paraId="52A47FAD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4B9C0EF3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第二章 采购需求</w:t>
      </w:r>
    </w:p>
    <w:p w14:paraId="2B6E113B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一、项目概况</w:t>
      </w:r>
    </w:p>
    <w:tbl>
      <w:tblPr>
        <w:tblStyle w:val="1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700"/>
        <w:gridCol w:w="1339"/>
        <w:gridCol w:w="889"/>
        <w:gridCol w:w="843"/>
        <w:gridCol w:w="4444"/>
      </w:tblGrid>
      <w:tr w14:paraId="4367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" w:type="pct"/>
            <w:vAlign w:val="center"/>
          </w:tcPr>
          <w:p w14:paraId="4BF67DED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53" w:type="pct"/>
            <w:vAlign w:val="center"/>
          </w:tcPr>
          <w:p w14:paraId="4A49D818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672" w:type="pct"/>
            <w:vAlign w:val="center"/>
          </w:tcPr>
          <w:p w14:paraId="0DF3F93F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  <w:t>进口/国产</w:t>
            </w:r>
          </w:p>
        </w:tc>
        <w:tc>
          <w:tcPr>
            <w:tcW w:w="446" w:type="pct"/>
            <w:vAlign w:val="center"/>
          </w:tcPr>
          <w:p w14:paraId="63ADA845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423" w:type="pct"/>
            <w:vAlign w:val="center"/>
          </w:tcPr>
          <w:p w14:paraId="181D5CB9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2230" w:type="pct"/>
            <w:vAlign w:val="center"/>
          </w:tcPr>
          <w:p w14:paraId="397AF023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主要规格</w:t>
            </w:r>
          </w:p>
        </w:tc>
      </w:tr>
      <w:tr w14:paraId="38F5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" w:type="pct"/>
            <w:vAlign w:val="center"/>
          </w:tcPr>
          <w:p w14:paraId="6AD4F110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53" w:type="pct"/>
            <w:vAlign w:val="center"/>
          </w:tcPr>
          <w:p w14:paraId="0630E0BC">
            <w:pPr>
              <w:keepNext/>
              <w:widowControl/>
              <w:snapToGrid w:val="0"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CCTV远程监控智慧大屏系统</w:t>
            </w:r>
          </w:p>
        </w:tc>
        <w:tc>
          <w:tcPr>
            <w:tcW w:w="672" w:type="pct"/>
            <w:vAlign w:val="center"/>
          </w:tcPr>
          <w:p w14:paraId="1C2A51C2">
            <w:pPr>
              <w:keepNext/>
              <w:widowControl/>
              <w:snapToGrid w:val="0"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446" w:type="pct"/>
            <w:vAlign w:val="center"/>
          </w:tcPr>
          <w:p w14:paraId="1E8F4191">
            <w:pPr>
              <w:keepNext/>
              <w:widowControl/>
              <w:snapToGrid w:val="0"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423" w:type="pct"/>
            <w:vAlign w:val="center"/>
          </w:tcPr>
          <w:p w14:paraId="78D31317">
            <w:pPr>
              <w:keepNext/>
              <w:widowControl/>
              <w:snapToGrid w:val="0"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230" w:type="pct"/>
            <w:vAlign w:val="center"/>
          </w:tcPr>
          <w:p w14:paraId="4104F1E8">
            <w:pPr>
              <w:keepNext/>
              <w:widowControl/>
              <w:snapToGrid w:val="0"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1、窄边LED拼接显示大屏：COB1.25箱体，</w:t>
            </w:r>
          </w:p>
          <w:p w14:paraId="75C120DA">
            <w:pPr>
              <w:keepNext/>
              <w:widowControl/>
              <w:snapToGrid w:val="0"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≥16块显示屏，屏幕显示尺寸为≥3000*1687.5mm，分辨率为≥2400*1350</w:t>
            </w:r>
          </w:p>
          <w:p w14:paraId="16137366">
            <w:pPr>
              <w:keepNext/>
              <w:widowControl/>
              <w:snapToGrid w:val="0"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2、安装结构及配套组件：屏体结构使用吊装钣金箱体结构，吊杆为可调节高度的镀锌圆管，结构内部通过20*40mm的方管进行固定以及包边，以及配套线材</w:t>
            </w:r>
          </w:p>
          <w:p w14:paraId="490C4252">
            <w:pPr>
              <w:keepNext/>
              <w:widowControl/>
              <w:snapToGrid w:val="0"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3、视频控制系统：支持HDMI 2.0、HDMI 1.3及USB 3.0等多路视频输入，支持多图层显示、输入源备份、画面布局调节及显示屏运行状态监测。</w:t>
            </w:r>
          </w:p>
          <w:p w14:paraId="25CF3CE4">
            <w:pPr>
              <w:keepNext/>
              <w:widowControl/>
              <w:snapToGrid w:val="0"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4、岸桥作业监控系统：支持不少于16路CCTV相机视频信号，并与现有岸桥PLC控制系统进行数据对接，实现监控画面随作业动作联动切换。</w:t>
            </w:r>
          </w:p>
          <w:p w14:paraId="0D1647A8">
            <w:pPr>
              <w:keepNext/>
              <w:widowControl/>
              <w:snapToGrid w:val="0"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5、视频控制与岸桥作业监控终端：部署岸桥作业监控软件、视频显示控制软件及相关通信程序；CPU主频≥2.5GHz（6核以上），内存 16GB，SSD 512GB，千兆以太网接口，满足视频监控、显示控制及PLC通信等应用同时运行需求。预装Windows操作系统预装及项目所需系统运行环境</w:t>
            </w:r>
          </w:p>
        </w:tc>
      </w:tr>
    </w:tbl>
    <w:p w14:paraId="61C390DB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7DE6D34A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二、技术要求</w:t>
      </w:r>
    </w:p>
    <w:p w14:paraId="429A0064">
      <w:pPr>
        <w:adjustRightInd w:val="0"/>
        <w:snapToGrid w:val="0"/>
        <w:spacing w:line="360" w:lineRule="auto"/>
        <w:ind w:firstLine="440" w:firstLineChars="20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以下要求为项目基本要求，应根据拟投产品（设备）实际情况提供准确的技术参数和性能指标（配置）（其中带“★”号条款为核心指标项，不允许负偏离；带“▲”为扣分项）</w:t>
      </w:r>
    </w:p>
    <w:p w14:paraId="290DD0C6">
      <w:pPr>
        <w:adjustRightInd w:val="0"/>
        <w:snapToGrid w:val="0"/>
        <w:spacing w:line="360" w:lineRule="auto"/>
        <w:jc w:val="left"/>
        <w:outlineLvl w:val="1"/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  <w:t>（一）COB1.25箱体</w:t>
      </w:r>
    </w:p>
    <w:p w14:paraId="120F0A9C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★不少于16块显示屏，屏幕之间应无缝拼接</w:t>
      </w:r>
    </w:p>
    <w:p w14:paraId="2D7C87A6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★Pitch(mm)：1.25</w:t>
      </w:r>
    </w:p>
    <w:p w14:paraId="1D6CAB25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★LED类型：1R1G1B全倒装封装</w:t>
      </w:r>
    </w:p>
    <w:p w14:paraId="6CEE7AFD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模组分辨率：120*135</w:t>
      </w:r>
    </w:p>
    <w:p w14:paraId="13F11FDE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模组尺寸(mm*mm)：150*168.75</w:t>
      </w:r>
    </w:p>
    <w:p w14:paraId="2460471D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6.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表面硬度：2H</w:t>
      </w:r>
    </w:p>
    <w:p w14:paraId="1C94F79B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7.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灯板表面防护等级：IP65</w:t>
      </w:r>
    </w:p>
    <w:p w14:paraId="19EBC782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8.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模组平整度(mm)：≤0.15</w:t>
      </w:r>
    </w:p>
    <w:p w14:paraId="055183AC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9.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模组厚度(mm)：2.6</w:t>
      </w:r>
    </w:p>
    <w:p w14:paraId="23350EDD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10.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模组间拼缝(mm)：≤0.1</w:t>
      </w:r>
    </w:p>
    <w:p w14:paraId="458802A9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托盘模组组成：无托</w:t>
      </w:r>
    </w:p>
    <w:p w14:paraId="0DDAE716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箱体模组组成：2*4</w:t>
      </w:r>
    </w:p>
    <w:p w14:paraId="7FF5FF5D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像素密度(点/m2)：640000</w:t>
      </w:r>
    </w:p>
    <w:p w14:paraId="1B528BF2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箱体厚度(mm)：32</w:t>
      </w:r>
    </w:p>
    <w:p w14:paraId="48CF91D0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整机重量（kg）：≤4.6</w:t>
      </w:r>
    </w:p>
    <w:p w14:paraId="5E19BCAA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16.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维护方式：前维护</w:t>
      </w:r>
    </w:p>
    <w:p w14:paraId="1C67B960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17.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箱体材质：ADC12</w:t>
      </w:r>
    </w:p>
    <w:p w14:paraId="523F55C4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18.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箱体平整度(mm)：≤0.1</w:t>
      </w:r>
    </w:p>
    <w:p w14:paraId="62CA1B64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19.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★整机尺寸(mm*mm)：≥3000*1687.5</w:t>
      </w:r>
    </w:p>
    <w:p w14:paraId="4CE54E55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20.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★整机分辨率：≥2400*1350</w:t>
      </w:r>
    </w:p>
    <w:p w14:paraId="7E89A756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整机厚度(mm)：35</w:t>
      </w:r>
    </w:p>
    <w:p w14:paraId="01E5908C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整机平整度(mm)：≤0.15</w:t>
      </w:r>
    </w:p>
    <w:p w14:paraId="5EE6F98A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单箱体平均功耗(W)：22</w:t>
      </w:r>
    </w:p>
    <w:p w14:paraId="5E000331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单箱体最大功耗(W)：66</w:t>
      </w:r>
    </w:p>
    <w:p w14:paraId="41875A66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每平米平均功耗(W)：110</w:t>
      </w:r>
    </w:p>
    <w:p w14:paraId="00A3CE9B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26.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每平米最大功耗(W)：330</w:t>
      </w:r>
    </w:p>
    <w:p w14:paraId="2739B1BA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27.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供电要求(V)：100~240</w:t>
      </w:r>
    </w:p>
    <w:p w14:paraId="6B6406DC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28.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单点亮度矫正：支持</w:t>
      </w:r>
    </w:p>
    <w:p w14:paraId="7768068A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29.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单点色度矫正：支持</w:t>
      </w:r>
    </w:p>
    <w:p w14:paraId="6CCFD1D8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30.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★白平衡亮度：不低于500cd/m²，亮度可调</w:t>
      </w:r>
    </w:p>
    <w:p w14:paraId="7BB23317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色坐标：Typ：Cx＝0.285Cy＝0.300，可调</w:t>
      </w:r>
    </w:p>
    <w:p w14:paraId="7E5F01A6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色温(K)：Typ：9000，2000~10000K可调</w:t>
      </w:r>
    </w:p>
    <w:p w14:paraId="1DCF26BB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色域：＞105%NTSC，＞95%BT709</w:t>
      </w:r>
    </w:p>
    <w:p w14:paraId="2F0D9D4A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水平视角(°)：≥165°</w:t>
      </w:r>
    </w:p>
    <w:p w14:paraId="3857F30E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垂直视角(°)：≥165°</w:t>
      </w:r>
    </w:p>
    <w:p w14:paraId="21142B64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36.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亮度均匀性：≥97%</w:t>
      </w:r>
    </w:p>
    <w:p w14:paraId="1DD163DC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37.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色度均匀性：∆u'v'≤0.005</w:t>
      </w:r>
    </w:p>
    <w:p w14:paraId="04F0C22C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38.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环境光对比度:5000:1</w:t>
      </w:r>
    </w:p>
    <w:p w14:paraId="2355BDE5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39.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暗室对比度:≥1000000:1</w:t>
      </w:r>
    </w:p>
    <w:p w14:paraId="2B62BE9A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40.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换帧频率(Hz):50/60</w:t>
      </w:r>
    </w:p>
    <w:p w14:paraId="0636ED92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刷新率(Hz)：≥3840</w:t>
      </w:r>
    </w:p>
    <w:p w14:paraId="0444A26E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驱动方式：PM驱动，恒流直驱</w:t>
      </w:r>
    </w:p>
    <w:p w14:paraId="6616AB81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灰度(bit)：13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bit</w:t>
      </w:r>
    </w:p>
    <w:p w14:paraId="1DCF7B59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支持7×24小时连续运行</w:t>
      </w:r>
    </w:p>
    <w:p w14:paraId="3992EFF3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★屏体结构应采用吊装钣金箱体结构，吊杆为可调节高度的镀锌圆管，结构内部通过20*40mm的方管进行固定以及包边，并配备配套线材、线槽线管</w:t>
      </w:r>
    </w:p>
    <w:p w14:paraId="4C6AFDCA">
      <w:pPr>
        <w:adjustRightInd w:val="0"/>
        <w:snapToGrid w:val="0"/>
        <w:spacing w:line="360" w:lineRule="auto"/>
        <w:jc w:val="left"/>
        <w:outlineLvl w:val="1"/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  <w:t>（二）视频控制系统</w:t>
      </w:r>
    </w:p>
    <w:p w14:paraId="4FECB88D">
      <w:pPr>
        <w:pStyle w:val="25"/>
        <w:numPr>
          <w:ilvl w:val="0"/>
          <w:numId w:val="0"/>
        </w:numPr>
        <w:spacing w:line="360" w:lineRule="auto"/>
        <w:ind w:left="0" w:leftChars="0" w:firstLine="0" w:firstLineChars="0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采用标准19英寸金属结构机箱，机箱为后挂耳结构，上盖无螺钉安装:外壳防护等级符合GBIT4280-2017中IP20的要求;采用纯硬件FPGA架构设计、运行稳定、可靠、高效。</w:t>
      </w:r>
    </w:p>
    <w:p w14:paraId="0C52869B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输入接口至少包括1路HDMI2.0+LOOP,2路HDMI1.3，1路USB3.0，最大可支持4096*2160@60HZ信号输入，支持选配1路3G-SDI（IN+LOOP），上述接口须由视频控制器原生提供。还应具备DVI、VGA、DP、复合视频（CVBS）、RS-232IN/OUT及USB固件升级接口，允许通过配套转换或扩展设备实现。</w:t>
      </w:r>
    </w:p>
    <w:p w14:paraId="5502A6CC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视频输出支持不少于6路千兆网口输出，1路10G-OPT光口，最大带载可达390万像素，最宽支持10240,最高8192。</w:t>
      </w:r>
    </w:p>
    <w:p w14:paraId="61C5CCAE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音频输入支持视频口伴随音频输入及独立输入两种模式，音频输出支持网口扩展输出及3.5mm独立音频口输出；</w:t>
      </w:r>
    </w:p>
    <w:p w14:paraId="7C4A109D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支持输入源备份功能，主源丢失下，无需人为操作可自动切换至备源显示，切换过程无黑屏；</w:t>
      </w:r>
    </w:p>
    <w:p w14:paraId="406C5C55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6.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可支持144HZ高帧率输入输出，输出支持插帧、抽帧、倍频（2倍频、3倍频、4倍频）功能，可将30HZ信号，倍频至120HZ输出；</w:t>
      </w:r>
    </w:p>
    <w:p w14:paraId="181F081E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7.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★图层能力：最大可支持不少于6个2K图层或1个4K图层+2个2K图层，全部图层大小和位置可单独调节。4K接口输入2K信号，按2K图层计算图层资源；</w:t>
      </w:r>
    </w:p>
    <w:p w14:paraId="79871533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8.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★支持通过上位机软件实现对显示屏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进行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连接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与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控制，包括：输入源切换，窗口位置及大小调节，分辨率自定义等；软件端支持可视化呈现设备各接口实时状态，包括视频输入状态及分辨率、网口带载利用率、监控界面支持接收卡温度、电压、误码率、通讯状态等的检测；</w:t>
      </w:r>
    </w:p>
    <w:p w14:paraId="4E454F78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9.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支持U盘即插即播功能，最大支持4K级（3840*2160@60fps）图片和视频的流畅播放，播放列表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及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切换效果支持自定义编排，最多支持20余种图片切换特效，如：水波涟漪、镜头拉近、直接推出、立体翻转、百叶窗、左右擦除、上下擦除、立方体旋转、溶解转场、网格转场、扇扫转场、画卷转场、淡入淡出、旋转扭曲、心形转场、拉帘推出、透视三角、圆形消失、矩形弹跳、星形旋转等；</w:t>
      </w:r>
    </w:p>
    <w:p w14:paraId="540697DE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10.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标配全彩液晶，搭配实体按键，极大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地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方便了设备整体状态的监控及设备功能的控制:设备功能按键及丝印信息采用全中文提示，项目上无需粘贴额外的标签纸加以区分，清晰直观;</w:t>
      </w:r>
    </w:p>
    <w:p w14:paraId="1BFD015C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★支持2种用户模式，标准模式和专业模式，满足不同角色对显示屏的分权管理，使用更加放心；</w:t>
      </w:r>
    </w:p>
    <w:p w14:paraId="5429D480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支持微信小程序快捷控制，包括亮度调节、输出画质调节、待机模式、画面冻结、场景切换、U盘播放等功能；</w:t>
      </w:r>
    </w:p>
    <w:p w14:paraId="63CA2789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支持平板对控制器进行快捷控制，包括亮度调节、图层布局调节、画面冻结、黑屏、场景切换、音量大小、OSD开关等功能；</w:t>
      </w:r>
    </w:p>
    <w:p w14:paraId="5D5BA855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支持创建多个设备还原点，将当前设备的配屏、场景、输出等参数存储为还原点，当系统工作异常时，可根据还原点一键快速还原；</w:t>
      </w:r>
    </w:p>
    <w:p w14:paraId="20559E7F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▲支持控制设备白名单，可通过MAC地址限制控制设备，非白名单内设备无法控制设备，不允许对设备进行操作；</w:t>
      </w:r>
    </w:p>
    <w:p w14:paraId="0FAE2AE8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16.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MTBF≥150000小时，MTTR平均修复小于10分钟可用度大于99%，整机寿命不小于150000小时。产品稳定性高、性能卓越、纯硬件结构，上电即可正常工作，7*24小时运行，无需做任何其它设置。</w:t>
      </w:r>
    </w:p>
    <w:p w14:paraId="3F9718DB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17.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设备控制支持BS架构，可兼容多种操作系统包括但不限于：Windows、MACOS、深度Linux、银河麒麟、统信UOS中标麒麟(NeoKylin)、优麒麟(UbuntuKylin)、凝思磐石、红旗Linux等。</w:t>
      </w:r>
    </w:p>
    <w:p w14:paraId="0416741A">
      <w:pPr>
        <w:adjustRightInd w:val="0"/>
        <w:snapToGrid w:val="0"/>
        <w:spacing w:line="360" w:lineRule="auto"/>
        <w:jc w:val="left"/>
        <w:outlineLvl w:val="1"/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  <w:t>（三）岸桥作业监控系统</w:t>
      </w:r>
    </w:p>
    <w:p w14:paraId="2C51FE95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系统应支持不少于16路CCTV网络摄像机视频信号的统一接入和集中管理，兼容主流RTSP、ONVIF等标准网络视频协议。</w:t>
      </w:r>
    </w:p>
    <w:p w14:paraId="60A06415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系统应支持H.264、H.265视频编码格式，单路视频支持显示分辨率不低于1920×1080，并能根据网络状况和显示需求选择主码流或辅码流。</w:t>
      </w:r>
    </w:p>
    <w:p w14:paraId="042C5E30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系统应支持多画面分屏显示模式，支持监控画面窗口的拖动、全屏显示及布局保存。</w:t>
      </w:r>
    </w:p>
    <w:p w14:paraId="352601C6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★系统应支持PLC通信接口适配，兼容采购人现有岸桥PLC控制系统（西门子S7系列）。应能够与采购人现有PLC控制系统进行数据对接，采集岸桥运行状态及作业动作信号，包括但不限于大车运行、小车运行、起升下降、吊具开闭锁、吊具着箱、起吊及故障报警等信号。</w:t>
      </w:r>
    </w:p>
    <w:p w14:paraId="0E1ED476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★系统应根据采购人现有岸桥西门子S7系列PLC作业状态自动调用对应机位的CCTV监控画面，实现监控画面随作业动作联动切换；联动规则、显示位置及画面组合应支持配置。</w:t>
      </w:r>
    </w:p>
    <w:p w14:paraId="7CF2096E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6.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系统应同时支持自动联动和人工控制两种模式。在人工控制模式下，操作人员可手动选择、切换、放大或恢复任一监控画面；人工操作不得影响PLC数据的正常采集。</w:t>
      </w:r>
    </w:p>
    <w:p w14:paraId="6C60BAB8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7.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从PLC作业状态发生变化至对应监控画面开始切换的响应时间应不超过1秒；画面切换过程中不得出现系统卡死、程序退出或长时间黑屏。</w:t>
      </w:r>
    </w:p>
    <w:p w14:paraId="55E80520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8.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系统应支持将岸桥主要运行状态、设备名称、摄像机名称、当前作业动作及报警提示等信息叠加显示在监控界面上。</w:t>
      </w:r>
    </w:p>
    <w:p w14:paraId="41198633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9.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系统应支持作业监控场景的预设、保存、调用和修改，可根据教学及实训需要配置不同的画面布局和联动方案。</w:t>
      </w:r>
    </w:p>
    <w:p w14:paraId="0B3E29BF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10.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系统应具备视频信号和通信状态检测功能。当摄像机离线、视频信号中断、PLC通信异常或数据长时间未更新时，应在界面上进行明显提示。</w:t>
      </w:r>
    </w:p>
    <w:p w14:paraId="6AD44858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en-US" w:eastAsia="zh-CN" w:bidi="ar-SA"/>
        </w:rPr>
        <w:t>11.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系统应具备断线自动重连和异常恢复功能。摄像机或PLC通信短时中断并恢复后，系统应自动重新建立连接，无需重新启动终端。</w:t>
      </w:r>
    </w:p>
    <w:p w14:paraId="6FC6FF14">
      <w:pPr>
        <w:adjustRightInd w:val="0"/>
        <w:snapToGrid w:val="0"/>
        <w:spacing w:line="360" w:lineRule="auto"/>
        <w:jc w:val="left"/>
        <w:outlineLvl w:val="1"/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  <w:t>（四）视频控制与岸桥作业监控终端</w:t>
      </w:r>
    </w:p>
    <w:p w14:paraId="70240FC0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CPU主频≥2.5GHz（6核以上）</w:t>
      </w:r>
    </w:p>
    <w:p w14:paraId="7E69DE06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应具备H.264、H.265硬件加速解码能力，应支持不少于16路高清视频解码、PLC数据通信和大屏显示控制同时运行的要求。</w:t>
      </w:r>
    </w:p>
    <w:p w14:paraId="7E4C2857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3.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不低于512GBSSD硬盘</w:t>
      </w:r>
    </w:p>
    <w:p w14:paraId="364CF8C6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4.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不低于16GB内存</w:t>
      </w:r>
    </w:p>
    <w:p w14:paraId="271023F8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5.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网卡：1000Mbps以太网卡</w:t>
      </w:r>
    </w:p>
    <w:p w14:paraId="3D7CAB10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6.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USB接口数：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</w:rPr>
        <w:t>不少于4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个；</w:t>
      </w:r>
    </w:p>
    <w:p w14:paraId="4C236C94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7.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视频接口：HDMI或DP接口</w:t>
      </w:r>
    </w:p>
    <w:p w14:paraId="4F6D1F11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8.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★终端应预装岸桥作业监控软件、视频显示控制软件、PLC通信程序及项目运行所需的驱动、运行库和组件，交付时应能够直接投入使用。</w:t>
      </w:r>
    </w:p>
    <w:p w14:paraId="12511AFE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9.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终端应支持7×24小时连续稳定运行；在视频接入、PLC数据通信及智慧大屏显示同时运行状态下，不得出现明显卡顿、程序崩溃或通信中断。</w:t>
      </w:r>
    </w:p>
    <w:p w14:paraId="436DDB2E">
      <w:pPr>
        <w:adjustRightInd w:val="0"/>
        <w:snapToGrid w:val="0"/>
        <w:spacing w:line="360" w:lineRule="auto"/>
        <w:jc w:val="left"/>
        <w:outlineLvl w:val="1"/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default" w:ascii="Times New Roman" w:hAnsi="Times New Roman" w:eastAsia="方正兰亭黑简体" w:cs="Times New Roman"/>
          <w:b/>
          <w:bCs/>
          <w:snapToGrid w:val="0"/>
          <w:color w:val="auto"/>
          <w:kern w:val="0"/>
          <w:sz w:val="22"/>
          <w:szCs w:val="22"/>
          <w:highlight w:val="none"/>
          <w:lang w:val="zh-CN"/>
        </w:rPr>
        <w:t>（五）技术资料交付要求</w:t>
      </w:r>
    </w:p>
    <w:p w14:paraId="4034944F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17" w:leftChars="0" w:hanging="17" w:hangingChars="8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1.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★中标人须在交货验收时，向采购人交付以下完整技术资料：</w:t>
      </w:r>
    </w:p>
    <w:p w14:paraId="3C2A5FDC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17" w:leftChars="0" w:hanging="17" w:hangingChars="8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a)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岸桥作业监控系统完整源代码及配套工程文件，确保采购人可独立编译构建；</w:t>
      </w:r>
    </w:p>
    <w:p w14:paraId="6FCB0E95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17" w:leftChars="0" w:hanging="17" w:hangingChars="8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b)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技术文档资料：包含操作使用手册、技术说明书等。</w:t>
      </w:r>
    </w:p>
    <w:p w14:paraId="742A7A07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17" w:leftChars="0" w:hanging="17" w:hangingChars="8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c)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接口与通信资料：包括岸桥PLC通信协议说明、通信参数、数据点表、变量地址、数据类型、联动逻辑说明、CCTV摄像机接入信息及视频流配置说明。</w:t>
      </w:r>
    </w:p>
    <w:p w14:paraId="5ACE88C1">
      <w:pPr>
        <w:pStyle w:val="25"/>
        <w:numPr>
          <w:ilvl w:val="0"/>
          <w:numId w:val="0"/>
        </w:numPr>
        <w:adjustRightInd w:val="0"/>
        <w:snapToGrid w:val="0"/>
        <w:spacing w:line="360" w:lineRule="auto"/>
        <w:ind w:left="17" w:leftChars="0" w:hanging="17" w:hangingChars="8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eastAsia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 w:eastAsia="zh-CN" w:bidi="ar-SA"/>
        </w:rPr>
        <w:t>2.</w:t>
      </w: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★使用、维护及二次开发权：</w:t>
      </w:r>
    </w:p>
    <w:p w14:paraId="7C671C6A">
      <w:pPr>
        <w:pStyle w:val="25"/>
        <w:adjustRightInd w:val="0"/>
        <w:snapToGrid w:val="0"/>
        <w:spacing w:line="360" w:lineRule="auto"/>
        <w:ind w:left="17" w:leftChars="0" w:hanging="17" w:hangingChars="8"/>
        <w:jc w:val="left"/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</w:pPr>
      <w:r>
        <w:rPr>
          <w:rFonts w:hint="default" w:ascii="Times New Roman" w:hAnsi="Times New Roman" w:eastAsia="方正兰亭黑简体" w:cs="Times New Roman"/>
          <w:snapToGrid w:val="0"/>
          <w:color w:val="auto"/>
          <w:kern w:val="0"/>
          <w:sz w:val="22"/>
          <w:szCs w:val="22"/>
          <w:highlight w:val="none"/>
          <w:lang w:val="zh-CN"/>
        </w:rPr>
        <w:t>本项目全部源文件、源码工程及技术资料的交付费用和授权费用均已包含在合同价款中。采购人对中标人交付的岸桥作业监控系统源码及相关技术资料，享有永久的、非排他的、无地域限制的使用、复制、备份、修改、调试、编译、构建、部署、维护、升级及内部二次开发权，并有权根据教学、科研、系统维护及功能升级需要，委托第三方开展维护和二次开发。</w:t>
      </w:r>
    </w:p>
    <w:p w14:paraId="7CA02819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34E97200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三</w:t>
      </w:r>
      <w:r>
        <w:rPr>
          <w:rFonts w:hint="default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其他要求</w:t>
      </w:r>
    </w:p>
    <w:p w14:paraId="01E1BA15">
      <w:pPr>
        <w:spacing w:line="360" w:lineRule="auto"/>
        <w:ind w:left="0" w:leftChars="0" w:firstLine="0" w:firstLineChars="0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1、质保服务：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2年免费质保与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运维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服务（含维护、培训、技术支撑、7×12小时响应）</w:t>
      </w:r>
    </w:p>
    <w:p w14:paraId="11A3F1E2">
      <w:pPr>
        <w:spacing w:line="360" w:lineRule="auto"/>
        <w:ind w:left="0" w:leftChars="0" w:firstLine="0" w:firstLineChars="0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2.包装和运输：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产品包装应符合国家或专业（部）标准规定。供货时须提供配套的附件、使用说明书、合格证、维修维护指南或服务手册等技术资料文件。设备直接免费送至采购方指定地点。</w:t>
      </w:r>
    </w:p>
    <w:p w14:paraId="5AC0D285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3.质保要求：</w:t>
      </w:r>
    </w:p>
    <w:p w14:paraId="05144E87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①质保期内，提供软件免费升级服务。</w:t>
      </w:r>
    </w:p>
    <w:p w14:paraId="0E721C86">
      <w:pPr>
        <w:spacing w:line="360" w:lineRule="auto"/>
        <w:ind w:left="0" w:leftChars="0" w:firstLine="0" w:firstLineChars="0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②质保期内出现的质量问题，须2小时内响应，12小时内派人到现场解决问题，48小时内解决问题；如在48小时之内仍不能排除故障的，应提供与原设备相同或不低于原设备档次的备用设备。故障排除后出具书面故障诊断报告备案。</w:t>
      </w:r>
    </w:p>
    <w:p w14:paraId="27935752">
      <w:pPr>
        <w:numPr>
          <w:ilvl w:val="0"/>
          <w:numId w:val="0"/>
        </w:num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4.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履约验收：</w:t>
      </w:r>
    </w:p>
    <w:p w14:paraId="2ADB4A82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验收主体：上海海事大学；</w:t>
      </w:r>
    </w:p>
    <w:p w14:paraId="39C62143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验收时间：设备送达指定地点并安装调试完毕后；</w:t>
      </w:r>
    </w:p>
    <w:p w14:paraId="00F6DE7C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验收方式：现场功能测试验证；</w:t>
      </w:r>
    </w:p>
    <w:p w14:paraId="19C1F80B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验收内容：设备功能及相关文档资料；</w:t>
      </w:r>
    </w:p>
    <w:p w14:paraId="43CA5913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验收标准：按照采购需求中的技术参数进行验收。</w:t>
      </w:r>
    </w:p>
    <w:p w14:paraId="104324FB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6F08D74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第三章 评审办法</w:t>
      </w:r>
    </w:p>
    <w:p w14:paraId="69EFEE19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综合本项目的特点，根据相关法律法规的规定，本着保护竞争，维护采购工作公开、公平、公正原则，特制定本评审办法，作为选定本次采购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中标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人的依据。</w:t>
      </w:r>
    </w:p>
    <w:p w14:paraId="117C45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1、成立比选评审小组</w:t>
      </w:r>
    </w:p>
    <w:p w14:paraId="49C58FD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采购人将根据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货物与服务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的特点，依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规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组建比选小组，比选小组由3人或以上的单数组成。</w:t>
      </w:r>
    </w:p>
    <w:p w14:paraId="123C9161">
      <w:pPr>
        <w:numPr>
          <w:ilvl w:val="0"/>
          <w:numId w:val="0"/>
        </w:num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具体评分细则如下：</w:t>
      </w:r>
    </w:p>
    <w:tbl>
      <w:tblPr>
        <w:tblStyle w:val="14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734"/>
        <w:gridCol w:w="713"/>
        <w:gridCol w:w="6830"/>
      </w:tblGrid>
      <w:tr w14:paraId="6400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742FB55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873" w:type="pct"/>
            <w:noWrap w:val="0"/>
            <w:vAlign w:val="center"/>
          </w:tcPr>
          <w:p w14:paraId="5F54B63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评审因素</w:t>
            </w:r>
          </w:p>
        </w:tc>
        <w:tc>
          <w:tcPr>
            <w:tcW w:w="359" w:type="pct"/>
            <w:noWrap w:val="0"/>
            <w:vAlign w:val="center"/>
          </w:tcPr>
          <w:p w14:paraId="25FE165D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3436" w:type="pct"/>
            <w:noWrap w:val="0"/>
            <w:vAlign w:val="center"/>
          </w:tcPr>
          <w:p w14:paraId="1A73747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评分说明</w:t>
            </w:r>
          </w:p>
        </w:tc>
      </w:tr>
      <w:tr w14:paraId="41C4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FFFCA77">
            <w:pPr>
              <w:spacing w:line="36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一、价格部分</w:t>
            </w:r>
          </w:p>
        </w:tc>
      </w:tr>
      <w:tr w14:paraId="7E29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0CE2961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3" w:type="pct"/>
            <w:noWrap w:val="0"/>
            <w:vAlign w:val="center"/>
          </w:tcPr>
          <w:p w14:paraId="69DFDD8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价格得分</w:t>
            </w:r>
          </w:p>
          <w:p w14:paraId="5224EE0B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4CB6FE5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3436" w:type="pct"/>
            <w:noWrap w:val="0"/>
            <w:vAlign w:val="center"/>
          </w:tcPr>
          <w:p w14:paraId="7EE17ECD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采用低价优先法计算，即满足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比选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文件要求且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最低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的报价为基准价，其价格分为满分30分。其他报价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单位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的报价得分计算公式如下：</w:t>
            </w:r>
          </w:p>
          <w:p w14:paraId="00A2DA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报价得分＝30×（评标基准价/投标报价）。</w:t>
            </w:r>
          </w:p>
        </w:tc>
      </w:tr>
      <w:tr w14:paraId="1CE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4AC12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二、商务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技术部分</w:t>
            </w:r>
          </w:p>
        </w:tc>
      </w:tr>
      <w:tr w14:paraId="603C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9B4451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pct"/>
            <w:noWrap w:val="0"/>
            <w:vAlign w:val="center"/>
          </w:tcPr>
          <w:p w14:paraId="4BAF216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经验业绩</w:t>
            </w:r>
          </w:p>
          <w:p w14:paraId="654A2B2C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C2DAE4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3436" w:type="pct"/>
            <w:noWrap w:val="0"/>
            <w:vAlign w:val="center"/>
          </w:tcPr>
          <w:p w14:paraId="4A5A3383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提供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近3年（合同签订日期自202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月起至今）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业绩案例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。（每提供1个得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分；最高得1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分）注：需提供相关业绩的合同复印件，否则将不予认可。</w:t>
            </w:r>
          </w:p>
        </w:tc>
      </w:tr>
      <w:tr w14:paraId="4674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47D376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pct"/>
            <w:noWrap w:val="0"/>
            <w:vAlign w:val="center"/>
          </w:tcPr>
          <w:p w14:paraId="069DEA5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技术响应程度</w:t>
            </w:r>
          </w:p>
          <w:p w14:paraId="1793C67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0332D3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3436" w:type="pct"/>
            <w:shd w:val="clear" w:color="auto" w:fill="auto"/>
            <w:noWrap w:val="0"/>
            <w:vAlign w:val="center"/>
          </w:tcPr>
          <w:p w14:paraId="7461B04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针对第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二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章中的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采购需求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：不满足技术条款的，每项扣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分；扣完为止。</w:t>
            </w:r>
          </w:p>
        </w:tc>
      </w:tr>
      <w:tr w14:paraId="3215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788424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3A71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产品性能介绍</w:t>
            </w:r>
          </w:p>
          <w:p w14:paraId="1A5865D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3662F0A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3436" w:type="pct"/>
            <w:noWrap w:val="0"/>
            <w:vAlign w:val="center"/>
          </w:tcPr>
          <w:p w14:paraId="37F6985E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分）：详细介绍了产品的各项性能参数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2A7189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分）：较全面地介绍了产品的性能参数。</w:t>
            </w:r>
          </w:p>
          <w:p w14:paraId="70A493C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2～4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分）：介绍了部分性能参数，但不够全面或详细。</w:t>
            </w:r>
          </w:p>
          <w:p w14:paraId="0BEE09A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分）：性能参数介绍不完整或存在明显错误。</w:t>
            </w:r>
          </w:p>
        </w:tc>
      </w:tr>
      <w:tr w14:paraId="261A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063649C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pct"/>
            <w:noWrap w:val="0"/>
            <w:vAlign w:val="center"/>
          </w:tcPr>
          <w:p w14:paraId="555CFAE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技术支持与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售后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服务</w:t>
            </w:r>
          </w:p>
          <w:p w14:paraId="1F53F634">
            <w:pPr>
              <w:pStyle w:val="13"/>
              <w:spacing w:line="360" w:lineRule="auto"/>
              <w:ind w:firstLine="200" w:firstLineChars="100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D75325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3436" w:type="pct"/>
            <w:noWrap w:val="0"/>
            <w:vAlign w:val="center"/>
          </w:tcPr>
          <w:p w14:paraId="566D5B29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12～15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分）：提供了详尽的技术支持方案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以及售后服务方案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，包括快速响应机制、服务承诺等。</w:t>
            </w:r>
          </w:p>
          <w:p w14:paraId="1B65085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分）：提供了较为全面的技术支持方案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和售后服务方案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，但计划不够详细。</w:t>
            </w:r>
          </w:p>
          <w:p w14:paraId="2E6A021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分）：方案较为简单，缺乏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具体的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计划。</w:t>
            </w:r>
          </w:p>
          <w:p w14:paraId="4BA2770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分）：未提供技术支持方案或售后服务承诺。</w:t>
            </w:r>
          </w:p>
        </w:tc>
      </w:tr>
    </w:tbl>
    <w:p w14:paraId="71E5B02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sectPr>
          <w:footerReference r:id="rId3" w:type="default"/>
          <w:type w:val="continuous"/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3E74C2B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第四章 格式附件</w:t>
      </w:r>
    </w:p>
    <w:p w14:paraId="636BB61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附件1：报价单</w:t>
      </w:r>
    </w:p>
    <w:p w14:paraId="52D9A168">
      <w:pPr>
        <w:spacing w:line="440" w:lineRule="exact"/>
        <w:jc w:val="center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>报   价   单</w:t>
      </w:r>
    </w:p>
    <w:p w14:paraId="50E6B72B">
      <w:pPr>
        <w:spacing w:line="440" w:lineRule="exact"/>
        <w:jc w:val="left"/>
        <w:rPr>
          <w:rFonts w:hint="default" w:ascii="黑体" w:hAnsi="华文楷体" w:eastAsia="黑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 xml:space="preserve">TO: 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上海海事大学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采购与招投标管理中心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项目编号：HFBX2026077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         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          </w:t>
      </w:r>
    </w:p>
    <w:p w14:paraId="192C9FAF">
      <w:pPr>
        <w:spacing w:line="440" w:lineRule="exact"/>
        <w:rPr>
          <w:rFonts w:hint="eastAsia" w:ascii="方正仿宋_GB2312" w:hAnsi="方正仿宋_GB2312" w:eastAsia="方正仿宋_GB2312" w:cs="方正仿宋_GB2312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begin"/>
      </w:r>
      <w:r>
        <w:rPr>
          <w:rFonts w:ascii="黑体" w:hAnsi="华文楷体" w:eastAsia="黑体"/>
          <w:b/>
          <w:color w:val="auto"/>
          <w:sz w:val="24"/>
          <w:highlight w:val="none"/>
        </w:rPr>
        <w:instrText xml:space="preserve"> HYPERLINK "mailto:quotation@shmtu.edu.cn" </w:instrTex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separate"/>
      </w:r>
      <w:r>
        <w:rPr>
          <w:rStyle w:val="18"/>
          <w:rFonts w:ascii="黑体" w:hAnsi="华文楷体" w:eastAsia="黑体"/>
          <w:b/>
          <w:color w:val="auto"/>
          <w:sz w:val="24"/>
          <w:highlight w:val="none"/>
        </w:rPr>
        <w:t>quotation@shmtu.edu.cn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end"/>
      </w:r>
    </w:p>
    <w:p w14:paraId="1D25A65B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公司名称：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            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联系人：</w:t>
      </w:r>
    </w:p>
    <w:p w14:paraId="0416696A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                                                公司地址：</w:t>
      </w:r>
    </w:p>
    <w:p w14:paraId="096E10B9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电话：                                                    联系人手机：</w:t>
      </w:r>
    </w:p>
    <w:p w14:paraId="35F2988C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tbl>
      <w:tblPr>
        <w:tblStyle w:val="1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062"/>
        <w:gridCol w:w="971"/>
        <w:gridCol w:w="1463"/>
        <w:gridCol w:w="581"/>
        <w:gridCol w:w="876"/>
        <w:gridCol w:w="876"/>
        <w:gridCol w:w="1230"/>
        <w:gridCol w:w="1397"/>
      </w:tblGrid>
      <w:tr w14:paraId="48147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7E9217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036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FC86E8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产品名称</w:t>
            </w:r>
          </w:p>
        </w:tc>
        <w:tc>
          <w:tcPr>
            <w:tcW w:w="48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8969C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品牌</w:t>
            </w:r>
          </w:p>
        </w:tc>
        <w:tc>
          <w:tcPr>
            <w:tcW w:w="733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16AB36D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型号规格</w:t>
            </w:r>
          </w:p>
        </w:tc>
        <w:tc>
          <w:tcPr>
            <w:tcW w:w="292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7A41A9B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数量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2044959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单价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1A1F83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金额</w:t>
            </w:r>
          </w:p>
        </w:tc>
        <w:tc>
          <w:tcPr>
            <w:tcW w:w="61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F9A1E62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质保时间</w:t>
            </w:r>
          </w:p>
        </w:tc>
        <w:tc>
          <w:tcPr>
            <w:tcW w:w="700" w:type="pct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noWrap w:val="0"/>
            <w:vAlign w:val="center"/>
          </w:tcPr>
          <w:p w14:paraId="09E42E8D">
            <w:pPr>
              <w:spacing w:line="440" w:lineRule="exact"/>
              <w:jc w:val="center"/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  <w:t>最快供货</w:t>
            </w: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val="en-US" w:eastAsia="zh-CN"/>
              </w:rPr>
              <w:t>时间</w:t>
            </w:r>
          </w:p>
        </w:tc>
      </w:tr>
      <w:tr w14:paraId="6076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double" w:color="auto" w:sz="4" w:space="0"/>
              <w:left w:val="single" w:color="auto" w:sz="12" w:space="0"/>
            </w:tcBorders>
            <w:noWrap w:val="0"/>
            <w:vAlign w:val="top"/>
          </w:tcPr>
          <w:p w14:paraId="6904F50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036" w:type="pct"/>
            <w:tcBorders>
              <w:top w:val="double" w:color="auto" w:sz="4" w:space="0"/>
            </w:tcBorders>
            <w:noWrap w:val="0"/>
            <w:vAlign w:val="center"/>
          </w:tcPr>
          <w:p w14:paraId="2716FB82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top w:val="double" w:color="auto" w:sz="4" w:space="0"/>
            </w:tcBorders>
            <w:noWrap w:val="0"/>
            <w:vAlign w:val="top"/>
          </w:tcPr>
          <w:p w14:paraId="68C63CC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top w:val="double" w:color="auto" w:sz="4" w:space="0"/>
            </w:tcBorders>
            <w:noWrap w:val="0"/>
            <w:vAlign w:val="top"/>
          </w:tcPr>
          <w:p w14:paraId="2062DBE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top w:val="double" w:color="auto" w:sz="4" w:space="0"/>
            </w:tcBorders>
            <w:noWrap w:val="0"/>
            <w:vAlign w:val="top"/>
          </w:tcPr>
          <w:p w14:paraId="5576A53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3366DA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45D03D7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top w:val="double" w:color="auto" w:sz="4" w:space="0"/>
            </w:tcBorders>
            <w:noWrap w:val="0"/>
            <w:vAlign w:val="top"/>
          </w:tcPr>
          <w:p w14:paraId="014679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top w:val="double" w:color="auto" w:sz="4" w:space="0"/>
              <w:right w:val="single" w:color="auto" w:sz="12" w:space="0"/>
            </w:tcBorders>
            <w:noWrap w:val="0"/>
            <w:vAlign w:val="top"/>
          </w:tcPr>
          <w:p w14:paraId="605E89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3238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</w:tcBorders>
            <w:noWrap w:val="0"/>
            <w:vAlign w:val="top"/>
          </w:tcPr>
          <w:p w14:paraId="29977C7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036" w:type="pct"/>
            <w:noWrap w:val="0"/>
            <w:vAlign w:val="center"/>
          </w:tcPr>
          <w:p w14:paraId="2866E2D0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noWrap w:val="0"/>
            <w:vAlign w:val="top"/>
          </w:tcPr>
          <w:p w14:paraId="0669C2F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noWrap w:val="0"/>
            <w:vAlign w:val="top"/>
          </w:tcPr>
          <w:p w14:paraId="4D50415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noWrap w:val="0"/>
            <w:vAlign w:val="top"/>
          </w:tcPr>
          <w:p w14:paraId="74F4D8E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2757136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45E1288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noWrap w:val="0"/>
            <w:vAlign w:val="top"/>
          </w:tcPr>
          <w:p w14:paraId="5DDB1CC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right w:val="single" w:color="auto" w:sz="12" w:space="0"/>
            </w:tcBorders>
            <w:noWrap w:val="0"/>
            <w:vAlign w:val="top"/>
          </w:tcPr>
          <w:p w14:paraId="6BB70514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692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5E49ACAD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center"/>
          </w:tcPr>
          <w:p w14:paraId="2D958EE1">
            <w:pPr>
              <w:ind w:left="-42" w:leftChars="-20" w:right="-42" w:rightChars="-2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6B0A81D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58841A2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6802B6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ECBBA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47E5F9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5140F7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F3F6E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A9D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22131CE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6938BE08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CD1A54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337FC1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3C03B4F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47DA722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6A33D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1F0F0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B4D1DA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72A1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6A9F333C">
            <w:pPr>
              <w:spacing w:line="440" w:lineRule="exact"/>
              <w:jc w:val="center"/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5ED63A4B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9A78B8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2EEE306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70F8717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A4C7C0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6028EA0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30FD9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F8882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12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pct"/>
            <w:gridSpan w:val="4"/>
            <w:tcBorders>
              <w:top w:val="doub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57ECA68A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>合计金额（人民币）</w:t>
            </w:r>
          </w:p>
        </w:tc>
        <w:tc>
          <w:tcPr>
            <w:tcW w:w="2492" w:type="pct"/>
            <w:gridSpan w:val="5"/>
            <w:tcBorders>
              <w:top w:val="doub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C538379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 xml:space="preserve">￥           （大写）：                               </w:t>
            </w:r>
          </w:p>
        </w:tc>
      </w:tr>
    </w:tbl>
    <w:p w14:paraId="655247D5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2181F384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5E23D6EF">
      <w:pPr>
        <w:pStyle w:val="13"/>
        <w:ind w:left="0" w:leftChars="0" w:firstLine="0" w:firstLineChars="0"/>
        <w:rPr>
          <w:rFonts w:hint="eastAsia"/>
          <w:color w:val="auto"/>
          <w:highlight w:val="none"/>
        </w:rPr>
      </w:pPr>
    </w:p>
    <w:p w14:paraId="296AA70E">
      <w:pPr>
        <w:spacing w:line="440" w:lineRule="exact"/>
        <w:rPr>
          <w:rFonts w:ascii="黑体" w:hAnsi="华文楷体" w:eastAsia="黑体"/>
          <w:color w:val="auto"/>
          <w:sz w:val="24"/>
          <w:highlight w:val="none"/>
        </w:rPr>
      </w:pPr>
      <w:r>
        <w:rPr>
          <w:rFonts w:hint="eastAsia" w:ascii="黑体" w:hAnsi="华文楷体" w:eastAsia="黑体"/>
          <w:color w:val="auto"/>
          <w:sz w:val="24"/>
          <w:highlight w:val="none"/>
        </w:rPr>
        <w:t>公司名称（盖章）：          委托代理人（签字）：        报价日期：      年    月   日</w:t>
      </w:r>
    </w:p>
    <w:p w14:paraId="345567A0">
      <w:pPr>
        <w:rPr>
          <w:rFonts w:hint="eastAsia" w:ascii="黑体" w:hAnsi="华文楷体" w:eastAsia="黑体"/>
          <w:color w:val="auto"/>
          <w:szCs w:val="21"/>
          <w:highlight w:val="none"/>
        </w:rPr>
      </w:pPr>
    </w:p>
    <w:p w14:paraId="24F3C11F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报价说明：1、报价公司提供的上述产品，应完全满足或者优于我校提出的需求。</w:t>
      </w:r>
    </w:p>
    <w:p w14:paraId="6C546935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2、如属非标配产品，其技术指标（特别是优于我校需求的部分）请另行附页说明。</w:t>
      </w:r>
    </w:p>
    <w:p w14:paraId="360E75B8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3、特殊的售后服务措施、代理证明情况等需要说明的，请另行附页说明。</w:t>
      </w:r>
    </w:p>
    <w:p w14:paraId="4A21681F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4、报价单附页（如有）共</w:t>
      </w:r>
      <w:r>
        <w:rPr>
          <w:rFonts w:hint="eastAsia" w:ascii="黑体" w:hAnsi="华文楷体" w:eastAsia="黑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黑体" w:hAnsi="华文楷体" w:eastAsia="黑体"/>
          <w:color w:val="auto"/>
          <w:szCs w:val="21"/>
          <w:highlight w:val="none"/>
        </w:rPr>
        <w:t>页。</w:t>
      </w:r>
    </w:p>
    <w:p w14:paraId="4403A77C">
      <w:pP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br w:type="page"/>
      </w:r>
    </w:p>
    <w:p w14:paraId="0D7FB27B">
      <w:pPr>
        <w:spacing w:after="120" w:afterLines="50" w:line="240" w:lineRule="auto"/>
        <w:ind w:left="0" w:leftChars="0" w:firstLine="0" w:firstLineChars="0"/>
        <w:jc w:val="center"/>
        <w:rPr>
          <w:rFonts w:ascii="仿宋" w:hAnsi="仿宋" w:eastAsia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报价</w:t>
      </w: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  <w:t>承诺函</w:t>
      </w:r>
    </w:p>
    <w:p w14:paraId="154139ED">
      <w:pPr>
        <w:spacing w:after="120" w:afterLines="50" w:line="240" w:lineRule="auto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致：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上海海事大学</w:t>
      </w:r>
    </w:p>
    <w:p w14:paraId="37C42137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我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公司在参加本次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比选采购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作出如下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承诺：</w:t>
      </w:r>
    </w:p>
    <w:p w14:paraId="46C0BB39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一、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具备独立法人资格，能够独立承担民事责任。</w:t>
      </w:r>
    </w:p>
    <w:p w14:paraId="50EE2300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二、我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财务状况良好，具备履行合同所需资金实力。</w:t>
      </w:r>
    </w:p>
    <w:p w14:paraId="3F8FCAE5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三、我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拥有履行项目所需的专业技术人员和先进的生产设备。</w:t>
      </w:r>
    </w:p>
    <w:p w14:paraId="45943AA8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四、我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依法纳税，并按时缴纳社会保险费。</w:t>
      </w:r>
    </w:p>
    <w:p w14:paraId="0F0C6E90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五、我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在最近三年内无任何违法违规行为，信誉良好。</w:t>
      </w:r>
    </w:p>
    <w:p w14:paraId="3EF4200C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六、我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完全符合政府采购法及其他相关法律法规的规定。</w:t>
      </w:r>
    </w:p>
    <w:p w14:paraId="072F3ABB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公司提供的相关文件均真实、有效。</w:t>
      </w:r>
    </w:p>
    <w:p w14:paraId="1E86BCEA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八、我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公司未挂靠、借用资质进行投标等违法违规行为。</w:t>
      </w:r>
    </w:p>
    <w:p w14:paraId="1961C25F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我公司承诺在参加本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采购活动中，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不存在串标围标行为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损害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校方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或者其他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利益的行为。</w:t>
      </w:r>
    </w:p>
    <w:p w14:paraId="1B3C8AA7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十、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公司管理层中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没有从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离职或退休3年以内的人员担任控股股东或实际控股人、董事、监事，也没有聘用从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离职或退休3年以内的人员。</w:t>
      </w:r>
    </w:p>
    <w:p w14:paraId="3FE2B1FA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我公司保证上述声明真实无误，如有不实，愿承担相应法律责任。</w:t>
      </w:r>
    </w:p>
    <w:p w14:paraId="2C38F8B9">
      <w:pPr>
        <w:spacing w:after="120" w:afterLines="50" w:line="240" w:lineRule="auto"/>
        <w:ind w:left="0" w:leftChars="0" w:firstLine="0" w:firstLineChars="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</w:p>
    <w:p w14:paraId="4A13A388">
      <w:pPr>
        <w:spacing w:after="120" w:afterLines="50" w:line="240" w:lineRule="auto"/>
        <w:ind w:left="0" w:leftChars="0" w:firstLine="0" w:firstLineChars="0"/>
        <w:rPr>
          <w:rFonts w:ascii="黑体" w:hAnsi="华文楷体"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华文楷体" w:eastAsia="黑体"/>
          <w:color w:val="auto"/>
          <w:sz w:val="24"/>
          <w:szCs w:val="24"/>
          <w:highlight w:val="none"/>
        </w:rPr>
        <w:t>公司名称（盖章）：                              委托代理人（签字）：</w:t>
      </w:r>
    </w:p>
    <w:p w14:paraId="476D348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3F5F1DB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086B01F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sectPr>
          <w:pgSz w:w="11906" w:h="16838"/>
          <w:pgMar w:top="1440" w:right="1083" w:bottom="1440" w:left="1083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7CDE4BA2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附件2：其他材料</w:t>
      </w:r>
    </w:p>
    <w:p w14:paraId="7D103AD2">
      <w:pPr>
        <w:pStyle w:val="6"/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包括但不限于：</w:t>
      </w:r>
    </w:p>
    <w:p w14:paraId="6163A2E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1、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营业执照扫描件</w:t>
      </w:r>
    </w:p>
    <w:p w14:paraId="75BA9CD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产品资料（产品参数及性能）</w:t>
      </w:r>
    </w:p>
    <w:p w14:paraId="1BB2A8EF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实施计划</w:t>
      </w:r>
    </w:p>
    <w:p w14:paraId="32423874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4、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售后方案</w:t>
      </w:r>
    </w:p>
    <w:p w14:paraId="47143B8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5、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业绩案例</w:t>
      </w:r>
    </w:p>
    <w:p w14:paraId="3644FF0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6、其他所必需的相关材料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0FEA3D-A92F-4128-97BC-C0B6395C2C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Times NR MT Pro Medium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宋?">
    <w:altName w:val="Malgun Gothic"/>
    <w:panose1 w:val="00000000000000000000"/>
    <w:charset w:val="81"/>
    <w:family w:val="roman"/>
    <w:pitch w:val="default"/>
    <w:sig w:usb0="00000000" w:usb1="00000000" w:usb2="0000000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F326CE8-E0B9-49F8-9DB5-CE66B7D6A370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6B0D06B-7C52-40B6-B663-AC16AA492F5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FFCEECC-1C11-4751-9118-1289AC3157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A82D253-A318-4585-848A-1C219EA782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0492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2FB9A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2FB9A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22401"/>
    <w:multiLevelType w:val="multilevel"/>
    <w:tmpl w:val="17722401"/>
    <w:lvl w:ilvl="0" w:tentative="0">
      <w:start w:val="1"/>
      <w:numFmt w:val="japaneseCounting"/>
      <w:pStyle w:val="2"/>
      <w:lvlText w:val="%1、"/>
      <w:lvlJc w:val="left"/>
      <w:pPr>
        <w:ind w:left="464" w:hanging="72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54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064" w:hanging="440"/>
      </w:pPr>
    </w:lvl>
    <w:lvl w:ilvl="3" w:tentative="0">
      <w:start w:val="1"/>
      <w:numFmt w:val="decimal"/>
      <w:lvlText w:val="%4."/>
      <w:lvlJc w:val="left"/>
      <w:pPr>
        <w:ind w:left="1504" w:hanging="440"/>
      </w:pPr>
    </w:lvl>
    <w:lvl w:ilvl="4" w:tentative="0">
      <w:start w:val="1"/>
      <w:numFmt w:val="lowerLetter"/>
      <w:lvlText w:val="%5)"/>
      <w:lvlJc w:val="left"/>
      <w:pPr>
        <w:ind w:left="1944" w:hanging="440"/>
      </w:pPr>
    </w:lvl>
    <w:lvl w:ilvl="5" w:tentative="0">
      <w:start w:val="1"/>
      <w:numFmt w:val="lowerRoman"/>
      <w:lvlText w:val="%6."/>
      <w:lvlJc w:val="right"/>
      <w:pPr>
        <w:ind w:left="2384" w:hanging="440"/>
      </w:pPr>
    </w:lvl>
    <w:lvl w:ilvl="6" w:tentative="0">
      <w:start w:val="1"/>
      <w:numFmt w:val="decimal"/>
      <w:lvlText w:val="%7."/>
      <w:lvlJc w:val="left"/>
      <w:pPr>
        <w:ind w:left="2824" w:hanging="440"/>
      </w:pPr>
    </w:lvl>
    <w:lvl w:ilvl="7" w:tentative="0">
      <w:start w:val="1"/>
      <w:numFmt w:val="lowerLetter"/>
      <w:lvlText w:val="%8)"/>
      <w:lvlJc w:val="left"/>
      <w:pPr>
        <w:ind w:left="3264" w:hanging="440"/>
      </w:pPr>
    </w:lvl>
    <w:lvl w:ilvl="8" w:tentative="0">
      <w:start w:val="1"/>
      <w:numFmt w:val="lowerRoman"/>
      <w:lvlText w:val="%9."/>
      <w:lvlJc w:val="right"/>
      <w:pPr>
        <w:ind w:left="3704" w:hanging="440"/>
      </w:pPr>
    </w:lvl>
  </w:abstractNum>
  <w:abstractNum w:abstractNumId="1">
    <w:nsid w:val="6EE46474"/>
    <w:multiLevelType w:val="multilevel"/>
    <w:tmpl w:val="6EE46474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75436"/>
    <w:rsid w:val="029C08D4"/>
    <w:rsid w:val="035A42B0"/>
    <w:rsid w:val="0875321F"/>
    <w:rsid w:val="09642E33"/>
    <w:rsid w:val="0AAB1FDD"/>
    <w:rsid w:val="0B7B6E53"/>
    <w:rsid w:val="0DE81BFF"/>
    <w:rsid w:val="100D024F"/>
    <w:rsid w:val="146C6B60"/>
    <w:rsid w:val="15285D7F"/>
    <w:rsid w:val="157E6317"/>
    <w:rsid w:val="15D04D45"/>
    <w:rsid w:val="1B307278"/>
    <w:rsid w:val="1D197F1E"/>
    <w:rsid w:val="1D2B42FB"/>
    <w:rsid w:val="1DF9272E"/>
    <w:rsid w:val="22AA0589"/>
    <w:rsid w:val="24050543"/>
    <w:rsid w:val="244605D8"/>
    <w:rsid w:val="26C52776"/>
    <w:rsid w:val="2DAA3F84"/>
    <w:rsid w:val="2E691D1D"/>
    <w:rsid w:val="2FB07FD7"/>
    <w:rsid w:val="33997124"/>
    <w:rsid w:val="3A774F92"/>
    <w:rsid w:val="3CFB52B6"/>
    <w:rsid w:val="3D6469F5"/>
    <w:rsid w:val="3DBA1AA2"/>
    <w:rsid w:val="3E5C4869"/>
    <w:rsid w:val="3FCC680A"/>
    <w:rsid w:val="41007DAA"/>
    <w:rsid w:val="43B41A56"/>
    <w:rsid w:val="44CA6216"/>
    <w:rsid w:val="45DB0FAA"/>
    <w:rsid w:val="480A63EB"/>
    <w:rsid w:val="4A2362AE"/>
    <w:rsid w:val="4AFC4A60"/>
    <w:rsid w:val="4C115AA2"/>
    <w:rsid w:val="4CC21E26"/>
    <w:rsid w:val="4EFD134C"/>
    <w:rsid w:val="55CF5109"/>
    <w:rsid w:val="55ED3C3E"/>
    <w:rsid w:val="57117CB6"/>
    <w:rsid w:val="573107A3"/>
    <w:rsid w:val="5AEA704B"/>
    <w:rsid w:val="5CB31D19"/>
    <w:rsid w:val="5D66061F"/>
    <w:rsid w:val="5E8720EC"/>
    <w:rsid w:val="5EE9209B"/>
    <w:rsid w:val="62DD78C6"/>
    <w:rsid w:val="63DF4A20"/>
    <w:rsid w:val="6836555A"/>
    <w:rsid w:val="684F045C"/>
    <w:rsid w:val="699E1F48"/>
    <w:rsid w:val="6C3138A4"/>
    <w:rsid w:val="6E3767B2"/>
    <w:rsid w:val="6FC06751"/>
    <w:rsid w:val="73793F12"/>
    <w:rsid w:val="769D2894"/>
    <w:rsid w:val="794117F3"/>
    <w:rsid w:val="7B74515D"/>
    <w:rsid w:val="7BF21EE1"/>
    <w:rsid w:val="7C2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numPr>
        <w:ilvl w:val="0"/>
        <w:numId w:val="1"/>
      </w:numPr>
      <w:spacing w:before="120" w:after="80"/>
      <w:ind w:firstLineChars="0"/>
      <w:outlineLvl w:val="0"/>
    </w:pPr>
    <w:rPr>
      <w:rFonts w:cs="Times NR MT Pro Medium" w:asciiTheme="majorHAnsi" w:hAnsiTheme="majorHAnsi"/>
      <w:b/>
      <w:bCs/>
      <w:sz w:val="28"/>
      <w:szCs w:val="48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2"/>
      </w:numPr>
      <w:spacing w:before="80" w:after="80"/>
      <w:ind w:firstLineChars="0"/>
      <w:outlineLvl w:val="1"/>
    </w:pPr>
    <w:rPr>
      <w:rFonts w:cs="Times NR MT Pro Medium" w:asciiTheme="majorHAnsi" w:hAnsiTheme="majorHAnsi"/>
      <w:b/>
      <w:bCs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unhideWhenUsed/>
    <w:qFormat/>
    <w:uiPriority w:val="9"/>
    <w:pPr>
      <w:spacing w:before="160" w:after="80"/>
      <w:ind w:left="737" w:firstLine="0" w:firstLineChars="0"/>
      <w:outlineLvl w:val="2"/>
    </w:pPr>
    <w:rPr>
      <w:rFonts w:cs="Times NR MT Pro Medium" w:asciiTheme="majorHAnsi" w:hAnsiTheme="majorHAnsi"/>
      <w:sz w:val="24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11">
    <w:name w:val="Body Text Indent 3"/>
    <w:basedOn w:val="1"/>
    <w:qFormat/>
    <w:uiPriority w:val="0"/>
    <w:pPr>
      <w:ind w:firstLine="600" w:firstLineChars="200"/>
    </w:pPr>
    <w:rPr>
      <w:color w:val="FF0000"/>
      <w:sz w:val="30"/>
      <w:szCs w:val="20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5"/>
    <w:qFormat/>
    <w:uiPriority w:val="0"/>
    <w:pPr>
      <w:widowControl/>
      <w:spacing w:after="120"/>
      <w:ind w:firstLine="420" w:firstLineChars="100"/>
      <w:jc w:val="left"/>
    </w:pPr>
    <w:rPr>
      <w:rFonts w:ascii="Times New Roma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paragraph" w:customStyle="1" w:styleId="19">
    <w:name w:val="Body Text First Indent 21"/>
    <w:basedOn w:val="20"/>
    <w:autoRedefine/>
    <w:qFormat/>
    <w:uiPriority w:val="0"/>
    <w:pPr>
      <w:ind w:left="420" w:firstLine="420" w:firstLineChars="200"/>
    </w:pPr>
    <w:rPr>
      <w:rFonts w:eastAsia="宋?"/>
    </w:rPr>
  </w:style>
  <w:style w:type="paragraph" w:customStyle="1" w:styleId="20">
    <w:name w:val="Body Text Indent1"/>
    <w:basedOn w:val="1"/>
    <w:next w:val="21"/>
    <w:autoRedefine/>
    <w:qFormat/>
    <w:uiPriority w:val="0"/>
    <w:pPr>
      <w:ind w:left="200" w:leftChars="200"/>
    </w:pPr>
    <w:rPr>
      <w:rFonts w:ascii="Calibri" w:hAnsi="Calibri"/>
    </w:rPr>
  </w:style>
  <w:style w:type="paragraph" w:customStyle="1" w:styleId="21">
    <w:name w:val="envelope return1"/>
    <w:basedOn w:val="1"/>
    <w:autoRedefine/>
    <w:qFormat/>
    <w:uiPriority w:val="0"/>
    <w:rPr>
      <w:rFonts w:ascii="Arial" w:hAnsi="Arial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paragraph" w:customStyle="1" w:styleId="23">
    <w:name w:val="列表段落1"/>
    <w:basedOn w:val="1"/>
    <w:qFormat/>
    <w:uiPriority w:val="0"/>
    <w:pPr>
      <w:ind w:firstLine="420" w:firstLineChars="200"/>
    </w:pPr>
  </w:style>
  <w:style w:type="character" w:customStyle="1" w:styleId="24">
    <w:name w:val="15"/>
    <w:basedOn w:val="16"/>
    <w:qFormat/>
    <w:uiPriority w:val="0"/>
    <w:rPr>
      <w:rFonts w:hint="default" w:ascii="Calibri" w:hAnsi="Calibri" w:cs="Calibri"/>
      <w:b/>
      <w:bCs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楷体 (中文) 楷体"/>
    <w:qFormat/>
    <w:uiPriority w:val="0"/>
    <w:rPr>
      <w:rFonts w:ascii="楷体" w:hAnsi="楷体" w:eastAsia="楷体"/>
      <w:kern w:val="1"/>
      <w:sz w:val="28"/>
    </w:rPr>
  </w:style>
  <w:style w:type="paragraph" w:customStyle="1" w:styleId="27">
    <w:name w:val="正文11"/>
    <w:basedOn w:val="1"/>
    <w:qFormat/>
    <w:uiPriority w:val="0"/>
    <w:pPr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customStyle="1" w:styleId="28">
    <w:name w:val="0正文"/>
    <w:qFormat/>
    <w:uiPriority w:val="0"/>
    <w:pPr>
      <w:spacing w:line="360" w:lineRule="exact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982de89b-1713-4cf2-b15a-0936f1d08aab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22E8766</paraID>
      <start>0</start>
      <end>2</end>
      <status>unmodified</status>
      <modifiedWord/>
      <trackRevisions>false</trackRevisions>
    </reviewItem>
    <reviewItem>
      <errorID>6e6f408e-7b1c-4a54-903c-7ef3e7e0fc89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6441606B</paraID>
      <start>0</start>
      <end>2</end>
      <status>unmodified</status>
      <modifiedWord/>
      <trackRevisions>false</trackRevisions>
    </reviewItem>
    <reviewItem>
      <errorID>4367791a-001a-4901-8ad9-ee606367275a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3A3BF07A</paraID>
      <start>0</start>
      <end>2</end>
      <status>unmodified</status>
      <modifiedWord/>
      <trackRevisions>false</trackRevisions>
    </reviewItem>
    <reviewItem>
      <errorID>08beaf9c-bb8c-4076-955c-69072b362545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4139060B</paraID>
      <start>104</start>
      <end>105</end>
      <status>unmodified</status>
      <modifiedWord/>
      <trackRevisions>false</trackRevisions>
    </reviewItem>
    <reviewItem>
      <errorID>d5407e11-114b-4fdb-b6a3-863c4eef9f7d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4139060B</paraID>
      <start>113</start>
      <end>114</end>
      <status>unmodified</status>
      <modifiedWord/>
      <trackRevisions>false</trackRevisions>
    </reviewItem>
    <reviewItem>
      <errorID>1dea9e55-c9ce-46e3-8883-7e4e1c062920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20065B4B</paraID>
      <start>5</start>
      <end>6</end>
      <status>unmodified</status>
      <modifiedWord/>
      <trackRevisions>false</trackRevisions>
    </reviewItem>
    <reviewItem>
      <errorID>d226fc0f-e3ae-4f78-a1f6-68d7ab9e1dcc</errorID>
      <errorWord>震动</errorWord>
      <group>L1_Word</group>
      <groupName>字词问题</groupName>
      <ability>L2_Typo</ability>
      <abilityName>字词错误</abilityName>
      <candidateList>
        <item>振动</item>
      </candidateList>
      <explain>存在发音相同字词的误用。</explain>
      <paraID>2F4F1B47</paraID>
      <start>2</start>
      <end>4</end>
      <status>unmodified</status>
      <modifiedWord/>
      <trackRevisions>false</trackRevisions>
    </reviewItem>
    <reviewItem>
      <errorID>b9139fee-8f4b-4f63-a989-c115ae15314e</errorID>
      <errorWord>～</errorWord>
      <group>L1_Format</group>
      <groupName>格式问题</groupName>
      <ability>L2_HalfPunc_CN</ability>
      <abilityName>全半角问题</abilityName>
      <candidateList>
        <item>~</item>
      </candidateList>
      <explain>文本全半角错误。</explain>
      <paraID>44CF0BF7</paraID>
      <start>2</start>
      <end>3</end>
      <status>unmodified</status>
      <modifiedWord/>
      <trackRevisions>false</trackRevisions>
    </reviewItem>
    <reviewItem>
      <errorID>93a15543-eedc-464c-85fa-4b2c414a286c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5983229F</paraID>
      <start>53</start>
      <end>54</end>
      <status>unmodified</status>
      <modifiedWord/>
      <trackRevisions>false</trackRevisions>
    </reviewItem>
    <reviewItem>
      <errorID>c6054b61-db20-48b0-b622-88b7a8a7f7df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5983229F</paraID>
      <start>63</start>
      <end>64</end>
      <status>unmodified</status>
      <modifiedWord/>
      <trackRevisions>false</trackRevisions>
    </reviewItem>
    <reviewItem>
      <errorID>5b5aa9af-1da8-4029-801a-c85a891dc2ec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117C4525</paraID>
      <start>0</start>
      <end>2</end>
      <status>unmodified</status>
      <modifiedWord/>
      <trackRevisions>false</trackRevisions>
    </reviewItem>
    <reviewItem>
      <errorID>8a678b64-be24-4c10-8b64-d08a0fde3ca2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123C9161</paraID>
      <start>0</start>
      <end>2</end>
      <status>unmodified</status>
      <modifiedWord/>
      <trackRevisions>false</trackRevisions>
    </reviewItem>
    <reviewItem>
      <errorID>a3830e96-7b7c-4bfa-8d70-fa5f435adde9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6163A2E2</paraID>
      <start>0</start>
      <end>2</end>
      <status>unmodified</status>
      <modifiedWord/>
      <trackRevisions>false</trackRevisions>
    </reviewItem>
    <reviewItem>
      <errorID>e03615a2-ceed-4f4b-be9a-a866f9c3fa5a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75BA9CDB</paraID>
      <start>0</start>
      <end>2</end>
      <status>unmodified</status>
      <modifiedWord/>
      <trackRevisions>false</trackRevisions>
    </reviewItem>
    <reviewItem>
      <errorID>dcdd46e2-4023-493f-9896-5d7c84ecf2a8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1BB2A8EF</paraID>
      <start>0</start>
      <end>2</end>
      <status>unmodified</status>
      <modifiedWord/>
      <trackRevisions>false</trackRevisions>
    </reviewItem>
    <reviewItem>
      <errorID>73fe4c33-e6a3-4585-8895-81958649801b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32423874</paraID>
      <start>0</start>
      <end>2</end>
      <status>unmodified</status>
      <modifiedWord/>
      <trackRevisions>false</trackRevisions>
    </reviewItem>
    <reviewItem>
      <errorID>4c9572f3-9fcb-49f1-8426-d61416283a17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47143B82</paraID>
      <start>0</start>
      <end>2</end>
      <status>unmodified</status>
      <modifiedWord/>
      <trackRevisions>false</trackRevisions>
    </reviewItem>
    <reviewItem>
      <errorID>0f03abd3-b813-4beb-8abb-56f8e2b86ec0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3644FF0B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40aa9d-5682-42e6-aa84-7130752bd9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4941</Words>
  <Characters>5909</Characters>
  <Lines>0</Lines>
  <Paragraphs>0</Paragraphs>
  <TotalTime>1</TotalTime>
  <ScaleCrop>false</ScaleCrop>
  <LinksUpToDate>false</LinksUpToDate>
  <CharactersWithSpaces>5917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2025-04-03T05:09:00Z</dcterms:created>
  <dc:creator>HP</dc:creator>
  <cp:lastModifiedBy>仲杰</cp:lastModifiedBy>
  <dcterms:modified xsi:type="dcterms:W3CDTF">2026-08-31T09:22:00Z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eyJoZGlkIjoiZTQ4MzhlZGU2YmZhMGFjMjVlNGJjM2ZlYTdmZDg2NTAiLCJ1c2VySWQiOiIyOTgyOTgyOTEifQ==</vt:lpwstr>
  </property>
  <property fmtid="{D5CDD505-2E9C-101B-9397-08002B2CF9AE}" pid="4" name="ICV">
    <vt:lpwstr>2BFD31D5F3FB4B709DBC969892577809_12</vt:lpwstr>
  </property>
</Properties>
</file>