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BC6A561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8"/>
          <w:szCs w:val="36"/>
          <w:highlight w:val="none"/>
          <w:lang w:val="en-US" w:eastAsia="zh-CN"/>
        </w:rPr>
      </w:pPr>
    </w:p>
    <w:p w14:paraId="05F143FD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8"/>
          <w:szCs w:val="36"/>
          <w:highlight w:val="none"/>
          <w:lang w:val="en-US" w:eastAsia="zh-CN"/>
        </w:rPr>
      </w:pPr>
    </w:p>
    <w:p w14:paraId="7C29A4C3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8"/>
          <w:szCs w:val="36"/>
          <w:highlight w:val="none"/>
          <w:lang w:val="en-US" w:eastAsia="zh-CN"/>
        </w:rPr>
      </w:pPr>
    </w:p>
    <w:p w14:paraId="75D3CC17">
      <w:pPr>
        <w:jc w:val="center"/>
        <w:rPr>
          <w:rFonts w:hint="default" w:ascii="方正兰亭黑简体" w:hAnsi="方正兰亭黑简体" w:eastAsia="方正兰亭黑简体" w:cs="方正兰亭黑简体"/>
          <w:b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8"/>
          <w:szCs w:val="28"/>
          <w:highlight w:val="none"/>
          <w:lang w:val="en-US" w:eastAsia="zh-CN"/>
        </w:rPr>
        <w:t>上海海事大学域名解析系统采购项目</w:t>
      </w:r>
    </w:p>
    <w:p w14:paraId="3A6F3C59">
      <w:pPr>
        <w:jc w:val="center"/>
        <w:rPr>
          <w:rFonts w:hint="default" w:ascii="方正兰亭黑简体" w:hAnsi="方正兰亭黑简体" w:eastAsia="方正兰亭黑简体" w:cs="方正兰亭黑简体"/>
          <w:b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8"/>
          <w:szCs w:val="28"/>
          <w:highlight w:val="none"/>
          <w:lang w:val="en-US" w:eastAsia="zh-CN"/>
        </w:rPr>
        <w:t>比选文件</w:t>
      </w:r>
      <w:bookmarkStart w:id="4" w:name="_GoBack"/>
      <w:bookmarkEnd w:id="4"/>
    </w:p>
    <w:p w14:paraId="746E0DD5">
      <w:pPr>
        <w:jc w:val="center"/>
        <w:rPr>
          <w:rFonts w:hint="default" w:ascii="方正兰亭黑简体" w:hAnsi="方正兰亭黑简体" w:eastAsia="方正兰亭黑简体" w:cs="方正兰亭黑简体"/>
          <w:b/>
          <w:bCs/>
          <w:color w:val="auto"/>
          <w:sz w:val="28"/>
          <w:szCs w:val="28"/>
          <w:highlight w:val="none"/>
          <w:lang w:val="en-US" w:eastAsia="zh-CN"/>
        </w:rPr>
      </w:pPr>
    </w:p>
    <w:p w14:paraId="7F5B1C2D">
      <w:pPr>
        <w:jc w:val="center"/>
        <w:rPr>
          <w:rFonts w:hint="default" w:ascii="方正兰亭黑简体" w:hAnsi="方正兰亭黑简体" w:eastAsia="方正兰亭黑简体" w:cs="方正兰亭黑简体"/>
          <w:b/>
          <w:bCs/>
          <w:color w:val="auto"/>
          <w:sz w:val="28"/>
          <w:szCs w:val="28"/>
          <w:highlight w:val="none"/>
          <w:lang w:val="en-US" w:eastAsia="zh-CN"/>
        </w:rPr>
      </w:pPr>
    </w:p>
    <w:p w14:paraId="0B84232F">
      <w:pPr>
        <w:jc w:val="center"/>
        <w:rPr>
          <w:rFonts w:hint="default" w:ascii="方正兰亭黑简体" w:hAnsi="方正兰亭黑简体" w:eastAsia="方正兰亭黑简体" w:cs="方正兰亭黑简体"/>
          <w:b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8"/>
          <w:szCs w:val="28"/>
          <w:highlight w:val="none"/>
          <w:lang w:val="en-US" w:eastAsia="zh-CN"/>
        </w:rPr>
        <w:t>项目编号：</w:t>
      </w:r>
      <w:r>
        <w:rPr>
          <w:rFonts w:hint="eastAsia" w:ascii="方正兰亭黑简体" w:hAnsi="方正兰亭黑简体" w:eastAsia="方正兰亭黑简体" w:cs="方正兰亭黑简体"/>
          <w:color w:val="auto"/>
          <w:sz w:val="28"/>
          <w:szCs w:val="28"/>
          <w:highlight w:val="none"/>
          <w:lang w:val="en-US" w:eastAsia="zh-CN"/>
        </w:rPr>
        <w:t>HFBX2026042</w:t>
      </w:r>
    </w:p>
    <w:p w14:paraId="43E1A511">
      <w:pPr>
        <w:jc w:val="center"/>
        <w:rPr>
          <w:rFonts w:hint="default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</w:pPr>
    </w:p>
    <w:p w14:paraId="564BAADD">
      <w:pPr>
        <w:jc w:val="center"/>
        <w:rPr>
          <w:rFonts w:hint="default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</w:pPr>
    </w:p>
    <w:p w14:paraId="1CBECD87">
      <w:pPr>
        <w:jc w:val="center"/>
        <w:rPr>
          <w:rFonts w:hint="default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</w:pPr>
    </w:p>
    <w:p w14:paraId="77AEA8DD">
      <w:pPr>
        <w:jc w:val="center"/>
        <w:rPr>
          <w:rFonts w:hint="default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</w:pPr>
    </w:p>
    <w:p w14:paraId="6AFBFE6C">
      <w:pPr>
        <w:jc w:val="center"/>
        <w:rPr>
          <w:rFonts w:hint="default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</w:pPr>
    </w:p>
    <w:p w14:paraId="18A2CE08">
      <w:pPr>
        <w:jc w:val="center"/>
        <w:rPr>
          <w:rFonts w:hint="default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</w:pPr>
    </w:p>
    <w:p w14:paraId="69F671C1">
      <w:pPr>
        <w:jc w:val="center"/>
        <w:rPr>
          <w:rFonts w:hint="default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</w:pPr>
    </w:p>
    <w:p w14:paraId="0E2559B5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  <w:t>采购人：上海海事大学</w:t>
      </w:r>
    </w:p>
    <w:p w14:paraId="64BB9721">
      <w:pPr>
        <w:jc w:val="center"/>
        <w:rPr>
          <w:rFonts w:hint="default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  <w:t>二〇二六年</w:t>
      </w: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  <w:t>五</w:t>
      </w: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  <w:t>月</w:t>
      </w:r>
    </w:p>
    <w:p w14:paraId="4258C5C0">
      <w:pP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  <w:br w:type="page"/>
      </w:r>
    </w:p>
    <w:p w14:paraId="5637B82A">
      <w:pPr>
        <w:jc w:val="center"/>
        <w:rPr>
          <w:rFonts w:hint="default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  <w:t>第一章 比选公告</w:t>
      </w:r>
    </w:p>
    <w:p w14:paraId="54E46ED1">
      <w:pPr>
        <w:ind w:firstLine="440" w:firstLineChars="200"/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为公开、公正、公平地做好各项货物与服务的采购工作，进一步提高采购过程的透明度，有利于我校选择性价比更高的产品及更优质的服务，欢迎各供应单位本着务实友好的工作态度，积极参与，并做好成本核算，进行一次性报价。我校将本着公开、公正、公平的工作原则，对各供应单位所提供的资料，进行综合评议，择优选购。为确保本次比选采购项目采购工作的顺利开展，请各报价单位按照下述要求提供报价单等相关资料。具体要求及相关注意事项如下：</w:t>
      </w:r>
    </w:p>
    <w:p w14:paraId="5694D68E">
      <w:pPr>
        <w:jc w:val="left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  <w:t>一、项目基本情况</w:t>
      </w:r>
    </w:p>
    <w:p w14:paraId="6ED9240D">
      <w:pPr>
        <w:jc w:val="left"/>
        <w:rPr>
          <w:rFonts w:hint="default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项目编号：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HFBX2026042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；</w:t>
      </w:r>
    </w:p>
    <w:p w14:paraId="40680CD9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项目名称：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上海海事大学域名解析系统采购项目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；</w:t>
      </w:r>
    </w:p>
    <w:p w14:paraId="49D3EF92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采购方式：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学校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比选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eastAsia="zh-CN"/>
        </w:rPr>
        <w:t>；</w:t>
      </w:r>
    </w:p>
    <w:p w14:paraId="11D14FFE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预算金额（亦是最高限价）：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人民币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25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万元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eastAsia="zh-CN"/>
        </w:rPr>
        <w:t>；</w:t>
      </w:r>
    </w:p>
    <w:p w14:paraId="192657F0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采购需求：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本项目需采购通过采购2台域名解析系统、构建我校智能解析、管理和运维平台。（具体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要求详见比选文件—第二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章节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采购需求）</w:t>
      </w:r>
    </w:p>
    <w:p w14:paraId="78083A22">
      <w:pPr>
        <w:jc w:val="left"/>
        <w:rPr>
          <w:rFonts w:hint="default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交付时间：合同签订后10个工作日内交货，交货后30个工作日内实施完毕。</w:t>
      </w:r>
    </w:p>
    <w:p w14:paraId="27BDE804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付款方式：乙方货到后经甲方测试合格，甲方于10个工作日内支付合同总价的70%；项目整体通过甲方验收后的10个工作日内，甲方支付合同总价的30%。</w:t>
      </w:r>
    </w:p>
    <w:p w14:paraId="41BEA8D1">
      <w:pPr>
        <w:jc w:val="left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  <w:t>二、</w:t>
      </w: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  <w:lang w:val="en-US" w:eastAsia="zh-CN"/>
        </w:rPr>
        <w:t>报价</w:t>
      </w: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  <w:t>人的资格要求</w:t>
      </w:r>
    </w:p>
    <w:p w14:paraId="022E8766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1、符合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eastAsia="zh-CN"/>
        </w:rPr>
        <w:t>《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中华人民共和国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政府采购法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eastAsia="zh-CN"/>
        </w:rPr>
        <w:t>》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第二十二条之供应商资格规定。</w:t>
      </w:r>
    </w:p>
    <w:p w14:paraId="6441606B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2、供应商未被列入“信用中国”网站（www.creditchina.gov.cn）失信执行人名单、重大税收违法案件当事人名单和中国政府采购网（www.ccgp.gov.cn）政府严重违法失信行为记录名单的供应商。</w:t>
      </w:r>
    </w:p>
    <w:p w14:paraId="3A3BF07A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3、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经营范围及拟投标货物（服务）符合本次比选要求，具有与本次投标货物（服务）相应的经营、代理（经销）资质，能全程参与并完成本项目，且具有较强的服务能力，以及畅通的问题响应机制和渠道等；</w:t>
      </w:r>
    </w:p>
    <w:p w14:paraId="3710B34B">
      <w:pPr>
        <w:jc w:val="left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  <w:t>三、报名</w:t>
      </w: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  <w:lang w:val="en-US" w:eastAsia="zh-CN"/>
        </w:rPr>
        <w:t>要求</w:t>
      </w:r>
    </w:p>
    <w:p w14:paraId="04917284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报名邮箱、时间：不单独组织报名，意向单位可在截止日期前递交响应文件。</w:t>
      </w:r>
    </w:p>
    <w:p w14:paraId="24CD6CDE">
      <w:pPr>
        <w:jc w:val="left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  <w:t>四、获取采购文件</w:t>
      </w:r>
    </w:p>
    <w:p w14:paraId="5050A625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获取方式：公告页面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下方自行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下载</w:t>
      </w:r>
    </w:p>
    <w:p w14:paraId="4D745344">
      <w:pPr>
        <w:jc w:val="left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</w:pPr>
      <w:bookmarkStart w:id="0" w:name="_Toc28359005"/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  <w:t>五、现场踏勘</w:t>
      </w:r>
      <w:bookmarkEnd w:id="0"/>
    </w:p>
    <w:p w14:paraId="2C262256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不组织。</w:t>
      </w:r>
    </w:p>
    <w:p w14:paraId="213C8131">
      <w:pPr>
        <w:jc w:val="left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  <w:lang w:val="en-US" w:eastAsia="zh-CN"/>
        </w:rPr>
        <w:t>六</w:t>
      </w: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  <w:t>、响应文件提交</w:t>
      </w:r>
    </w:p>
    <w:p w14:paraId="231DF229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eastAsia="zh-CN"/>
        </w:rPr>
      </w:pPr>
      <w:bookmarkStart w:id="1" w:name="_Toc35393795"/>
      <w:bookmarkEnd w:id="1"/>
      <w:bookmarkStart w:id="2" w:name="_Toc35393626"/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截止</w:t>
      </w:r>
      <w:bookmarkEnd w:id="2"/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时间：202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6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年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5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月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29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日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eastAsia="zh-CN"/>
        </w:rPr>
        <w:t>（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周五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eastAsia="zh-CN"/>
        </w:rPr>
        <w:t>）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上午11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时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00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分</w:t>
      </w:r>
    </w:p>
    <w:p w14:paraId="52EA2719">
      <w:pPr>
        <w:jc w:val="left"/>
        <w:rPr>
          <w:rFonts w:hint="default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提交方式：发送盖章扫描版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PDF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到指定邮箱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eastAsia="zh-CN"/>
        </w:rPr>
        <w:t>，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邮件名称：项目编号+公司名称</w:t>
      </w:r>
    </w:p>
    <w:p w14:paraId="45738F2D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邮箱地址：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u w:val="none"/>
        </w:rPr>
        <w:t>quotation@shmtu.edu.cn</w:t>
      </w:r>
    </w:p>
    <w:p w14:paraId="7C16205B">
      <w:pPr>
        <w:jc w:val="left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  <w:lang w:val="en-US" w:eastAsia="zh-CN"/>
        </w:rPr>
        <w:t>七</w:t>
      </w: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  <w:t>、其他补充事宜</w:t>
      </w:r>
    </w:p>
    <w:p w14:paraId="3C9CF2D2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1.中标结果将通过发布比选公告的媒介进行公示，公示期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为1个工作日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，公示期内如对中标结果有异议可向校方提出书面质疑。</w:t>
      </w:r>
      <w:bookmarkStart w:id="3" w:name="_Toc35393627"/>
    </w:p>
    <w:p w14:paraId="17FB2B9E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2.</w:t>
      </w:r>
      <w:bookmarkEnd w:id="3"/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凡对本次采购提出询问，请按以下方式联系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eastAsia="zh-CN"/>
        </w:rPr>
        <w:t>：</w:t>
      </w:r>
    </w:p>
    <w:p w14:paraId="53930B0F">
      <w:pPr>
        <w:jc w:val="left"/>
        <w:rPr>
          <w:rFonts w:hint="default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商务信息：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仲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老师021-3828470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7</w:t>
      </w:r>
    </w:p>
    <w:p w14:paraId="1CEF1F38">
      <w:pPr>
        <w:jc w:val="left"/>
        <w:rPr>
          <w:rFonts w:hint="default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技术信息：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鲁老师021-38284487</w:t>
      </w:r>
    </w:p>
    <w:p w14:paraId="52A47FAD">
      <w:pP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  <w:br w:type="page"/>
      </w:r>
    </w:p>
    <w:p w14:paraId="4B9C0EF3">
      <w:pPr>
        <w:jc w:val="center"/>
        <w:rPr>
          <w:rFonts w:hint="default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  <w:t>第二章 采购需求</w:t>
      </w:r>
    </w:p>
    <w:p w14:paraId="7DE6D34A">
      <w:pPr>
        <w:spacing w:line="240" w:lineRule="auto"/>
        <w:rPr>
          <w:rFonts w:hint="default" w:ascii="Times New Roman" w:hAnsi="Times New Roman" w:eastAsia="方正兰亭黑简体" w:cs="Times New Roman"/>
          <w:b/>
          <w:bCs/>
          <w:color w:val="auto"/>
          <w:sz w:val="22"/>
          <w:szCs w:val="22"/>
          <w:highlight w:val="none"/>
          <w:lang w:val="en-US" w:eastAsia="zh-CN"/>
        </w:rPr>
      </w:pPr>
      <w:r>
        <w:rPr>
          <w:rFonts w:hint="eastAsia" w:ascii="Times New Roman" w:hAnsi="Times New Roman" w:eastAsia="方正兰亭黑简体" w:cs="Times New Roman"/>
          <w:b/>
          <w:bCs/>
          <w:color w:val="auto"/>
          <w:sz w:val="22"/>
          <w:szCs w:val="22"/>
          <w:highlight w:val="none"/>
          <w:lang w:val="en-US" w:eastAsia="zh-CN"/>
        </w:rPr>
        <w:t>一、项目概况及设备清单</w:t>
      </w:r>
    </w:p>
    <w:p w14:paraId="5060F9B4">
      <w:pPr>
        <w:widowControl/>
        <w:spacing w:line="360" w:lineRule="auto"/>
        <w:ind w:firstLine="440" w:firstLineChars="200"/>
        <w:jc w:val="left"/>
        <w:rPr>
          <w:rFonts w:hint="eastAsia" w:ascii="Times New Roman" w:hAnsi="Times New Roman" w:eastAsia="方正兰亭黑简体" w:cs="Times New Roman"/>
          <w:color w:val="auto"/>
          <w:kern w:val="0"/>
          <w:sz w:val="22"/>
          <w:szCs w:val="22"/>
          <w:highlight w:val="none"/>
          <w:lang w:val="en-US" w:eastAsia="zh-CN"/>
          <w14:ligatures w14:val="none"/>
        </w:rPr>
      </w:pPr>
      <w:r>
        <w:rPr>
          <w:rFonts w:hint="eastAsia" w:ascii="Times New Roman" w:hAnsi="Times New Roman" w:eastAsia="方正兰亭黑简体" w:cs="Times New Roman"/>
          <w:color w:val="auto"/>
          <w:kern w:val="0"/>
          <w:sz w:val="22"/>
          <w:szCs w:val="22"/>
          <w:highlight w:val="none"/>
          <w14:ligatures w14:val="none"/>
        </w:rPr>
        <w:t>为了在完善和扩展校园数字化建设的基础上，推进智慧校园建设进程，以信息技术与教育教学融合，完善信息化基础设施以及支撑服务，满足广大师生对网络及应用的可用性和高体验要求，这些都对核心网络服务提出了更高要求，本项目将通过采购2台域名解析系统、构建我校智能解析、管理和运维平台。</w:t>
      </w:r>
    </w:p>
    <w:tbl>
      <w:tblPr>
        <w:tblStyle w:val="14"/>
        <w:tblW w:w="4991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8"/>
        <w:gridCol w:w="1718"/>
        <w:gridCol w:w="1266"/>
        <w:gridCol w:w="1071"/>
        <w:gridCol w:w="1140"/>
        <w:gridCol w:w="4031"/>
      </w:tblGrid>
      <w:tr w14:paraId="2089A3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" w:hRule="atLeast"/>
          <w:jc w:val="center"/>
        </w:trPr>
        <w:tc>
          <w:tcPr>
            <w:tcW w:w="361" w:type="pct"/>
            <w:vAlign w:val="center"/>
          </w:tcPr>
          <w:p w14:paraId="4A0CC746">
            <w:pPr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b/>
                <w:bCs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b/>
                <w:bCs/>
                <w:color w:val="auto"/>
                <w:sz w:val="22"/>
                <w:szCs w:val="22"/>
                <w:highlight w:val="none"/>
              </w:rPr>
              <w:t>序号</w:t>
            </w:r>
          </w:p>
        </w:tc>
        <w:tc>
          <w:tcPr>
            <w:tcW w:w="863" w:type="pct"/>
            <w:vAlign w:val="center"/>
          </w:tcPr>
          <w:p w14:paraId="2AAA0E72">
            <w:pPr>
              <w:widowControl/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b/>
                <w:bCs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b/>
                <w:bCs/>
                <w:color w:val="auto"/>
                <w:sz w:val="22"/>
                <w:szCs w:val="22"/>
                <w:highlight w:val="none"/>
              </w:rPr>
              <w:t>名称</w:t>
            </w:r>
          </w:p>
        </w:tc>
        <w:tc>
          <w:tcPr>
            <w:tcW w:w="636" w:type="pct"/>
            <w:vAlign w:val="center"/>
          </w:tcPr>
          <w:p w14:paraId="488F4414">
            <w:pPr>
              <w:widowControl/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b/>
                <w:bCs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b/>
                <w:bCs/>
                <w:color w:val="auto"/>
                <w:sz w:val="22"/>
                <w:szCs w:val="22"/>
                <w:highlight w:val="none"/>
              </w:rPr>
              <w:t>进口/国产</w:t>
            </w:r>
          </w:p>
        </w:tc>
        <w:tc>
          <w:tcPr>
            <w:tcW w:w="538" w:type="pct"/>
            <w:vAlign w:val="center"/>
          </w:tcPr>
          <w:p w14:paraId="58EB9F04">
            <w:pPr>
              <w:widowControl/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b/>
                <w:bCs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b/>
                <w:bCs/>
                <w:color w:val="auto"/>
                <w:sz w:val="22"/>
                <w:szCs w:val="22"/>
                <w:highlight w:val="none"/>
              </w:rPr>
              <w:t>单位</w:t>
            </w:r>
          </w:p>
        </w:tc>
        <w:tc>
          <w:tcPr>
            <w:tcW w:w="573" w:type="pct"/>
            <w:vAlign w:val="center"/>
          </w:tcPr>
          <w:p w14:paraId="0914152C">
            <w:pPr>
              <w:widowControl/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b/>
                <w:bCs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b/>
                <w:bCs/>
                <w:color w:val="auto"/>
                <w:sz w:val="22"/>
                <w:szCs w:val="22"/>
                <w:highlight w:val="none"/>
              </w:rPr>
              <w:t>数量</w:t>
            </w:r>
          </w:p>
        </w:tc>
        <w:tc>
          <w:tcPr>
            <w:tcW w:w="2025" w:type="pct"/>
            <w:vAlign w:val="center"/>
          </w:tcPr>
          <w:p w14:paraId="7FB6C949">
            <w:pPr>
              <w:widowControl/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b/>
                <w:bCs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b/>
                <w:bCs/>
                <w:color w:val="auto"/>
                <w:sz w:val="22"/>
                <w:szCs w:val="22"/>
                <w:highlight w:val="none"/>
              </w:rPr>
              <w:t>主要规格</w:t>
            </w:r>
          </w:p>
        </w:tc>
      </w:tr>
      <w:tr w14:paraId="7F2569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" w:hRule="atLeast"/>
          <w:jc w:val="center"/>
        </w:trPr>
        <w:tc>
          <w:tcPr>
            <w:tcW w:w="361" w:type="pct"/>
            <w:vAlign w:val="center"/>
          </w:tcPr>
          <w:p w14:paraId="506883AB">
            <w:pPr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1</w:t>
            </w:r>
          </w:p>
        </w:tc>
        <w:tc>
          <w:tcPr>
            <w:tcW w:w="863" w:type="pct"/>
            <w:vAlign w:val="center"/>
          </w:tcPr>
          <w:p w14:paraId="5917B6CC">
            <w:pPr>
              <w:widowControl/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域名解析系统</w:t>
            </w:r>
          </w:p>
        </w:tc>
        <w:tc>
          <w:tcPr>
            <w:tcW w:w="636" w:type="pct"/>
            <w:vAlign w:val="center"/>
          </w:tcPr>
          <w:p w14:paraId="392E94EE">
            <w:pPr>
              <w:widowControl/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国产</w:t>
            </w:r>
          </w:p>
        </w:tc>
        <w:tc>
          <w:tcPr>
            <w:tcW w:w="538" w:type="pct"/>
            <w:vAlign w:val="center"/>
          </w:tcPr>
          <w:p w14:paraId="18809496">
            <w:pPr>
              <w:widowControl/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套</w:t>
            </w:r>
          </w:p>
        </w:tc>
        <w:tc>
          <w:tcPr>
            <w:tcW w:w="573" w:type="pct"/>
            <w:vAlign w:val="center"/>
          </w:tcPr>
          <w:p w14:paraId="78FCCCBE">
            <w:pPr>
              <w:widowControl/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2</w:t>
            </w:r>
          </w:p>
        </w:tc>
        <w:tc>
          <w:tcPr>
            <w:tcW w:w="2025" w:type="pct"/>
          </w:tcPr>
          <w:p w14:paraId="70A4B83A">
            <w:pPr>
              <w:widowControl/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2"/>
                <w:szCs w:val="22"/>
                <w:highlight w:val="none"/>
                <w14:ligatures w14:val="none"/>
              </w:rPr>
              <w:t>专用标准机架式软硬件一体化设备</w:t>
            </w:r>
            <w:r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2"/>
                <w:szCs w:val="22"/>
                <w:highlight w:val="none"/>
                <w:lang w:eastAsia="zh-CN"/>
                <w14:ligatures w14:val="none"/>
              </w:rPr>
              <w:t>；</w:t>
            </w:r>
            <w:r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2"/>
                <w:szCs w:val="22"/>
                <w:highlight w:val="none"/>
                <w:lang w:val="en-US" w:eastAsia="zh-CN"/>
                <w14:ligatures w14:val="none"/>
              </w:rPr>
              <w:t>国产处理器与国产操作系统；QPS≥5万；</w:t>
            </w:r>
          </w:p>
        </w:tc>
      </w:tr>
    </w:tbl>
    <w:p w14:paraId="7F052E1A">
      <w:pPr>
        <w:spacing w:line="240" w:lineRule="auto"/>
        <w:rPr>
          <w:rFonts w:hint="eastAsia" w:ascii="Times New Roman" w:hAnsi="Times New Roman" w:eastAsia="方正兰亭黑简体" w:cs="Times New Roman"/>
          <w:b/>
          <w:bCs/>
          <w:color w:val="auto"/>
          <w:sz w:val="22"/>
          <w:szCs w:val="22"/>
          <w:highlight w:val="none"/>
          <w:lang w:val="en-US" w:eastAsia="zh-CN"/>
        </w:rPr>
      </w:pPr>
    </w:p>
    <w:p w14:paraId="75A7C11C">
      <w:pPr>
        <w:spacing w:line="240" w:lineRule="auto"/>
        <w:rPr>
          <w:rFonts w:hint="default" w:ascii="Times New Roman" w:hAnsi="Times New Roman" w:eastAsia="方正兰亭黑简体" w:cs="Times New Roman"/>
          <w:b/>
          <w:bCs/>
          <w:color w:val="auto"/>
          <w:sz w:val="22"/>
          <w:szCs w:val="22"/>
          <w:highlight w:val="none"/>
          <w:lang w:val="en-US" w:eastAsia="zh-CN"/>
        </w:rPr>
      </w:pPr>
      <w:r>
        <w:rPr>
          <w:rFonts w:hint="eastAsia" w:ascii="Times New Roman" w:hAnsi="Times New Roman" w:eastAsia="方正兰亭黑简体" w:cs="Times New Roman"/>
          <w:b/>
          <w:bCs/>
          <w:color w:val="auto"/>
          <w:sz w:val="22"/>
          <w:szCs w:val="22"/>
          <w:highlight w:val="none"/>
          <w:lang w:val="en-US" w:eastAsia="zh-CN"/>
        </w:rPr>
        <w:t>二、技术参数</w:t>
      </w:r>
    </w:p>
    <w:tbl>
      <w:tblPr>
        <w:tblStyle w:val="14"/>
        <w:tblW w:w="4993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0"/>
        <w:gridCol w:w="1441"/>
        <w:gridCol w:w="918"/>
        <w:gridCol w:w="5617"/>
        <w:gridCol w:w="1142"/>
      </w:tblGrid>
      <w:tr w14:paraId="0A5C16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417" w:type="pct"/>
            <w:vAlign w:val="center"/>
          </w:tcPr>
          <w:p w14:paraId="4D172C69">
            <w:pPr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b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b/>
                <w:color w:val="auto"/>
                <w:sz w:val="21"/>
                <w:szCs w:val="21"/>
                <w:highlight w:val="none"/>
              </w:rPr>
              <w:t>序号</w:t>
            </w:r>
          </w:p>
        </w:tc>
        <w:tc>
          <w:tcPr>
            <w:tcW w:w="724" w:type="pct"/>
            <w:vAlign w:val="center"/>
          </w:tcPr>
          <w:p w14:paraId="4D4125BB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b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b/>
                <w:color w:val="auto"/>
                <w:sz w:val="21"/>
                <w:szCs w:val="21"/>
                <w:highlight w:val="none"/>
              </w:rPr>
              <w:t>指标名称</w:t>
            </w:r>
          </w:p>
        </w:tc>
        <w:tc>
          <w:tcPr>
            <w:tcW w:w="461" w:type="pct"/>
            <w:vAlign w:val="center"/>
          </w:tcPr>
          <w:p w14:paraId="16E86100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b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b/>
                <w:color w:val="auto"/>
                <w:sz w:val="21"/>
                <w:szCs w:val="21"/>
                <w:highlight w:val="none"/>
              </w:rPr>
              <w:t>是否核心指标</w:t>
            </w:r>
          </w:p>
        </w:tc>
        <w:tc>
          <w:tcPr>
            <w:tcW w:w="2822" w:type="pct"/>
            <w:vAlign w:val="center"/>
          </w:tcPr>
          <w:p w14:paraId="09E1FA1B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b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b/>
                <w:color w:val="auto"/>
                <w:sz w:val="21"/>
                <w:szCs w:val="21"/>
                <w:highlight w:val="none"/>
              </w:rPr>
              <w:t>指标要求</w:t>
            </w:r>
          </w:p>
        </w:tc>
        <w:tc>
          <w:tcPr>
            <w:tcW w:w="574" w:type="pct"/>
            <w:vAlign w:val="center"/>
          </w:tcPr>
          <w:p w14:paraId="4C055152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b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b/>
                <w:color w:val="auto"/>
                <w:sz w:val="21"/>
                <w:szCs w:val="21"/>
                <w:highlight w:val="none"/>
              </w:rPr>
              <w:t>是否需要</w:t>
            </w:r>
          </w:p>
          <w:p w14:paraId="0B11E6BB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b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b/>
                <w:color w:val="auto"/>
                <w:sz w:val="21"/>
                <w:szCs w:val="21"/>
                <w:highlight w:val="none"/>
              </w:rPr>
              <w:t>证明材料</w:t>
            </w:r>
          </w:p>
        </w:tc>
      </w:tr>
      <w:tr w14:paraId="4CE69E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417" w:type="pct"/>
            <w:vAlign w:val="center"/>
          </w:tcPr>
          <w:p w14:paraId="2447FCA3">
            <w:pPr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  <w:t>1</w:t>
            </w:r>
          </w:p>
        </w:tc>
        <w:tc>
          <w:tcPr>
            <w:tcW w:w="724" w:type="pct"/>
            <w:vAlign w:val="center"/>
          </w:tcPr>
          <w:p w14:paraId="20D166AB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硬件平台</w:t>
            </w:r>
          </w:p>
        </w:tc>
        <w:tc>
          <w:tcPr>
            <w:tcW w:w="461" w:type="pct"/>
            <w:vAlign w:val="center"/>
          </w:tcPr>
          <w:p w14:paraId="15FEAAEE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是</w:t>
            </w:r>
          </w:p>
        </w:tc>
        <w:tc>
          <w:tcPr>
            <w:tcW w:w="2822" w:type="pct"/>
            <w:vAlign w:val="center"/>
          </w:tcPr>
          <w:p w14:paraId="34A4A9AF">
            <w:pPr>
              <w:widowControl/>
              <w:spacing w:line="240" w:lineRule="auto"/>
              <w:jc w:val="left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1"/>
                <w:szCs w:val="21"/>
                <w:highlight w:val="none"/>
                <w14:ligatures w14:val="none"/>
              </w:rPr>
              <w:t>专用标准机架式软硬件一体化设备</w:t>
            </w:r>
          </w:p>
        </w:tc>
        <w:tc>
          <w:tcPr>
            <w:tcW w:w="574" w:type="pct"/>
            <w:vAlign w:val="center"/>
          </w:tcPr>
          <w:p w14:paraId="2D05E101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是</w:t>
            </w:r>
          </w:p>
        </w:tc>
      </w:tr>
      <w:tr w14:paraId="3A2666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417" w:type="pct"/>
            <w:vAlign w:val="center"/>
          </w:tcPr>
          <w:p w14:paraId="20428B89">
            <w:pPr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  <w:t>2</w:t>
            </w:r>
          </w:p>
        </w:tc>
        <w:tc>
          <w:tcPr>
            <w:tcW w:w="724" w:type="pct"/>
            <w:vAlign w:val="center"/>
          </w:tcPr>
          <w:p w14:paraId="4D212B59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接口</w:t>
            </w:r>
          </w:p>
        </w:tc>
        <w:tc>
          <w:tcPr>
            <w:tcW w:w="461" w:type="pct"/>
            <w:vAlign w:val="center"/>
          </w:tcPr>
          <w:p w14:paraId="18A4845F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lang w:val="en-US" w:eastAsia="zh-CN"/>
              </w:rPr>
            </w:pPr>
          </w:p>
        </w:tc>
        <w:tc>
          <w:tcPr>
            <w:tcW w:w="2822" w:type="pct"/>
            <w:vAlign w:val="center"/>
          </w:tcPr>
          <w:p w14:paraId="060F7019">
            <w:pPr>
              <w:widowControl/>
              <w:spacing w:line="240" w:lineRule="auto"/>
              <w:jc w:val="left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1"/>
                <w:szCs w:val="21"/>
                <w:highlight w:val="none"/>
                <w14:ligatures w14:val="none"/>
              </w:rPr>
              <w:t>≥6个10/100/1000M电口，可扩展支持万兆SFP+光口</w:t>
            </w:r>
          </w:p>
        </w:tc>
        <w:tc>
          <w:tcPr>
            <w:tcW w:w="574" w:type="pct"/>
            <w:vAlign w:val="center"/>
          </w:tcPr>
          <w:p w14:paraId="0067E4EE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</w:pPr>
          </w:p>
        </w:tc>
      </w:tr>
      <w:tr w14:paraId="634B64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417" w:type="pct"/>
            <w:vAlign w:val="center"/>
          </w:tcPr>
          <w:p w14:paraId="1F70F2B9">
            <w:pPr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  <w:t>3</w:t>
            </w:r>
          </w:p>
        </w:tc>
        <w:tc>
          <w:tcPr>
            <w:tcW w:w="724" w:type="pct"/>
            <w:vAlign w:val="center"/>
          </w:tcPr>
          <w:p w14:paraId="697DC5AE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  <w:t>处理器</w:t>
            </w:r>
          </w:p>
        </w:tc>
        <w:tc>
          <w:tcPr>
            <w:tcW w:w="461" w:type="pct"/>
            <w:vAlign w:val="center"/>
          </w:tcPr>
          <w:p w14:paraId="11134B17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2822" w:type="pct"/>
            <w:vAlign w:val="center"/>
          </w:tcPr>
          <w:p w14:paraId="111C3798">
            <w:pPr>
              <w:widowControl/>
              <w:spacing w:line="240" w:lineRule="auto"/>
              <w:jc w:val="left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1"/>
                <w:szCs w:val="21"/>
                <w:highlight w:val="none"/>
                <w14:ligatures w14:val="none"/>
              </w:rPr>
              <w:t>国产处理器</w:t>
            </w:r>
          </w:p>
        </w:tc>
        <w:tc>
          <w:tcPr>
            <w:tcW w:w="574" w:type="pct"/>
            <w:vAlign w:val="center"/>
          </w:tcPr>
          <w:p w14:paraId="72E4528A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</w:pPr>
          </w:p>
        </w:tc>
      </w:tr>
      <w:tr w14:paraId="596B15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417" w:type="pct"/>
            <w:vAlign w:val="center"/>
          </w:tcPr>
          <w:p w14:paraId="2A966E72">
            <w:pPr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4</w:t>
            </w:r>
          </w:p>
        </w:tc>
        <w:tc>
          <w:tcPr>
            <w:tcW w:w="724" w:type="pct"/>
            <w:shd w:val="clear" w:color="auto" w:fill="FFFFFF" w:themeFill="background1"/>
            <w:vAlign w:val="center"/>
          </w:tcPr>
          <w:p w14:paraId="2A7E6943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  <w14:ligatures w14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1"/>
                <w:szCs w:val="21"/>
                <w:highlight w:val="none"/>
                <w14:ligatures w14:val="none"/>
              </w:rPr>
              <w:t>操作系统</w:t>
            </w:r>
          </w:p>
        </w:tc>
        <w:tc>
          <w:tcPr>
            <w:tcW w:w="461" w:type="pct"/>
            <w:vAlign w:val="center"/>
          </w:tcPr>
          <w:p w14:paraId="000F88D7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是</w:t>
            </w:r>
          </w:p>
        </w:tc>
        <w:tc>
          <w:tcPr>
            <w:tcW w:w="2822" w:type="pct"/>
            <w:shd w:val="clear" w:color="auto" w:fill="FFFFFF" w:themeFill="background1"/>
            <w:vAlign w:val="center"/>
          </w:tcPr>
          <w:p w14:paraId="3BA5FDA0">
            <w:pPr>
              <w:widowControl/>
              <w:spacing w:line="240" w:lineRule="auto"/>
              <w:jc w:val="left"/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  <w14:ligatures w14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1"/>
                <w:szCs w:val="21"/>
                <w:highlight w:val="none"/>
                <w14:ligatures w14:val="none"/>
              </w:rPr>
              <w:t>国产商用服务器操作系统</w:t>
            </w:r>
          </w:p>
        </w:tc>
        <w:tc>
          <w:tcPr>
            <w:tcW w:w="574" w:type="pct"/>
            <w:vAlign w:val="center"/>
          </w:tcPr>
          <w:p w14:paraId="332B6137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是</w:t>
            </w:r>
          </w:p>
        </w:tc>
      </w:tr>
      <w:tr w14:paraId="161089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417" w:type="pct"/>
            <w:vAlign w:val="center"/>
          </w:tcPr>
          <w:p w14:paraId="43E11B19">
            <w:pPr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5</w:t>
            </w:r>
          </w:p>
        </w:tc>
        <w:tc>
          <w:tcPr>
            <w:tcW w:w="724" w:type="pct"/>
            <w:shd w:val="clear" w:color="auto" w:fill="FFFFFF" w:themeFill="background1"/>
            <w:vAlign w:val="center"/>
          </w:tcPr>
          <w:p w14:paraId="416309E8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  <w14:ligatures w14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1"/>
                <w:szCs w:val="21"/>
                <w:highlight w:val="none"/>
                <w14:ligatures w14:val="none"/>
              </w:rPr>
              <w:t>硬盘</w:t>
            </w:r>
          </w:p>
        </w:tc>
        <w:tc>
          <w:tcPr>
            <w:tcW w:w="461" w:type="pct"/>
            <w:vAlign w:val="center"/>
          </w:tcPr>
          <w:p w14:paraId="65D86F86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2822" w:type="pct"/>
            <w:shd w:val="clear" w:color="auto" w:fill="FFFFFF" w:themeFill="background1"/>
            <w:vAlign w:val="center"/>
          </w:tcPr>
          <w:p w14:paraId="1F9A7B42">
            <w:pPr>
              <w:widowControl/>
              <w:spacing w:line="240" w:lineRule="auto"/>
              <w:jc w:val="left"/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  <w14:ligatures w14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1"/>
                <w:szCs w:val="21"/>
                <w:highlight w:val="none"/>
                <w14:ligatures w14:val="none"/>
              </w:rPr>
              <w:t>≥2T</w:t>
            </w:r>
          </w:p>
        </w:tc>
        <w:tc>
          <w:tcPr>
            <w:tcW w:w="574" w:type="pct"/>
            <w:vAlign w:val="center"/>
          </w:tcPr>
          <w:p w14:paraId="1A64CE31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</w:pPr>
          </w:p>
        </w:tc>
      </w:tr>
      <w:tr w14:paraId="364086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0" w:hRule="atLeast"/>
          <w:jc w:val="center"/>
        </w:trPr>
        <w:tc>
          <w:tcPr>
            <w:tcW w:w="417" w:type="pct"/>
            <w:vAlign w:val="center"/>
          </w:tcPr>
          <w:p w14:paraId="4F166EEA">
            <w:pPr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6</w:t>
            </w:r>
          </w:p>
        </w:tc>
        <w:tc>
          <w:tcPr>
            <w:tcW w:w="724" w:type="pct"/>
            <w:shd w:val="clear" w:color="auto" w:fill="FFFFFF" w:themeFill="background1"/>
            <w:vAlign w:val="center"/>
          </w:tcPr>
          <w:p w14:paraId="7A3D592A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  <w14:ligatures w14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1"/>
                <w:szCs w:val="21"/>
                <w:highlight w:val="none"/>
                <w14:ligatures w14:val="none"/>
              </w:rPr>
              <w:t>电源</w:t>
            </w:r>
          </w:p>
        </w:tc>
        <w:tc>
          <w:tcPr>
            <w:tcW w:w="461" w:type="pct"/>
            <w:vAlign w:val="center"/>
          </w:tcPr>
          <w:p w14:paraId="237DC459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2822" w:type="pct"/>
            <w:shd w:val="clear" w:color="auto" w:fill="FFFFFF" w:themeFill="background1"/>
            <w:vAlign w:val="center"/>
          </w:tcPr>
          <w:p w14:paraId="06B5E915">
            <w:pPr>
              <w:widowControl/>
              <w:spacing w:line="240" w:lineRule="auto"/>
              <w:jc w:val="left"/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  <w14:ligatures w14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1"/>
                <w:szCs w:val="21"/>
                <w:highlight w:val="none"/>
                <w14:ligatures w14:val="none"/>
              </w:rPr>
              <w:t>冗余电源</w:t>
            </w:r>
          </w:p>
        </w:tc>
        <w:tc>
          <w:tcPr>
            <w:tcW w:w="574" w:type="pct"/>
            <w:vAlign w:val="center"/>
          </w:tcPr>
          <w:p w14:paraId="2C6EA84E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</w:pPr>
          </w:p>
        </w:tc>
      </w:tr>
      <w:tr w14:paraId="42463D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417" w:type="pct"/>
            <w:vAlign w:val="center"/>
          </w:tcPr>
          <w:p w14:paraId="52F94DD5">
            <w:pPr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7</w:t>
            </w:r>
          </w:p>
        </w:tc>
        <w:tc>
          <w:tcPr>
            <w:tcW w:w="724" w:type="pct"/>
            <w:shd w:val="clear" w:color="auto" w:fill="FFFFFF" w:themeFill="background1"/>
            <w:vAlign w:val="center"/>
          </w:tcPr>
          <w:p w14:paraId="43312053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  <w14:ligatures w14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1"/>
                <w:szCs w:val="21"/>
                <w:highlight w:val="none"/>
                <w14:ligatures w14:val="none"/>
              </w:rPr>
              <w:t>QPS指标</w:t>
            </w:r>
          </w:p>
        </w:tc>
        <w:tc>
          <w:tcPr>
            <w:tcW w:w="461" w:type="pct"/>
            <w:vAlign w:val="center"/>
          </w:tcPr>
          <w:p w14:paraId="38B5FE79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是</w:t>
            </w:r>
          </w:p>
        </w:tc>
        <w:tc>
          <w:tcPr>
            <w:tcW w:w="2822" w:type="pct"/>
            <w:shd w:val="clear" w:color="auto" w:fill="FFFFFF" w:themeFill="background1"/>
            <w:vAlign w:val="center"/>
          </w:tcPr>
          <w:p w14:paraId="6A11F253">
            <w:pPr>
              <w:widowControl/>
              <w:spacing w:line="240" w:lineRule="auto"/>
              <w:jc w:val="left"/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  <w14:ligatures w14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1"/>
                <w:szCs w:val="21"/>
                <w:highlight w:val="none"/>
                <w14:ligatures w14:val="none"/>
              </w:rPr>
              <w:t>≥5万QPS；</w:t>
            </w:r>
          </w:p>
        </w:tc>
        <w:tc>
          <w:tcPr>
            <w:tcW w:w="574" w:type="pct"/>
            <w:vAlign w:val="center"/>
          </w:tcPr>
          <w:p w14:paraId="5D47D8C4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是</w:t>
            </w:r>
          </w:p>
        </w:tc>
      </w:tr>
      <w:tr w14:paraId="460BB1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417" w:type="pct"/>
            <w:vAlign w:val="center"/>
          </w:tcPr>
          <w:p w14:paraId="0116F29D">
            <w:pPr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8</w:t>
            </w:r>
          </w:p>
        </w:tc>
        <w:tc>
          <w:tcPr>
            <w:tcW w:w="724" w:type="pct"/>
            <w:shd w:val="clear" w:color="auto" w:fill="FFFFFF" w:themeFill="background1"/>
            <w:vAlign w:val="center"/>
          </w:tcPr>
          <w:p w14:paraId="708B3D55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1"/>
                <w:szCs w:val="21"/>
                <w:highlight w:val="none"/>
                <w14:ligatures w14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1"/>
                <w:szCs w:val="21"/>
                <w:highlight w:val="none"/>
                <w14:ligatures w14:val="none"/>
              </w:rPr>
              <w:t>支持标准</w:t>
            </w:r>
          </w:p>
          <w:p w14:paraId="2BE6BE52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  <w14:ligatures w14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1"/>
                <w:szCs w:val="21"/>
                <w:highlight w:val="none"/>
                <w14:ligatures w14:val="none"/>
              </w:rPr>
              <w:t>DNS协议</w:t>
            </w:r>
          </w:p>
        </w:tc>
        <w:tc>
          <w:tcPr>
            <w:tcW w:w="461" w:type="pct"/>
            <w:vAlign w:val="center"/>
          </w:tcPr>
          <w:p w14:paraId="3821801D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2822" w:type="pct"/>
            <w:shd w:val="clear" w:color="auto" w:fill="FFFFFF" w:themeFill="background1"/>
            <w:vAlign w:val="center"/>
          </w:tcPr>
          <w:p w14:paraId="6F706BE1">
            <w:pPr>
              <w:widowControl/>
              <w:spacing w:line="240" w:lineRule="auto"/>
              <w:jc w:val="left"/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  <w14:ligatures w14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1"/>
                <w:szCs w:val="21"/>
                <w:highlight w:val="none"/>
                <w14:ligatures w14:val="none"/>
              </w:rPr>
              <w:t>支持标准DNS协议RFC1034、1035，支持扩展DNS协议RFC2672、2782、3596；记录类型支持A、AAAA、PTR、CNAME、MX、NS、TXT、SOA等类型；</w:t>
            </w:r>
          </w:p>
        </w:tc>
        <w:tc>
          <w:tcPr>
            <w:tcW w:w="574" w:type="pct"/>
            <w:vAlign w:val="center"/>
          </w:tcPr>
          <w:p w14:paraId="20935F20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</w:pPr>
          </w:p>
        </w:tc>
      </w:tr>
      <w:tr w14:paraId="7C1A4B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417" w:type="pct"/>
            <w:vAlign w:val="center"/>
          </w:tcPr>
          <w:p w14:paraId="35C6EE43">
            <w:pPr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9</w:t>
            </w:r>
          </w:p>
        </w:tc>
        <w:tc>
          <w:tcPr>
            <w:tcW w:w="724" w:type="pct"/>
            <w:shd w:val="clear" w:color="auto" w:fill="FFFFFF" w:themeFill="background1"/>
            <w:vAlign w:val="center"/>
          </w:tcPr>
          <w:p w14:paraId="436D670A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  <w14:ligatures w14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1"/>
                <w:szCs w:val="21"/>
                <w:highlight w:val="none"/>
                <w14:ligatures w14:val="none"/>
              </w:rPr>
              <w:t>缓存管理</w:t>
            </w:r>
          </w:p>
        </w:tc>
        <w:tc>
          <w:tcPr>
            <w:tcW w:w="461" w:type="pct"/>
            <w:vAlign w:val="center"/>
          </w:tcPr>
          <w:p w14:paraId="2253C72F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2822" w:type="pct"/>
            <w:shd w:val="clear" w:color="auto" w:fill="FFFFFF" w:themeFill="background1"/>
            <w:vAlign w:val="center"/>
          </w:tcPr>
          <w:p w14:paraId="77696925">
            <w:pPr>
              <w:widowControl/>
              <w:spacing w:line="240" w:lineRule="auto"/>
              <w:jc w:val="left"/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  <w14:ligatures w14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1"/>
                <w:szCs w:val="21"/>
                <w:highlight w:val="none"/>
                <w14:ligatures w14:val="none"/>
              </w:rPr>
              <w:t>具备缓存管理技术，支持不同视图对应不同的缓存模块，支持缓存模块容量大小、缓存TTL的设置，支持缓存内容的查询、删除功能，并可以通过前台立即刷新对应的缓存结果。</w:t>
            </w:r>
          </w:p>
        </w:tc>
        <w:tc>
          <w:tcPr>
            <w:tcW w:w="574" w:type="pct"/>
            <w:vAlign w:val="center"/>
          </w:tcPr>
          <w:p w14:paraId="78C4EB57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</w:pPr>
          </w:p>
        </w:tc>
      </w:tr>
      <w:tr w14:paraId="30E6E7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417" w:type="pct"/>
            <w:vAlign w:val="center"/>
          </w:tcPr>
          <w:p w14:paraId="703E82E8">
            <w:pPr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10</w:t>
            </w:r>
          </w:p>
        </w:tc>
        <w:tc>
          <w:tcPr>
            <w:tcW w:w="724" w:type="pct"/>
            <w:shd w:val="clear" w:color="auto" w:fill="FFFFFF" w:themeFill="background1"/>
            <w:vAlign w:val="center"/>
          </w:tcPr>
          <w:p w14:paraId="6DF52E36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  <w14:ligatures w14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1"/>
                <w:szCs w:val="21"/>
                <w:highlight w:val="none"/>
                <w14:ligatures w14:val="none"/>
              </w:rPr>
              <w:t>按比例负载流量</w:t>
            </w:r>
          </w:p>
        </w:tc>
        <w:tc>
          <w:tcPr>
            <w:tcW w:w="461" w:type="pct"/>
            <w:vAlign w:val="center"/>
          </w:tcPr>
          <w:p w14:paraId="00109E14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2822" w:type="pct"/>
            <w:shd w:val="clear" w:color="auto" w:fill="FFFFFF" w:themeFill="background1"/>
            <w:vAlign w:val="center"/>
          </w:tcPr>
          <w:p w14:paraId="4A0DC365">
            <w:pPr>
              <w:widowControl/>
              <w:spacing w:line="240" w:lineRule="auto"/>
              <w:jc w:val="left"/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  <w14:ligatures w14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1"/>
                <w:szCs w:val="21"/>
                <w:highlight w:val="none"/>
                <w14:ligatures w14:val="none"/>
              </w:rPr>
              <w:t>支持与出口防火墙联动，实时读取防火墙带宽使用情况，按照出口带宽比例调度递归查询，引导出口流量。</w:t>
            </w:r>
          </w:p>
        </w:tc>
        <w:tc>
          <w:tcPr>
            <w:tcW w:w="574" w:type="pct"/>
            <w:vAlign w:val="center"/>
          </w:tcPr>
          <w:p w14:paraId="2CBC4697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</w:pPr>
          </w:p>
        </w:tc>
      </w:tr>
      <w:tr w14:paraId="33B3FA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417" w:type="pct"/>
            <w:vAlign w:val="center"/>
          </w:tcPr>
          <w:p w14:paraId="2500F69D">
            <w:pPr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11</w:t>
            </w:r>
          </w:p>
        </w:tc>
        <w:tc>
          <w:tcPr>
            <w:tcW w:w="724" w:type="pct"/>
            <w:shd w:val="clear" w:color="auto" w:fill="FFFFFF" w:themeFill="background1"/>
            <w:vAlign w:val="center"/>
          </w:tcPr>
          <w:p w14:paraId="27103E36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  <w14:ligatures w14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1"/>
                <w:szCs w:val="21"/>
                <w:highlight w:val="none"/>
                <w14:ligatures w14:val="none"/>
              </w:rPr>
              <w:t>URL转发</w:t>
            </w:r>
          </w:p>
        </w:tc>
        <w:tc>
          <w:tcPr>
            <w:tcW w:w="461" w:type="pct"/>
            <w:vAlign w:val="center"/>
          </w:tcPr>
          <w:p w14:paraId="0C799E08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2822" w:type="pct"/>
            <w:shd w:val="clear" w:color="auto" w:fill="FFFFFF" w:themeFill="background1"/>
            <w:vAlign w:val="center"/>
          </w:tcPr>
          <w:p w14:paraId="74EE86EC">
            <w:pPr>
              <w:widowControl/>
              <w:spacing w:line="240" w:lineRule="auto"/>
              <w:jc w:val="left"/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  <w14:ligatures w14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1"/>
                <w:szCs w:val="21"/>
                <w:highlight w:val="none"/>
                <w14:ligatures w14:val="none"/>
              </w:rPr>
              <w:t>支持URL转发能力，可将一个域名请求转换为一个特定的URL地址；</w:t>
            </w:r>
          </w:p>
        </w:tc>
        <w:tc>
          <w:tcPr>
            <w:tcW w:w="574" w:type="pct"/>
            <w:vAlign w:val="center"/>
          </w:tcPr>
          <w:p w14:paraId="5863347E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</w:pPr>
          </w:p>
        </w:tc>
      </w:tr>
      <w:tr w14:paraId="56C886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417" w:type="pct"/>
            <w:vAlign w:val="center"/>
          </w:tcPr>
          <w:p w14:paraId="668F9FF9">
            <w:pPr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12</w:t>
            </w:r>
          </w:p>
        </w:tc>
        <w:tc>
          <w:tcPr>
            <w:tcW w:w="724" w:type="pct"/>
            <w:shd w:val="clear" w:color="auto" w:fill="FFFFFF" w:themeFill="background1"/>
            <w:vAlign w:val="center"/>
          </w:tcPr>
          <w:p w14:paraId="0C0638E3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  <w14:ligatures w14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1"/>
                <w:szCs w:val="21"/>
                <w:highlight w:val="none"/>
                <w14:ligatures w14:val="none"/>
              </w:rPr>
              <w:t>内置域名库</w:t>
            </w:r>
          </w:p>
        </w:tc>
        <w:tc>
          <w:tcPr>
            <w:tcW w:w="461" w:type="pct"/>
            <w:vAlign w:val="center"/>
          </w:tcPr>
          <w:p w14:paraId="106BBB1F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2822" w:type="pct"/>
            <w:shd w:val="clear" w:color="auto" w:fill="FFFFFF" w:themeFill="background1"/>
            <w:vAlign w:val="center"/>
          </w:tcPr>
          <w:p w14:paraId="2F3B9AB8">
            <w:pPr>
              <w:widowControl/>
              <w:spacing w:line="240" w:lineRule="auto"/>
              <w:jc w:val="left"/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  <w14:ligatures w14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1"/>
                <w:szCs w:val="21"/>
                <w:highlight w:val="none"/>
                <w14:ligatures w14:val="none"/>
              </w:rPr>
              <w:t>▲内置域名库包括但不限于游戏网站、视频动漫、购物网站、下载网站、新闻媒体、网银、国际域名和教育网资源等，同时域名库可进行主动编辑和更新升级；可以通过库调节流量，将不同网站应用类别的应调配到特定出口（提供产品相关功能截图）</w:t>
            </w:r>
            <w:r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1"/>
                <w:szCs w:val="21"/>
                <w:highlight w:val="none"/>
                <w14:ligatures w14:val="none"/>
              </w:rPr>
              <w:br w:type="textWrapping"/>
            </w:r>
            <w:r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1"/>
                <w:szCs w:val="21"/>
                <w:highlight w:val="none"/>
                <w14:ligatures w14:val="none"/>
              </w:rPr>
              <w:t>支持100万自定义域名库。</w:t>
            </w:r>
          </w:p>
        </w:tc>
        <w:tc>
          <w:tcPr>
            <w:tcW w:w="574" w:type="pct"/>
            <w:vAlign w:val="center"/>
          </w:tcPr>
          <w:p w14:paraId="7EA74C32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是</w:t>
            </w:r>
          </w:p>
        </w:tc>
      </w:tr>
      <w:tr w14:paraId="2B60C5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417" w:type="pct"/>
            <w:vAlign w:val="center"/>
          </w:tcPr>
          <w:p w14:paraId="44A83370">
            <w:pPr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13</w:t>
            </w:r>
          </w:p>
        </w:tc>
        <w:tc>
          <w:tcPr>
            <w:tcW w:w="724" w:type="pct"/>
            <w:shd w:val="clear" w:color="auto" w:fill="FFFFFF" w:themeFill="background1"/>
            <w:vAlign w:val="center"/>
          </w:tcPr>
          <w:p w14:paraId="045B8130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  <w14:ligatures w14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1"/>
                <w:szCs w:val="21"/>
                <w:highlight w:val="none"/>
                <w14:ligatures w14:val="none"/>
              </w:rPr>
              <w:t>域名请求转发</w:t>
            </w:r>
          </w:p>
        </w:tc>
        <w:tc>
          <w:tcPr>
            <w:tcW w:w="461" w:type="pct"/>
            <w:vAlign w:val="center"/>
          </w:tcPr>
          <w:p w14:paraId="2FF8F2E7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2822" w:type="pct"/>
            <w:shd w:val="clear" w:color="auto" w:fill="FFFFFF" w:themeFill="background1"/>
            <w:vAlign w:val="center"/>
          </w:tcPr>
          <w:p w14:paraId="24EF356A">
            <w:pPr>
              <w:widowControl/>
              <w:spacing w:line="240" w:lineRule="auto"/>
              <w:jc w:val="left"/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  <w14:ligatures w14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1"/>
                <w:szCs w:val="21"/>
                <w:highlight w:val="none"/>
                <w14:ligatures w14:val="none"/>
              </w:rPr>
              <w:t>▲支持First/RTT、First/Order、Only/RTT、Only/Order、No、First/WRR和Only/WRR的转发方式；支持对Forward服务器进行健康检查</w:t>
            </w:r>
          </w:p>
        </w:tc>
        <w:tc>
          <w:tcPr>
            <w:tcW w:w="574" w:type="pct"/>
            <w:vAlign w:val="center"/>
          </w:tcPr>
          <w:p w14:paraId="53305B0F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是</w:t>
            </w:r>
          </w:p>
        </w:tc>
      </w:tr>
      <w:tr w14:paraId="2F8458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417" w:type="pct"/>
            <w:vAlign w:val="center"/>
          </w:tcPr>
          <w:p w14:paraId="6FEFE0DD">
            <w:pPr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14</w:t>
            </w:r>
          </w:p>
        </w:tc>
        <w:tc>
          <w:tcPr>
            <w:tcW w:w="724" w:type="pct"/>
            <w:shd w:val="clear" w:color="auto" w:fill="FFFFFF" w:themeFill="background1"/>
            <w:vAlign w:val="center"/>
          </w:tcPr>
          <w:p w14:paraId="09DA7193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  <w14:ligatures w14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1"/>
                <w:szCs w:val="21"/>
                <w:highlight w:val="none"/>
                <w14:ligatures w14:val="none"/>
              </w:rPr>
              <w:t>最小应答</w:t>
            </w:r>
          </w:p>
        </w:tc>
        <w:tc>
          <w:tcPr>
            <w:tcW w:w="461" w:type="pct"/>
            <w:vAlign w:val="center"/>
          </w:tcPr>
          <w:p w14:paraId="67B3F080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2822" w:type="pct"/>
            <w:shd w:val="clear" w:color="auto" w:fill="FFFFFF" w:themeFill="background1"/>
            <w:vAlign w:val="center"/>
          </w:tcPr>
          <w:p w14:paraId="38AA9F2D">
            <w:pPr>
              <w:widowControl/>
              <w:spacing w:line="240" w:lineRule="auto"/>
              <w:jc w:val="left"/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  <w14:ligatures w14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1"/>
                <w:szCs w:val="21"/>
                <w:highlight w:val="none"/>
                <w14:ligatures w14:val="none"/>
              </w:rPr>
              <w:t>支持全局开启解析最小应答策略，无需对某个视图单独操作；</w:t>
            </w:r>
          </w:p>
        </w:tc>
        <w:tc>
          <w:tcPr>
            <w:tcW w:w="574" w:type="pct"/>
            <w:vAlign w:val="center"/>
          </w:tcPr>
          <w:p w14:paraId="7147B102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</w:pPr>
          </w:p>
        </w:tc>
      </w:tr>
      <w:tr w14:paraId="46A174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417" w:type="pct"/>
            <w:vAlign w:val="center"/>
          </w:tcPr>
          <w:p w14:paraId="01DF0574">
            <w:pPr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15</w:t>
            </w:r>
          </w:p>
        </w:tc>
        <w:tc>
          <w:tcPr>
            <w:tcW w:w="724" w:type="pct"/>
            <w:shd w:val="clear" w:color="auto" w:fill="FFFFFF" w:themeFill="background1"/>
            <w:vAlign w:val="center"/>
          </w:tcPr>
          <w:p w14:paraId="2FD94F46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  <w14:ligatures w14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1"/>
                <w:szCs w:val="21"/>
                <w:highlight w:val="none"/>
                <w14:ligatures w14:val="none"/>
              </w:rPr>
              <w:t>递归黑白名单</w:t>
            </w:r>
          </w:p>
        </w:tc>
        <w:tc>
          <w:tcPr>
            <w:tcW w:w="461" w:type="pct"/>
            <w:vAlign w:val="center"/>
          </w:tcPr>
          <w:p w14:paraId="25F6D360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2822" w:type="pct"/>
            <w:shd w:val="clear" w:color="auto" w:fill="FFFFFF" w:themeFill="background1"/>
            <w:vAlign w:val="center"/>
          </w:tcPr>
          <w:p w14:paraId="41F99734">
            <w:pPr>
              <w:widowControl/>
              <w:spacing w:line="240" w:lineRule="auto"/>
              <w:jc w:val="left"/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  <w14:ligatures w14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1"/>
                <w:szCs w:val="21"/>
                <w:highlight w:val="none"/>
                <w14:ligatures w14:val="none"/>
              </w:rPr>
              <w:t>支持对递归查询设置黑、白名单列表访问限制。</w:t>
            </w:r>
          </w:p>
        </w:tc>
        <w:tc>
          <w:tcPr>
            <w:tcW w:w="574" w:type="pct"/>
            <w:vAlign w:val="center"/>
          </w:tcPr>
          <w:p w14:paraId="7FE9C7E2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</w:pPr>
          </w:p>
        </w:tc>
      </w:tr>
      <w:tr w14:paraId="2690F3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417" w:type="pct"/>
            <w:vAlign w:val="center"/>
          </w:tcPr>
          <w:p w14:paraId="2238ED2E">
            <w:pPr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16</w:t>
            </w:r>
          </w:p>
        </w:tc>
        <w:tc>
          <w:tcPr>
            <w:tcW w:w="724" w:type="pct"/>
            <w:shd w:val="clear" w:color="auto" w:fill="FFFFFF" w:themeFill="background1"/>
            <w:vAlign w:val="center"/>
          </w:tcPr>
          <w:p w14:paraId="36D7F6F9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  <w14:ligatures w14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1"/>
                <w:szCs w:val="21"/>
                <w:highlight w:val="none"/>
                <w14:ligatures w14:val="none"/>
              </w:rPr>
              <w:t>共享记录</w:t>
            </w:r>
          </w:p>
        </w:tc>
        <w:tc>
          <w:tcPr>
            <w:tcW w:w="461" w:type="pct"/>
            <w:vAlign w:val="center"/>
          </w:tcPr>
          <w:p w14:paraId="16128115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2822" w:type="pct"/>
            <w:shd w:val="clear" w:color="auto" w:fill="FFFFFF" w:themeFill="background1"/>
            <w:vAlign w:val="center"/>
          </w:tcPr>
          <w:p w14:paraId="1D63C8C7">
            <w:pPr>
              <w:widowControl/>
              <w:spacing w:line="240" w:lineRule="auto"/>
              <w:jc w:val="left"/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  <w14:ligatures w14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1"/>
                <w:szCs w:val="21"/>
                <w:highlight w:val="none"/>
                <w14:ligatures w14:val="none"/>
              </w:rPr>
              <w:t>支持多视图相同记录的共享区配置；支持共享记录添加，可跨区域一次配置相同前缀记录，修改任一区域的共享记录可联动跨区共享记录的统一增、删、改。删除共享记录可配保留或删除原区中的共享记录</w:t>
            </w:r>
          </w:p>
        </w:tc>
        <w:tc>
          <w:tcPr>
            <w:tcW w:w="574" w:type="pct"/>
            <w:vAlign w:val="center"/>
          </w:tcPr>
          <w:p w14:paraId="2D008302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</w:pPr>
          </w:p>
        </w:tc>
      </w:tr>
      <w:tr w14:paraId="526EA0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417" w:type="pct"/>
            <w:vAlign w:val="center"/>
          </w:tcPr>
          <w:p w14:paraId="2EBE9D37">
            <w:pPr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17</w:t>
            </w:r>
          </w:p>
        </w:tc>
        <w:tc>
          <w:tcPr>
            <w:tcW w:w="724" w:type="pct"/>
            <w:shd w:val="clear" w:color="auto" w:fill="FFFFFF" w:themeFill="background1"/>
            <w:vAlign w:val="center"/>
          </w:tcPr>
          <w:p w14:paraId="521817D9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  <w14:ligatures w14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1"/>
                <w:szCs w:val="21"/>
                <w:highlight w:val="none"/>
                <w14:ligatures w14:val="none"/>
              </w:rPr>
              <w:t>应用服务器健康检查</w:t>
            </w:r>
          </w:p>
        </w:tc>
        <w:tc>
          <w:tcPr>
            <w:tcW w:w="461" w:type="pct"/>
            <w:vAlign w:val="center"/>
          </w:tcPr>
          <w:p w14:paraId="066C51C9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2822" w:type="pct"/>
            <w:shd w:val="clear" w:color="auto" w:fill="FFFFFF" w:themeFill="background1"/>
            <w:vAlign w:val="center"/>
          </w:tcPr>
          <w:p w14:paraId="0969547F">
            <w:pPr>
              <w:widowControl/>
              <w:spacing w:line="240" w:lineRule="auto"/>
              <w:jc w:val="left"/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  <w14:ligatures w14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1"/>
                <w:szCs w:val="21"/>
                <w:highlight w:val="none"/>
                <w14:ligatures w14:val="none"/>
              </w:rPr>
              <w:t>▲支持14种健康监测方式ICMP、UDP、TCP_SYN、TCP、HTTP、HTTPS、FTP、SMTP、SNMP、TCP_KEEP、SNMP_LINK、DNS、MySQL、Oracle。（提供第三方权威测试机构出具的专业测试报告）</w:t>
            </w:r>
          </w:p>
        </w:tc>
        <w:tc>
          <w:tcPr>
            <w:tcW w:w="574" w:type="pct"/>
            <w:vAlign w:val="center"/>
          </w:tcPr>
          <w:p w14:paraId="699EA027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是</w:t>
            </w:r>
          </w:p>
        </w:tc>
      </w:tr>
      <w:tr w14:paraId="6108AB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417" w:type="pct"/>
            <w:vAlign w:val="center"/>
          </w:tcPr>
          <w:p w14:paraId="4B1C52D6">
            <w:pPr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18</w:t>
            </w:r>
          </w:p>
        </w:tc>
        <w:tc>
          <w:tcPr>
            <w:tcW w:w="724" w:type="pct"/>
            <w:shd w:val="clear" w:color="auto" w:fill="FFFFFF" w:themeFill="background1"/>
            <w:vAlign w:val="center"/>
          </w:tcPr>
          <w:p w14:paraId="2191DEEE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  <w14:ligatures w14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1"/>
                <w:szCs w:val="21"/>
                <w:highlight w:val="none"/>
                <w14:ligatures w14:val="none"/>
              </w:rPr>
              <w:t>自定义属性</w:t>
            </w:r>
          </w:p>
        </w:tc>
        <w:tc>
          <w:tcPr>
            <w:tcW w:w="461" w:type="pct"/>
            <w:vAlign w:val="center"/>
          </w:tcPr>
          <w:p w14:paraId="3A6313E7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2822" w:type="pct"/>
            <w:shd w:val="clear" w:color="auto" w:fill="FFFFFF" w:themeFill="background1"/>
            <w:vAlign w:val="center"/>
          </w:tcPr>
          <w:p w14:paraId="60CE8B44">
            <w:pPr>
              <w:widowControl/>
              <w:spacing w:line="240" w:lineRule="auto"/>
              <w:jc w:val="left"/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  <w14:ligatures w14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1"/>
                <w:szCs w:val="21"/>
                <w:highlight w:val="none"/>
                <w14:ligatures w14:val="none"/>
              </w:rPr>
              <w:t>支持为权威记录等资源列表动态添加多个自定义属性列，方便用户为域名记录灵活添加备注信息；</w:t>
            </w:r>
          </w:p>
        </w:tc>
        <w:tc>
          <w:tcPr>
            <w:tcW w:w="574" w:type="pct"/>
            <w:vAlign w:val="center"/>
          </w:tcPr>
          <w:p w14:paraId="399ADC3B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</w:pPr>
          </w:p>
        </w:tc>
      </w:tr>
      <w:tr w14:paraId="64C8F7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417" w:type="pct"/>
            <w:vAlign w:val="center"/>
          </w:tcPr>
          <w:p w14:paraId="25C64047">
            <w:pPr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19</w:t>
            </w:r>
          </w:p>
        </w:tc>
        <w:tc>
          <w:tcPr>
            <w:tcW w:w="724" w:type="pct"/>
            <w:shd w:val="clear" w:color="auto" w:fill="FFFFFF" w:themeFill="background1"/>
            <w:vAlign w:val="center"/>
          </w:tcPr>
          <w:p w14:paraId="45C46778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  <w14:ligatures w14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1"/>
                <w:szCs w:val="21"/>
                <w:highlight w:val="none"/>
                <w14:ligatures w14:val="none"/>
              </w:rPr>
              <w:t>检测策略</w:t>
            </w:r>
          </w:p>
        </w:tc>
        <w:tc>
          <w:tcPr>
            <w:tcW w:w="461" w:type="pct"/>
            <w:vAlign w:val="center"/>
          </w:tcPr>
          <w:p w14:paraId="14FA3CF5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2822" w:type="pct"/>
            <w:shd w:val="clear" w:color="auto" w:fill="FFFFFF" w:themeFill="background1"/>
            <w:vAlign w:val="center"/>
          </w:tcPr>
          <w:p w14:paraId="76CD72D5">
            <w:pPr>
              <w:widowControl/>
              <w:spacing w:line="240" w:lineRule="auto"/>
              <w:jc w:val="left"/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  <w14:ligatures w14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1"/>
                <w:szCs w:val="21"/>
                <w:highlight w:val="none"/>
                <w14:ligatures w14:val="none"/>
              </w:rPr>
              <w:t>健康检测策略支持并不限于以下类型自定义属性：探测周期、超时时间、最大重试次数、探测地址、发送数据、接收数据、探测端口，保证应用服务健康状态探测的准确性、实时性、可靠性</w:t>
            </w:r>
          </w:p>
        </w:tc>
        <w:tc>
          <w:tcPr>
            <w:tcW w:w="574" w:type="pct"/>
            <w:vAlign w:val="center"/>
          </w:tcPr>
          <w:p w14:paraId="3D21864E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</w:pPr>
          </w:p>
        </w:tc>
      </w:tr>
      <w:tr w14:paraId="49BE4E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417" w:type="pct"/>
            <w:vAlign w:val="center"/>
          </w:tcPr>
          <w:p w14:paraId="3F618523">
            <w:pPr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20</w:t>
            </w:r>
          </w:p>
        </w:tc>
        <w:tc>
          <w:tcPr>
            <w:tcW w:w="724" w:type="pct"/>
            <w:shd w:val="clear" w:color="auto" w:fill="FFFFFF" w:themeFill="background1"/>
            <w:vAlign w:val="center"/>
          </w:tcPr>
          <w:p w14:paraId="04A02001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  <w14:ligatures w14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1"/>
                <w:szCs w:val="21"/>
                <w:highlight w:val="none"/>
                <w14:ligatures w14:val="none"/>
              </w:rPr>
              <w:t>智能调度</w:t>
            </w:r>
          </w:p>
        </w:tc>
        <w:tc>
          <w:tcPr>
            <w:tcW w:w="461" w:type="pct"/>
            <w:vAlign w:val="center"/>
          </w:tcPr>
          <w:p w14:paraId="5E384E39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2822" w:type="pct"/>
            <w:shd w:val="clear" w:color="auto" w:fill="FFFFFF" w:themeFill="background1"/>
            <w:vAlign w:val="center"/>
          </w:tcPr>
          <w:p w14:paraId="504BEBB7">
            <w:pPr>
              <w:widowControl/>
              <w:spacing w:line="240" w:lineRule="auto"/>
              <w:jc w:val="left"/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  <w14:ligatures w14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1"/>
                <w:szCs w:val="21"/>
                <w:highlight w:val="none"/>
                <w14:ligatures w14:val="none"/>
              </w:rPr>
              <w:t>支持两级访问调度，即优先按照某策略调度到某应用服务器池，然后再根据某策略调度到该池内具体服务器；支持图形化展现域名的调度逻辑和资源状态，对应用健康度、解析情况，应用状态情况可视化展示</w:t>
            </w:r>
          </w:p>
        </w:tc>
        <w:tc>
          <w:tcPr>
            <w:tcW w:w="574" w:type="pct"/>
            <w:vAlign w:val="center"/>
          </w:tcPr>
          <w:p w14:paraId="3F65725D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</w:pPr>
          </w:p>
        </w:tc>
      </w:tr>
      <w:tr w14:paraId="4AAB50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417" w:type="pct"/>
            <w:vAlign w:val="center"/>
          </w:tcPr>
          <w:p w14:paraId="09A08DF4">
            <w:pPr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21</w:t>
            </w:r>
          </w:p>
        </w:tc>
        <w:tc>
          <w:tcPr>
            <w:tcW w:w="724" w:type="pct"/>
            <w:shd w:val="clear" w:color="auto" w:fill="FFFFFF" w:themeFill="background1"/>
            <w:vAlign w:val="center"/>
          </w:tcPr>
          <w:p w14:paraId="6B02A780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  <w14:ligatures w14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1"/>
                <w:szCs w:val="21"/>
                <w:highlight w:val="none"/>
                <w14:ligatures w14:val="none"/>
              </w:rPr>
              <w:t>调度算法</w:t>
            </w:r>
          </w:p>
        </w:tc>
        <w:tc>
          <w:tcPr>
            <w:tcW w:w="461" w:type="pct"/>
            <w:vAlign w:val="center"/>
          </w:tcPr>
          <w:p w14:paraId="12FF89EA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2822" w:type="pct"/>
            <w:shd w:val="clear" w:color="auto" w:fill="FFFFFF" w:themeFill="background1"/>
            <w:vAlign w:val="center"/>
          </w:tcPr>
          <w:p w14:paraId="0A0A1CAF">
            <w:pPr>
              <w:widowControl/>
              <w:spacing w:line="240" w:lineRule="auto"/>
              <w:jc w:val="left"/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  <w14:ligatures w14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1"/>
                <w:szCs w:val="21"/>
                <w:highlight w:val="none"/>
                <w14:ligatures w14:val="none"/>
              </w:rPr>
              <w:t>▲支持界面就近性算法分组配置，可对每个域名使用独立的就近性策略，从管理上、和查询逻辑上进行完全拆分，避免对一个大表进行维护查询带来的性能隐患（提供产品相关功能截图）</w:t>
            </w:r>
          </w:p>
        </w:tc>
        <w:tc>
          <w:tcPr>
            <w:tcW w:w="574" w:type="pct"/>
            <w:vAlign w:val="center"/>
          </w:tcPr>
          <w:p w14:paraId="4B8474BC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是</w:t>
            </w:r>
          </w:p>
        </w:tc>
      </w:tr>
      <w:tr w14:paraId="347C3A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417" w:type="pct"/>
            <w:vAlign w:val="center"/>
          </w:tcPr>
          <w:p w14:paraId="1D1C67A1">
            <w:pPr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22</w:t>
            </w:r>
          </w:p>
        </w:tc>
        <w:tc>
          <w:tcPr>
            <w:tcW w:w="724" w:type="pct"/>
            <w:shd w:val="clear" w:color="auto" w:fill="FFFFFF" w:themeFill="background1"/>
            <w:vAlign w:val="center"/>
          </w:tcPr>
          <w:p w14:paraId="58048D7C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  <w14:ligatures w14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1"/>
                <w:szCs w:val="21"/>
                <w:highlight w:val="none"/>
                <w14:ligatures w14:val="none"/>
              </w:rPr>
              <w:t>兜底策略</w:t>
            </w:r>
          </w:p>
        </w:tc>
        <w:tc>
          <w:tcPr>
            <w:tcW w:w="461" w:type="pct"/>
            <w:vAlign w:val="center"/>
          </w:tcPr>
          <w:p w14:paraId="1A6E26A3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2822" w:type="pct"/>
            <w:shd w:val="clear" w:color="auto" w:fill="FFFFFF" w:themeFill="background1"/>
            <w:vAlign w:val="center"/>
          </w:tcPr>
          <w:p w14:paraId="593C2540">
            <w:pPr>
              <w:widowControl/>
              <w:spacing w:line="240" w:lineRule="auto"/>
              <w:jc w:val="left"/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  <w14:ligatures w14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1"/>
                <w:szCs w:val="21"/>
                <w:highlight w:val="none"/>
                <w14:ligatures w14:val="none"/>
              </w:rPr>
              <w:t>在全局负载均衡调度场景下，支持配置业务解析失败应答策略包括但不限于动态兜底解析、静态兜底解析等策略，提升异常场景下的容错率。</w:t>
            </w:r>
          </w:p>
        </w:tc>
        <w:tc>
          <w:tcPr>
            <w:tcW w:w="574" w:type="pct"/>
            <w:vAlign w:val="center"/>
          </w:tcPr>
          <w:p w14:paraId="6C68A383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</w:pPr>
          </w:p>
        </w:tc>
      </w:tr>
      <w:tr w14:paraId="7FACBC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417" w:type="pct"/>
            <w:vAlign w:val="center"/>
          </w:tcPr>
          <w:p w14:paraId="112E3414">
            <w:pPr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23</w:t>
            </w:r>
          </w:p>
        </w:tc>
        <w:tc>
          <w:tcPr>
            <w:tcW w:w="724" w:type="pct"/>
            <w:shd w:val="clear" w:color="auto" w:fill="FFFFFF" w:themeFill="background1"/>
            <w:vAlign w:val="center"/>
          </w:tcPr>
          <w:p w14:paraId="219AC31A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  <w14:ligatures w14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1"/>
                <w:szCs w:val="21"/>
                <w:highlight w:val="none"/>
                <w14:ligatures w14:val="none"/>
              </w:rPr>
              <w:t>主辅同步</w:t>
            </w:r>
          </w:p>
        </w:tc>
        <w:tc>
          <w:tcPr>
            <w:tcW w:w="461" w:type="pct"/>
            <w:vAlign w:val="center"/>
          </w:tcPr>
          <w:p w14:paraId="43627E0D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2822" w:type="pct"/>
            <w:shd w:val="clear" w:color="auto" w:fill="FFFFFF" w:themeFill="background1"/>
            <w:vAlign w:val="center"/>
          </w:tcPr>
          <w:p w14:paraId="3F8D608D">
            <w:pPr>
              <w:widowControl/>
              <w:spacing w:line="240" w:lineRule="auto"/>
              <w:jc w:val="left"/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  <w14:ligatures w14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1"/>
                <w:szCs w:val="21"/>
                <w:highlight w:val="none"/>
                <w14:ligatures w14:val="none"/>
              </w:rPr>
              <w:t>主辅区同步，支持主辅区域一致性校验，DNS作为主区或辅区时，支持在WEB界面手动触发主辅区数据一致性校验，保证数据一致性。</w:t>
            </w:r>
          </w:p>
        </w:tc>
        <w:tc>
          <w:tcPr>
            <w:tcW w:w="574" w:type="pct"/>
            <w:vAlign w:val="center"/>
          </w:tcPr>
          <w:p w14:paraId="685F8D1C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</w:pPr>
          </w:p>
        </w:tc>
      </w:tr>
      <w:tr w14:paraId="6289B9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417" w:type="pct"/>
            <w:vAlign w:val="center"/>
          </w:tcPr>
          <w:p w14:paraId="5AB437BA">
            <w:pPr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24</w:t>
            </w:r>
          </w:p>
        </w:tc>
        <w:tc>
          <w:tcPr>
            <w:tcW w:w="724" w:type="pct"/>
            <w:shd w:val="clear" w:color="auto" w:fill="FFFFFF" w:themeFill="background1"/>
            <w:vAlign w:val="center"/>
          </w:tcPr>
          <w:p w14:paraId="0ADFCE02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  <w14:ligatures w14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1"/>
                <w:szCs w:val="21"/>
                <w:highlight w:val="none"/>
                <w14:ligatures w14:val="none"/>
              </w:rPr>
              <w:t>探测超时时间</w:t>
            </w:r>
          </w:p>
        </w:tc>
        <w:tc>
          <w:tcPr>
            <w:tcW w:w="461" w:type="pct"/>
            <w:vAlign w:val="center"/>
          </w:tcPr>
          <w:p w14:paraId="11A09EE5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2822" w:type="pct"/>
            <w:shd w:val="clear" w:color="auto" w:fill="FFFFFF" w:themeFill="background1"/>
            <w:vAlign w:val="center"/>
          </w:tcPr>
          <w:p w14:paraId="19E06BAA">
            <w:pPr>
              <w:widowControl/>
              <w:spacing w:line="240" w:lineRule="auto"/>
              <w:jc w:val="left"/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  <w14:ligatures w14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1"/>
                <w:szCs w:val="21"/>
                <w:highlight w:val="none"/>
                <w14:ligatures w14:val="none"/>
              </w:rPr>
              <w:t>支持对探测失败超时时间进行设置，即探测失败时间超过超时时间时才会对解析产生影响，不因某一个探测任务的结果进行判定。从而保证业务的真实性。</w:t>
            </w:r>
          </w:p>
        </w:tc>
        <w:tc>
          <w:tcPr>
            <w:tcW w:w="574" w:type="pct"/>
            <w:vAlign w:val="center"/>
          </w:tcPr>
          <w:p w14:paraId="5D084514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</w:pPr>
          </w:p>
        </w:tc>
      </w:tr>
      <w:tr w14:paraId="7F0F8C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417" w:type="pct"/>
            <w:vAlign w:val="center"/>
          </w:tcPr>
          <w:p w14:paraId="6ABA00CB">
            <w:pPr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25</w:t>
            </w:r>
          </w:p>
        </w:tc>
        <w:tc>
          <w:tcPr>
            <w:tcW w:w="724" w:type="pct"/>
            <w:shd w:val="clear" w:color="auto" w:fill="FFFFFF" w:themeFill="background1"/>
            <w:vAlign w:val="center"/>
          </w:tcPr>
          <w:p w14:paraId="0B2045FB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  <w14:ligatures w14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1"/>
                <w:szCs w:val="21"/>
                <w:highlight w:val="none"/>
                <w14:ligatures w14:val="none"/>
              </w:rPr>
              <w:t>支持会话保持技术</w:t>
            </w:r>
          </w:p>
        </w:tc>
        <w:tc>
          <w:tcPr>
            <w:tcW w:w="461" w:type="pct"/>
            <w:vAlign w:val="center"/>
          </w:tcPr>
          <w:p w14:paraId="3AB0D1A6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2822" w:type="pct"/>
            <w:shd w:val="clear" w:color="auto" w:fill="FFFFFF" w:themeFill="background1"/>
            <w:vAlign w:val="center"/>
          </w:tcPr>
          <w:p w14:paraId="0FDB8939">
            <w:pPr>
              <w:widowControl/>
              <w:spacing w:line="240" w:lineRule="auto"/>
              <w:jc w:val="left"/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  <w14:ligatures w14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1"/>
                <w:szCs w:val="21"/>
                <w:highlight w:val="none"/>
                <w14:ligatures w14:val="none"/>
              </w:rPr>
              <w:t>对于一定周期内同一用户相同的域名解析请求，实现解析结果的固定，避免出现频繁的跳动现象，从而实现流量的稳定牵引。支持会话保持时间设置，实现会话保持时间自主定义。</w:t>
            </w:r>
          </w:p>
        </w:tc>
        <w:tc>
          <w:tcPr>
            <w:tcW w:w="574" w:type="pct"/>
            <w:vAlign w:val="center"/>
          </w:tcPr>
          <w:p w14:paraId="4CA683BB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</w:pPr>
          </w:p>
        </w:tc>
      </w:tr>
      <w:tr w14:paraId="2AE5F8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417" w:type="pct"/>
            <w:vAlign w:val="center"/>
          </w:tcPr>
          <w:p w14:paraId="473BB0C4">
            <w:pPr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26</w:t>
            </w:r>
          </w:p>
        </w:tc>
        <w:tc>
          <w:tcPr>
            <w:tcW w:w="724" w:type="pct"/>
            <w:shd w:val="clear" w:color="auto" w:fill="FFFFFF" w:themeFill="background1"/>
            <w:vAlign w:val="center"/>
          </w:tcPr>
          <w:p w14:paraId="6CDD3128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  <w14:ligatures w14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1"/>
                <w:szCs w:val="21"/>
                <w:highlight w:val="none"/>
                <w14:ligatures w14:val="none"/>
              </w:rPr>
              <w:t>重点域名防护</w:t>
            </w:r>
          </w:p>
        </w:tc>
        <w:tc>
          <w:tcPr>
            <w:tcW w:w="461" w:type="pct"/>
            <w:vAlign w:val="center"/>
          </w:tcPr>
          <w:p w14:paraId="555E364B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2822" w:type="pct"/>
            <w:shd w:val="clear" w:color="auto" w:fill="FFFFFF" w:themeFill="background1"/>
            <w:vAlign w:val="center"/>
          </w:tcPr>
          <w:p w14:paraId="74C43896">
            <w:pPr>
              <w:widowControl/>
              <w:spacing w:line="240" w:lineRule="auto"/>
              <w:jc w:val="left"/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  <w14:ligatures w14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1"/>
                <w:szCs w:val="21"/>
                <w:highlight w:val="none"/>
                <w14:ligatures w14:val="none"/>
              </w:rPr>
              <w:t>支持对权威区记录、转发区策略、本地安全策略中的某条域名策略，开启重点域名防护功能，并至少支持弹窗提示、和锁定不允许修改两种防护模式</w:t>
            </w:r>
          </w:p>
        </w:tc>
        <w:tc>
          <w:tcPr>
            <w:tcW w:w="574" w:type="pct"/>
            <w:vAlign w:val="center"/>
          </w:tcPr>
          <w:p w14:paraId="4E7B39A4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</w:pPr>
          </w:p>
        </w:tc>
      </w:tr>
      <w:tr w14:paraId="4A24B3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417" w:type="pct"/>
            <w:vAlign w:val="center"/>
          </w:tcPr>
          <w:p w14:paraId="6A132EB4">
            <w:pPr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27</w:t>
            </w:r>
          </w:p>
        </w:tc>
        <w:tc>
          <w:tcPr>
            <w:tcW w:w="724" w:type="pct"/>
            <w:shd w:val="clear" w:color="auto" w:fill="FFFFFF" w:themeFill="background1"/>
            <w:vAlign w:val="center"/>
          </w:tcPr>
          <w:p w14:paraId="6125658A"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  <w14:ligatures w14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1"/>
                <w:szCs w:val="21"/>
                <w:highlight w:val="none"/>
                <w:lang w:bidi="ar"/>
              </w:rPr>
              <w:t>DNS协议安全</w:t>
            </w:r>
          </w:p>
        </w:tc>
        <w:tc>
          <w:tcPr>
            <w:tcW w:w="461" w:type="pct"/>
            <w:vAlign w:val="center"/>
          </w:tcPr>
          <w:p w14:paraId="7533CAEA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2822" w:type="pct"/>
            <w:shd w:val="clear" w:color="auto" w:fill="FFFFFF" w:themeFill="background1"/>
            <w:vAlign w:val="center"/>
          </w:tcPr>
          <w:p w14:paraId="74305AE3">
            <w:pPr>
              <w:widowControl/>
              <w:spacing w:line="240" w:lineRule="auto"/>
              <w:jc w:val="left"/>
              <w:textAlignment w:val="center"/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  <w14:ligatures w14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1"/>
                <w:szCs w:val="21"/>
                <w:highlight w:val="none"/>
                <w14:ligatures w14:val="none"/>
              </w:rPr>
              <w:t>▲</w:t>
            </w:r>
            <w:r>
              <w:rPr>
                <w:rStyle w:val="25"/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lang w:bidi="ar"/>
              </w:rPr>
              <w:t>支持对所有资源类型进行强解析，包括：A记录、AAAA记录、SOA记录、MX记录、CNAME记录、NAPTR记录、TXT记录、SRV记录、PTR记录，DNAME记录、SPF记录、CAA记录、NS记录、</w:t>
            </w:r>
            <w:r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1"/>
                <w:szCs w:val="21"/>
                <w:highlight w:val="none"/>
                <w:lang w:bidi="ar"/>
              </w:rPr>
              <w:t>及自定义类型Type（0-65535）类型</w:t>
            </w:r>
            <w:r>
              <w:rPr>
                <w:rStyle w:val="25"/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lang w:bidi="ar"/>
              </w:rPr>
              <w:t>，可配置强制解析结果：NXDOMAIN、NOERROR无记录或者直接丢弃</w:t>
            </w:r>
            <w:r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1"/>
                <w:szCs w:val="21"/>
                <w:highlight w:val="none"/>
                <w14:ligatures w14:val="none"/>
              </w:rPr>
              <w:t>（提供产品相关功能截图）</w:t>
            </w:r>
          </w:p>
        </w:tc>
        <w:tc>
          <w:tcPr>
            <w:tcW w:w="574" w:type="pct"/>
            <w:vAlign w:val="center"/>
          </w:tcPr>
          <w:p w14:paraId="606971B5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是</w:t>
            </w:r>
          </w:p>
        </w:tc>
      </w:tr>
      <w:tr w14:paraId="3E0713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417" w:type="pct"/>
            <w:vAlign w:val="center"/>
          </w:tcPr>
          <w:p w14:paraId="118DABBC">
            <w:pPr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28</w:t>
            </w:r>
          </w:p>
        </w:tc>
        <w:tc>
          <w:tcPr>
            <w:tcW w:w="724" w:type="pct"/>
            <w:shd w:val="clear" w:color="auto" w:fill="FFFFFF" w:themeFill="background1"/>
            <w:vAlign w:val="center"/>
          </w:tcPr>
          <w:p w14:paraId="24A9F258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  <w14:ligatures w14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1"/>
                <w:szCs w:val="21"/>
                <w:highlight w:val="none"/>
                <w14:ligatures w14:val="none"/>
              </w:rPr>
              <w:t>缓存污染防护</w:t>
            </w:r>
          </w:p>
        </w:tc>
        <w:tc>
          <w:tcPr>
            <w:tcW w:w="461" w:type="pct"/>
            <w:vAlign w:val="center"/>
          </w:tcPr>
          <w:p w14:paraId="480523ED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2822" w:type="pct"/>
            <w:shd w:val="clear" w:color="auto" w:fill="FFFFFF" w:themeFill="background1"/>
            <w:vAlign w:val="center"/>
          </w:tcPr>
          <w:p w14:paraId="5582CA7C">
            <w:pPr>
              <w:widowControl/>
              <w:spacing w:line="240" w:lineRule="auto"/>
              <w:jc w:val="left"/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  <w14:ligatures w14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1"/>
                <w:szCs w:val="21"/>
                <w:highlight w:val="none"/>
                <w14:ligatures w14:val="none"/>
              </w:rPr>
              <w:t>支持对所有应答结果为NXDOMAIN的权威解析和递归解析结果修改为NOERROR，并且需保证不影响其余域名解析结果，从而避免对下游客户端造成缓存污染</w:t>
            </w:r>
          </w:p>
        </w:tc>
        <w:tc>
          <w:tcPr>
            <w:tcW w:w="574" w:type="pct"/>
            <w:vAlign w:val="center"/>
          </w:tcPr>
          <w:p w14:paraId="4B9326FD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</w:pPr>
          </w:p>
        </w:tc>
      </w:tr>
      <w:tr w14:paraId="4A9FAA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417" w:type="pct"/>
            <w:vAlign w:val="center"/>
          </w:tcPr>
          <w:p w14:paraId="65097870">
            <w:pPr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29</w:t>
            </w:r>
          </w:p>
        </w:tc>
        <w:tc>
          <w:tcPr>
            <w:tcW w:w="724" w:type="pct"/>
            <w:shd w:val="clear" w:color="auto" w:fill="FFFFFF" w:themeFill="background1"/>
            <w:vAlign w:val="center"/>
          </w:tcPr>
          <w:p w14:paraId="556E468E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  <w14:ligatures w14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1"/>
                <w:szCs w:val="21"/>
                <w:highlight w:val="none"/>
                <w14:ligatures w14:val="none"/>
              </w:rPr>
              <w:t>报表</w:t>
            </w:r>
          </w:p>
        </w:tc>
        <w:tc>
          <w:tcPr>
            <w:tcW w:w="461" w:type="pct"/>
            <w:vAlign w:val="center"/>
          </w:tcPr>
          <w:p w14:paraId="7EBA8D34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2822" w:type="pct"/>
            <w:shd w:val="clear" w:color="auto" w:fill="FFFFFF" w:themeFill="background1"/>
            <w:vAlign w:val="center"/>
          </w:tcPr>
          <w:p w14:paraId="3C12113B">
            <w:pPr>
              <w:widowControl/>
              <w:spacing w:line="240" w:lineRule="auto"/>
              <w:jc w:val="left"/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  <w14:ligatures w14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1"/>
                <w:szCs w:val="21"/>
                <w:highlight w:val="none"/>
                <w14:ligatures w14:val="none"/>
              </w:rPr>
              <w:t>支持自定义报表定制，自定义报表分析类型包括但不限于TOP总量、TOP百分比、百分比及次数/秒；分析项目包括但不限于源IP、源端口、查询区、查询记录类型、查询域名、应答状态、RD位状态、请求签名、是否包含EDNS、是否TCP请求、DO位状态、CD位状态、是否命中缓存、ISP、国家、省、市；匹配规则包括但不限于所有、等于、不等于、包含、不包含；需支持统计项目内的二层分析；数据统计分析需支持省、国家地理位置的数据统计，且统计报告支持定时自动生成及定时邮件推送功能。</w:t>
            </w:r>
          </w:p>
        </w:tc>
        <w:tc>
          <w:tcPr>
            <w:tcW w:w="574" w:type="pct"/>
            <w:vAlign w:val="center"/>
          </w:tcPr>
          <w:p w14:paraId="07897F31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</w:pPr>
          </w:p>
        </w:tc>
      </w:tr>
      <w:tr w14:paraId="34361B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417" w:type="pct"/>
            <w:vAlign w:val="center"/>
          </w:tcPr>
          <w:p w14:paraId="28E2E70E">
            <w:pPr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30</w:t>
            </w:r>
          </w:p>
        </w:tc>
        <w:tc>
          <w:tcPr>
            <w:tcW w:w="724" w:type="pct"/>
            <w:shd w:val="clear" w:color="auto" w:fill="FFFFFF" w:themeFill="background1"/>
            <w:vAlign w:val="center"/>
          </w:tcPr>
          <w:p w14:paraId="253A2C68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  <w14:ligatures w14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1"/>
                <w:szCs w:val="21"/>
                <w:highlight w:val="none"/>
                <w14:ligatures w14:val="none"/>
              </w:rPr>
              <w:t>统一管理</w:t>
            </w:r>
          </w:p>
        </w:tc>
        <w:tc>
          <w:tcPr>
            <w:tcW w:w="461" w:type="pct"/>
            <w:vAlign w:val="center"/>
          </w:tcPr>
          <w:p w14:paraId="53DA9BCB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2822" w:type="pct"/>
            <w:shd w:val="clear" w:color="auto" w:fill="FFFFFF" w:themeFill="background1"/>
            <w:vAlign w:val="center"/>
          </w:tcPr>
          <w:p w14:paraId="3FF35E1C">
            <w:pPr>
              <w:widowControl/>
              <w:spacing w:line="240" w:lineRule="auto"/>
              <w:jc w:val="left"/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  <w14:ligatures w14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1"/>
                <w:szCs w:val="21"/>
                <w:highlight w:val="none"/>
                <w14:ligatures w14:val="none"/>
              </w:rPr>
              <w:t>（1）支持多节点统一管理。 （2）支持不同用户组统一的分权管理。（3）支持HA模式主备管理。</w:t>
            </w:r>
          </w:p>
        </w:tc>
        <w:tc>
          <w:tcPr>
            <w:tcW w:w="574" w:type="pct"/>
            <w:vAlign w:val="center"/>
          </w:tcPr>
          <w:p w14:paraId="0DA5E8CC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</w:pPr>
          </w:p>
        </w:tc>
      </w:tr>
      <w:tr w14:paraId="6EA6AB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417" w:type="pct"/>
            <w:vAlign w:val="center"/>
          </w:tcPr>
          <w:p w14:paraId="78376D9D">
            <w:pPr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31</w:t>
            </w:r>
          </w:p>
        </w:tc>
        <w:tc>
          <w:tcPr>
            <w:tcW w:w="724" w:type="pct"/>
            <w:shd w:val="clear" w:color="auto" w:fill="FFFFFF" w:themeFill="background1"/>
            <w:vAlign w:val="center"/>
          </w:tcPr>
          <w:p w14:paraId="226C4197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  <w14:ligatures w14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1"/>
                <w:szCs w:val="21"/>
                <w:highlight w:val="none"/>
                <w14:ligatures w14:val="none"/>
              </w:rPr>
              <w:t>管理员权限</w:t>
            </w:r>
          </w:p>
        </w:tc>
        <w:tc>
          <w:tcPr>
            <w:tcW w:w="461" w:type="pct"/>
            <w:vAlign w:val="center"/>
          </w:tcPr>
          <w:p w14:paraId="2D0D97A3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2822" w:type="pct"/>
            <w:shd w:val="clear" w:color="auto" w:fill="FFFFFF" w:themeFill="background1"/>
            <w:vAlign w:val="center"/>
          </w:tcPr>
          <w:p w14:paraId="5960A5CC">
            <w:pPr>
              <w:widowControl/>
              <w:spacing w:line="240" w:lineRule="auto"/>
              <w:jc w:val="left"/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  <w14:ligatures w14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1"/>
                <w:szCs w:val="21"/>
                <w:highlight w:val="none"/>
                <w14:ligatures w14:val="none"/>
              </w:rPr>
              <w:t>支持通过web前台查看集群内所有节点的设备型号、序列号、识别码、内存大小、磁盘数量、磁盘容量、RAID级别、RAID磁盘总数、CPU主频、CPU内核数量、CPU线程数量、电口信息、光口信息。无需通过人为的方式进行后台查询</w:t>
            </w:r>
          </w:p>
        </w:tc>
        <w:tc>
          <w:tcPr>
            <w:tcW w:w="574" w:type="pct"/>
            <w:vAlign w:val="center"/>
          </w:tcPr>
          <w:p w14:paraId="0D08C73C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</w:pPr>
          </w:p>
        </w:tc>
      </w:tr>
      <w:tr w14:paraId="6F485E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417" w:type="pct"/>
            <w:vAlign w:val="center"/>
          </w:tcPr>
          <w:p w14:paraId="1E2C43DC">
            <w:pPr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32</w:t>
            </w:r>
          </w:p>
        </w:tc>
        <w:tc>
          <w:tcPr>
            <w:tcW w:w="724" w:type="pct"/>
            <w:shd w:val="clear" w:color="auto" w:fill="FFFFFF" w:themeFill="background1"/>
            <w:vAlign w:val="center"/>
          </w:tcPr>
          <w:p w14:paraId="67F11FEA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  <w14:ligatures w14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1"/>
                <w:szCs w:val="21"/>
                <w:highlight w:val="none"/>
                <w14:ligatures w14:val="none"/>
              </w:rPr>
              <w:t>统计分析</w:t>
            </w:r>
          </w:p>
        </w:tc>
        <w:tc>
          <w:tcPr>
            <w:tcW w:w="461" w:type="pct"/>
            <w:vAlign w:val="center"/>
          </w:tcPr>
          <w:p w14:paraId="7D0613DF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2822" w:type="pct"/>
            <w:shd w:val="clear" w:color="auto" w:fill="FFFFFF" w:themeFill="background1"/>
            <w:vAlign w:val="center"/>
          </w:tcPr>
          <w:p w14:paraId="762CB60C">
            <w:pPr>
              <w:widowControl/>
              <w:spacing w:line="240" w:lineRule="auto"/>
              <w:jc w:val="left"/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  <w14:ligatures w14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1"/>
                <w:szCs w:val="21"/>
                <w:highlight w:val="none"/>
                <w14:ligatures w14:val="none"/>
              </w:rPr>
              <w:t>（1）支持统计链路出口的流量变化曲线。（2）支持全网运行状态实时监控（3）支持对报表导出PDF、CSV格式（3）支持对原厂硬件监控、告警（4）支持设备告警（5）支持设备关键运行统计（6）IPV4与IPV6租赁日志展示</w:t>
            </w:r>
          </w:p>
        </w:tc>
        <w:tc>
          <w:tcPr>
            <w:tcW w:w="574" w:type="pct"/>
            <w:vAlign w:val="center"/>
          </w:tcPr>
          <w:p w14:paraId="788A14F4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</w:pPr>
          </w:p>
        </w:tc>
      </w:tr>
      <w:tr w14:paraId="3448BE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417" w:type="pct"/>
            <w:vAlign w:val="center"/>
          </w:tcPr>
          <w:p w14:paraId="13DAD729">
            <w:pPr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33</w:t>
            </w:r>
          </w:p>
        </w:tc>
        <w:tc>
          <w:tcPr>
            <w:tcW w:w="724" w:type="pct"/>
            <w:shd w:val="clear" w:color="auto" w:fill="FFFFFF" w:themeFill="background1"/>
            <w:vAlign w:val="center"/>
          </w:tcPr>
          <w:p w14:paraId="3B447D4C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  <w14:ligatures w14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1"/>
                <w:szCs w:val="21"/>
                <w:highlight w:val="none"/>
                <w14:ligatures w14:val="none"/>
              </w:rPr>
              <w:t>双因子登录验证</w:t>
            </w:r>
          </w:p>
        </w:tc>
        <w:tc>
          <w:tcPr>
            <w:tcW w:w="461" w:type="pct"/>
            <w:vAlign w:val="center"/>
          </w:tcPr>
          <w:p w14:paraId="4FDDBD2A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2822" w:type="pct"/>
            <w:shd w:val="clear" w:color="auto" w:fill="FFFFFF" w:themeFill="background1"/>
            <w:vAlign w:val="center"/>
          </w:tcPr>
          <w:p w14:paraId="0177A642">
            <w:pPr>
              <w:widowControl/>
              <w:spacing w:line="240" w:lineRule="auto"/>
              <w:jc w:val="left"/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  <w14:ligatures w14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1"/>
                <w:szCs w:val="21"/>
                <w:highlight w:val="none"/>
                <w14:ligatures w14:val="none"/>
              </w:rPr>
              <w:t>使用账号登录管理平台时，可开启邮箱验证码验证，实现双因子登录安全防护。</w:t>
            </w:r>
          </w:p>
        </w:tc>
        <w:tc>
          <w:tcPr>
            <w:tcW w:w="574" w:type="pct"/>
            <w:vAlign w:val="center"/>
          </w:tcPr>
          <w:p w14:paraId="32ED59E1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</w:pPr>
          </w:p>
        </w:tc>
      </w:tr>
      <w:tr w14:paraId="224815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417" w:type="pct"/>
            <w:vAlign w:val="center"/>
          </w:tcPr>
          <w:p w14:paraId="572E2FEC">
            <w:pPr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34</w:t>
            </w:r>
          </w:p>
        </w:tc>
        <w:tc>
          <w:tcPr>
            <w:tcW w:w="724" w:type="pct"/>
            <w:shd w:val="clear" w:color="auto" w:fill="FFFFFF" w:themeFill="background1"/>
            <w:vAlign w:val="center"/>
          </w:tcPr>
          <w:p w14:paraId="28EB387F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  <w14:ligatures w14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1"/>
                <w:szCs w:val="21"/>
                <w:highlight w:val="none"/>
                <w14:ligatures w14:val="none"/>
              </w:rPr>
              <w:t>全局搜索</w:t>
            </w:r>
          </w:p>
        </w:tc>
        <w:tc>
          <w:tcPr>
            <w:tcW w:w="461" w:type="pct"/>
            <w:vAlign w:val="center"/>
          </w:tcPr>
          <w:p w14:paraId="6A169830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2822" w:type="pct"/>
            <w:shd w:val="clear" w:color="auto" w:fill="FFFFFF" w:themeFill="background1"/>
            <w:vAlign w:val="center"/>
          </w:tcPr>
          <w:p w14:paraId="08BC832C">
            <w:pPr>
              <w:widowControl/>
              <w:spacing w:line="240" w:lineRule="auto"/>
              <w:jc w:val="left"/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  <w14:ligatures w14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1"/>
                <w:szCs w:val="21"/>
                <w:highlight w:val="none"/>
                <w14:ligatures w14:val="none"/>
              </w:rPr>
              <w:t>支持在页面搜索框使用等于、包含的方式对全局的域名、记录值、自定义属性列进行自定义搜索，并可对搜索结果可进行删除、修改和导出操作；搜索结果可以全选编辑解析结果、TTL、属性值等。</w:t>
            </w:r>
          </w:p>
        </w:tc>
        <w:tc>
          <w:tcPr>
            <w:tcW w:w="574" w:type="pct"/>
            <w:vAlign w:val="center"/>
          </w:tcPr>
          <w:p w14:paraId="54D0D5BF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</w:pPr>
          </w:p>
        </w:tc>
      </w:tr>
      <w:tr w14:paraId="409D36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417" w:type="pct"/>
            <w:vAlign w:val="center"/>
          </w:tcPr>
          <w:p w14:paraId="3BAEA00E">
            <w:pPr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35</w:t>
            </w:r>
          </w:p>
        </w:tc>
        <w:tc>
          <w:tcPr>
            <w:tcW w:w="724" w:type="pct"/>
            <w:shd w:val="clear" w:color="auto" w:fill="FFFFFF" w:themeFill="background1"/>
            <w:vAlign w:val="center"/>
          </w:tcPr>
          <w:p w14:paraId="63AA2DDE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  <w14:ligatures w14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1"/>
                <w:szCs w:val="21"/>
                <w:highlight w:val="none"/>
                <w14:ligatures w14:val="none"/>
              </w:rPr>
              <w:t>告警</w:t>
            </w:r>
          </w:p>
        </w:tc>
        <w:tc>
          <w:tcPr>
            <w:tcW w:w="461" w:type="pct"/>
            <w:vAlign w:val="center"/>
          </w:tcPr>
          <w:p w14:paraId="0959F57B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2822" w:type="pct"/>
            <w:shd w:val="clear" w:color="auto" w:fill="FFFFFF" w:themeFill="background1"/>
            <w:vAlign w:val="center"/>
          </w:tcPr>
          <w:p w14:paraId="6C937FD0">
            <w:pPr>
              <w:widowControl/>
              <w:spacing w:line="240" w:lineRule="auto"/>
              <w:jc w:val="left"/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  <w14:ligatures w14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1"/>
                <w:szCs w:val="21"/>
                <w:highlight w:val="none"/>
                <w14:ligatures w14:val="none"/>
              </w:rPr>
              <w:t>可以设置各种阀值、事件告警，支持邮件告警、回调告警、SNMP告警、syslog告警、短信告警及声音告警。告警记录内容包括但不限于告警时间，节点名称及IP、告警事件原因。</w:t>
            </w:r>
          </w:p>
        </w:tc>
        <w:tc>
          <w:tcPr>
            <w:tcW w:w="574" w:type="pct"/>
            <w:vAlign w:val="center"/>
          </w:tcPr>
          <w:p w14:paraId="78ED7896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</w:pPr>
          </w:p>
        </w:tc>
      </w:tr>
      <w:tr w14:paraId="596BB6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417" w:type="pct"/>
            <w:vAlign w:val="center"/>
          </w:tcPr>
          <w:p w14:paraId="67427D0D">
            <w:pPr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36</w:t>
            </w:r>
          </w:p>
        </w:tc>
        <w:tc>
          <w:tcPr>
            <w:tcW w:w="724" w:type="pct"/>
            <w:shd w:val="clear" w:color="auto" w:fill="FFFFFF" w:themeFill="background1"/>
            <w:vAlign w:val="center"/>
          </w:tcPr>
          <w:p w14:paraId="605DBEB7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  <w14:ligatures w14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1"/>
                <w:szCs w:val="21"/>
                <w:highlight w:val="none"/>
                <w14:ligatures w14:val="none"/>
              </w:rPr>
              <w:t>安全加固</w:t>
            </w:r>
          </w:p>
        </w:tc>
        <w:tc>
          <w:tcPr>
            <w:tcW w:w="461" w:type="pct"/>
            <w:vAlign w:val="center"/>
          </w:tcPr>
          <w:p w14:paraId="4A1B8641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是</w:t>
            </w:r>
          </w:p>
        </w:tc>
        <w:tc>
          <w:tcPr>
            <w:tcW w:w="2822" w:type="pct"/>
            <w:shd w:val="clear" w:color="auto" w:fill="FFFFFF" w:themeFill="background1"/>
            <w:vAlign w:val="center"/>
          </w:tcPr>
          <w:p w14:paraId="4AE5F71B">
            <w:pPr>
              <w:widowControl/>
              <w:spacing w:line="240" w:lineRule="auto"/>
              <w:jc w:val="left"/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  <w14:ligatures w14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1"/>
                <w:szCs w:val="21"/>
                <w:highlight w:val="none"/>
                <w14:ligatures w14:val="none"/>
              </w:rPr>
              <w:t>为提升系统安全加固能力，root用户不能直接</w:t>
            </w:r>
            <w:r>
              <w:rPr>
                <w:rFonts w:hint="eastAsia" w:ascii="Times New Roman" w:hAnsi="Times New Roman" w:eastAsia="方正兰亭黑简体" w:cs="Times New Roman"/>
                <w:color w:val="auto"/>
                <w:kern w:val="0"/>
                <w:sz w:val="21"/>
                <w:szCs w:val="21"/>
                <w:highlight w:val="none"/>
                <w:lang w:eastAsia="zh-CN"/>
                <w14:ligatures w14:val="none"/>
              </w:rPr>
              <w:t>登录</w:t>
            </w:r>
            <w:r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1"/>
                <w:szCs w:val="21"/>
                <w:highlight w:val="none"/>
                <w14:ligatures w14:val="none"/>
              </w:rPr>
              <w:t>，密码应定期随机变化，需进行加密处理，并可通过可控方式解密。</w:t>
            </w:r>
          </w:p>
        </w:tc>
        <w:tc>
          <w:tcPr>
            <w:tcW w:w="574" w:type="pct"/>
            <w:vAlign w:val="center"/>
          </w:tcPr>
          <w:p w14:paraId="1CAD5F8C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是</w:t>
            </w:r>
          </w:p>
        </w:tc>
      </w:tr>
      <w:tr w14:paraId="04306F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417" w:type="pct"/>
            <w:vAlign w:val="center"/>
          </w:tcPr>
          <w:p w14:paraId="3918DA31">
            <w:pPr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37</w:t>
            </w:r>
          </w:p>
        </w:tc>
        <w:tc>
          <w:tcPr>
            <w:tcW w:w="724" w:type="pct"/>
            <w:shd w:val="clear" w:color="auto" w:fill="FFFFFF" w:themeFill="background1"/>
            <w:vAlign w:val="center"/>
          </w:tcPr>
          <w:p w14:paraId="7A3D5AF9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  <w14:ligatures w14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1"/>
                <w:szCs w:val="21"/>
                <w:highlight w:val="none"/>
                <w14:ligatures w14:val="none"/>
              </w:rPr>
              <w:t>IPV4/IPV6双栈支持</w:t>
            </w:r>
          </w:p>
        </w:tc>
        <w:tc>
          <w:tcPr>
            <w:tcW w:w="461" w:type="pct"/>
            <w:vAlign w:val="center"/>
          </w:tcPr>
          <w:p w14:paraId="1908AF6A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2822" w:type="pct"/>
            <w:shd w:val="clear" w:color="auto" w:fill="FFFFFF" w:themeFill="background1"/>
            <w:vAlign w:val="center"/>
          </w:tcPr>
          <w:p w14:paraId="7DCC8EE0">
            <w:pPr>
              <w:widowControl/>
              <w:spacing w:line="240" w:lineRule="auto"/>
              <w:jc w:val="left"/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  <w14:ligatures w14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1"/>
                <w:szCs w:val="21"/>
                <w:highlight w:val="none"/>
                <w14:ligatures w14:val="none"/>
              </w:rPr>
              <w:t>系统支持IPV4及IPV6数据中心调度策略</w:t>
            </w:r>
          </w:p>
        </w:tc>
        <w:tc>
          <w:tcPr>
            <w:tcW w:w="574" w:type="pct"/>
            <w:vAlign w:val="center"/>
          </w:tcPr>
          <w:p w14:paraId="46472162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</w:pPr>
          </w:p>
        </w:tc>
      </w:tr>
      <w:tr w14:paraId="63B2F8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0" w:hRule="atLeast"/>
          <w:jc w:val="center"/>
        </w:trPr>
        <w:tc>
          <w:tcPr>
            <w:tcW w:w="417" w:type="pct"/>
            <w:vAlign w:val="center"/>
          </w:tcPr>
          <w:p w14:paraId="47A1C3EB">
            <w:pPr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38</w:t>
            </w:r>
          </w:p>
        </w:tc>
        <w:tc>
          <w:tcPr>
            <w:tcW w:w="724" w:type="pct"/>
            <w:shd w:val="clear" w:color="auto" w:fill="FFFFFF" w:themeFill="background1"/>
            <w:vAlign w:val="center"/>
          </w:tcPr>
          <w:p w14:paraId="051EEE23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  <w14:ligatures w14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1"/>
                <w:szCs w:val="21"/>
                <w:highlight w:val="none"/>
                <w14:ligatures w14:val="none"/>
              </w:rPr>
              <w:t>A/AAAA记录唯一性防护</w:t>
            </w:r>
          </w:p>
        </w:tc>
        <w:tc>
          <w:tcPr>
            <w:tcW w:w="461" w:type="pct"/>
            <w:vAlign w:val="center"/>
          </w:tcPr>
          <w:p w14:paraId="16AF40BF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2822" w:type="pct"/>
            <w:shd w:val="clear" w:color="auto" w:fill="FFFFFF" w:themeFill="background1"/>
            <w:vAlign w:val="center"/>
          </w:tcPr>
          <w:p w14:paraId="682E0A22">
            <w:pPr>
              <w:widowControl/>
              <w:spacing w:line="240" w:lineRule="auto"/>
              <w:jc w:val="left"/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  <w14:ligatures w14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1"/>
                <w:szCs w:val="21"/>
                <w:highlight w:val="none"/>
                <w14:ligatures w14:val="none"/>
              </w:rPr>
              <w:t>支持对某个权威区开启A/AAAA记录唯一性防护，开启后该业务区内的域名只允许存在单个A记录或AAAA记录，避免出现业务调整时，历史数据遗漏未删除的情况。</w:t>
            </w:r>
          </w:p>
        </w:tc>
        <w:tc>
          <w:tcPr>
            <w:tcW w:w="574" w:type="pct"/>
            <w:vAlign w:val="center"/>
          </w:tcPr>
          <w:p w14:paraId="3BC2DAB7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</w:pPr>
          </w:p>
        </w:tc>
      </w:tr>
      <w:tr w14:paraId="4748A1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417" w:type="pct"/>
            <w:vAlign w:val="center"/>
          </w:tcPr>
          <w:p w14:paraId="15029B28">
            <w:pPr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39</w:t>
            </w:r>
          </w:p>
        </w:tc>
        <w:tc>
          <w:tcPr>
            <w:tcW w:w="724" w:type="pct"/>
            <w:shd w:val="clear" w:color="auto" w:fill="FFFFFF" w:themeFill="background1"/>
            <w:vAlign w:val="center"/>
          </w:tcPr>
          <w:p w14:paraId="2268A2B6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  <w14:ligatures w14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1"/>
                <w:szCs w:val="21"/>
                <w:highlight w:val="none"/>
                <w:lang w:bidi="ar"/>
              </w:rPr>
              <w:t>涉密资质</w:t>
            </w:r>
          </w:p>
        </w:tc>
        <w:tc>
          <w:tcPr>
            <w:tcW w:w="461" w:type="pct"/>
            <w:vAlign w:val="center"/>
          </w:tcPr>
          <w:p w14:paraId="28622BE0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2822" w:type="pct"/>
            <w:shd w:val="clear" w:color="auto" w:fill="FFFFFF" w:themeFill="background1"/>
            <w:vAlign w:val="center"/>
          </w:tcPr>
          <w:p w14:paraId="75B29C36">
            <w:pPr>
              <w:widowControl/>
              <w:spacing w:line="240" w:lineRule="auto"/>
              <w:jc w:val="left"/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  <w14:ligatures w14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1"/>
                <w:szCs w:val="21"/>
                <w:highlight w:val="none"/>
                <w:lang w:bidi="ar"/>
              </w:rPr>
              <w:t>投标产品应具有国家保密局颁发的符合国家保密标准的资质证书，需包含“DNS“或“域名解析”或“DDI”字样，提供证书复印件</w:t>
            </w:r>
          </w:p>
        </w:tc>
        <w:tc>
          <w:tcPr>
            <w:tcW w:w="574" w:type="pct"/>
            <w:vAlign w:val="center"/>
          </w:tcPr>
          <w:p w14:paraId="63012A1B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是</w:t>
            </w:r>
          </w:p>
        </w:tc>
      </w:tr>
      <w:tr w14:paraId="225E64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417" w:type="pct"/>
            <w:vAlign w:val="center"/>
          </w:tcPr>
          <w:p w14:paraId="2BF10757">
            <w:pPr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40</w:t>
            </w:r>
          </w:p>
        </w:tc>
        <w:tc>
          <w:tcPr>
            <w:tcW w:w="724" w:type="pct"/>
            <w:shd w:val="clear" w:color="auto" w:fill="FFFFFF" w:themeFill="background1"/>
            <w:vAlign w:val="center"/>
          </w:tcPr>
          <w:p w14:paraId="58D1941E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  <w14:ligatures w14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1"/>
                <w:szCs w:val="21"/>
                <w:highlight w:val="none"/>
                <w14:ligatures w14:val="none"/>
              </w:rPr>
              <w:t>保修和升级服务</w:t>
            </w:r>
          </w:p>
        </w:tc>
        <w:tc>
          <w:tcPr>
            <w:tcW w:w="461" w:type="pct"/>
            <w:vAlign w:val="center"/>
          </w:tcPr>
          <w:p w14:paraId="76115270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2822" w:type="pct"/>
            <w:shd w:val="clear" w:color="auto" w:fill="FFFFFF" w:themeFill="background1"/>
            <w:vAlign w:val="center"/>
          </w:tcPr>
          <w:p w14:paraId="24327F35">
            <w:pPr>
              <w:widowControl/>
              <w:spacing w:line="240" w:lineRule="auto"/>
              <w:jc w:val="left"/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  <w14:ligatures w14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1"/>
                <w:szCs w:val="21"/>
                <w:highlight w:val="none"/>
                <w14:ligatures w14:val="none"/>
              </w:rPr>
              <w:t>原厂</w:t>
            </w:r>
            <w:r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1"/>
                <w:szCs w:val="21"/>
                <w:highlight w:val="none"/>
                <w:lang w:val="en-US" w:eastAsia="zh-CN"/>
                <w14:ligatures w14:val="none"/>
              </w:rPr>
              <w:t>5</w:t>
            </w:r>
            <w:r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1"/>
                <w:szCs w:val="21"/>
                <w:highlight w:val="none"/>
                <w14:ligatures w14:val="none"/>
              </w:rPr>
              <w:t>年硬件保修服务和软件升级服务</w:t>
            </w:r>
          </w:p>
        </w:tc>
        <w:tc>
          <w:tcPr>
            <w:tcW w:w="574" w:type="pct"/>
            <w:vAlign w:val="center"/>
          </w:tcPr>
          <w:p w14:paraId="70920D0D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是</w:t>
            </w:r>
          </w:p>
        </w:tc>
      </w:tr>
      <w:tr w14:paraId="23AC99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417" w:type="pct"/>
            <w:vAlign w:val="center"/>
          </w:tcPr>
          <w:p w14:paraId="5FA03287">
            <w:pPr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41</w:t>
            </w:r>
          </w:p>
        </w:tc>
        <w:tc>
          <w:tcPr>
            <w:tcW w:w="724" w:type="pct"/>
            <w:shd w:val="clear" w:color="auto" w:fill="FFFFFF" w:themeFill="background1"/>
            <w:vAlign w:val="center"/>
          </w:tcPr>
          <w:p w14:paraId="4B46B600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  <w14:ligatures w14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1"/>
                <w:szCs w:val="21"/>
                <w:highlight w:val="none"/>
                <w14:ligatures w14:val="none"/>
              </w:rPr>
              <w:t>智能拨测服务</w:t>
            </w:r>
          </w:p>
        </w:tc>
        <w:tc>
          <w:tcPr>
            <w:tcW w:w="461" w:type="pct"/>
            <w:vAlign w:val="center"/>
          </w:tcPr>
          <w:p w14:paraId="693C22D0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2822" w:type="pct"/>
            <w:shd w:val="clear" w:color="auto" w:fill="FFFFFF" w:themeFill="background1"/>
            <w:vAlign w:val="center"/>
          </w:tcPr>
          <w:p w14:paraId="2B2AB0F4">
            <w:pPr>
              <w:widowControl/>
              <w:spacing w:line="240" w:lineRule="auto"/>
              <w:jc w:val="left"/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  <w14:ligatures w14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1"/>
                <w:szCs w:val="21"/>
                <w:highlight w:val="none"/>
                <w14:ligatures w14:val="none"/>
              </w:rPr>
              <w:t>按季度提供智能拨测服务，并输出相应的拨测结果报告。对重要网站通过不同出口链路进行拨测，并根据拨测返回多维度解析结果，辅助实现目标资源的最优访问。</w:t>
            </w:r>
          </w:p>
        </w:tc>
        <w:tc>
          <w:tcPr>
            <w:tcW w:w="574" w:type="pct"/>
            <w:vAlign w:val="center"/>
          </w:tcPr>
          <w:p w14:paraId="32C39122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</w:pPr>
          </w:p>
        </w:tc>
      </w:tr>
      <w:tr w14:paraId="31B69E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417" w:type="pct"/>
            <w:vAlign w:val="center"/>
          </w:tcPr>
          <w:p w14:paraId="5D5BBA24">
            <w:pPr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42</w:t>
            </w:r>
          </w:p>
        </w:tc>
        <w:tc>
          <w:tcPr>
            <w:tcW w:w="724" w:type="pct"/>
            <w:shd w:val="clear" w:color="auto" w:fill="FFFFFF" w:themeFill="background1"/>
            <w:vAlign w:val="center"/>
          </w:tcPr>
          <w:p w14:paraId="18257DDE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  <w14:ligatures w14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1"/>
                <w:szCs w:val="21"/>
                <w:highlight w:val="none"/>
                <w14:ligatures w14:val="none"/>
              </w:rPr>
              <w:t>制造商授权</w:t>
            </w:r>
          </w:p>
        </w:tc>
        <w:tc>
          <w:tcPr>
            <w:tcW w:w="461" w:type="pct"/>
            <w:vAlign w:val="center"/>
          </w:tcPr>
          <w:p w14:paraId="3AF86EFE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2822" w:type="pct"/>
            <w:shd w:val="clear" w:color="auto" w:fill="FFFFFF" w:themeFill="background1"/>
            <w:vAlign w:val="center"/>
          </w:tcPr>
          <w:p w14:paraId="16C0B688">
            <w:pPr>
              <w:widowControl/>
              <w:spacing w:line="240" w:lineRule="auto"/>
              <w:jc w:val="left"/>
              <w:rPr>
                <w:rFonts w:hint="default" w:ascii="Times New Roman" w:hAnsi="Times New Roman" w:eastAsia="方正兰亭黑简体" w:cs="Times New Roman"/>
                <w:b/>
                <w:bCs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  <w14:ligatures w14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1"/>
                <w:szCs w:val="21"/>
                <w:highlight w:val="none"/>
                <w14:ligatures w14:val="none"/>
              </w:rPr>
              <w:t>提供制造商针对本项目的项目授权书（盖制造商公章）</w:t>
            </w:r>
          </w:p>
        </w:tc>
        <w:tc>
          <w:tcPr>
            <w:tcW w:w="574" w:type="pct"/>
            <w:vAlign w:val="center"/>
          </w:tcPr>
          <w:p w14:paraId="39C9F6BC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是</w:t>
            </w:r>
          </w:p>
        </w:tc>
      </w:tr>
    </w:tbl>
    <w:p w14:paraId="6F49821F">
      <w:pPr>
        <w:widowControl/>
        <w:shd w:val="clear" w:color="auto" w:fill="FFFFFF"/>
        <w:spacing w:line="240" w:lineRule="auto"/>
        <w:jc w:val="left"/>
        <w:rPr>
          <w:rFonts w:hint="eastAsia" w:ascii="方正兰亭黑简体" w:hAnsi="方正兰亭黑简体" w:eastAsia="方正兰亭黑简体" w:cs="方正兰亭黑简体"/>
          <w:b/>
          <w:bCs/>
          <w:color w:val="auto"/>
          <w:kern w:val="0"/>
          <w:sz w:val="22"/>
          <w:szCs w:val="22"/>
          <w:highlight w:val="none"/>
          <w:lang w:val="en-US" w:eastAsia="zh-CN"/>
        </w:rPr>
      </w:pPr>
    </w:p>
    <w:p w14:paraId="34E97200">
      <w:pPr>
        <w:widowControl/>
        <w:shd w:val="clear" w:color="auto" w:fill="FFFFFF"/>
        <w:spacing w:line="240" w:lineRule="auto"/>
        <w:jc w:val="left"/>
        <w:rPr>
          <w:rFonts w:hint="eastAsia" w:ascii="方正兰亭黑简体" w:hAnsi="方正兰亭黑简体" w:eastAsia="方正兰亭黑简体" w:cs="方正兰亭黑简体"/>
          <w:color w:val="auto"/>
          <w:kern w:val="0"/>
          <w:sz w:val="22"/>
          <w:szCs w:val="22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kern w:val="0"/>
          <w:sz w:val="22"/>
          <w:szCs w:val="22"/>
          <w:highlight w:val="none"/>
          <w:lang w:val="en-US" w:eastAsia="zh-CN"/>
        </w:rPr>
        <w:t>三</w:t>
      </w:r>
      <w:r>
        <w:rPr>
          <w:rFonts w:hint="default" w:ascii="方正兰亭黑简体" w:hAnsi="方正兰亭黑简体" w:eastAsia="方正兰亭黑简体" w:cs="方正兰亭黑简体"/>
          <w:b/>
          <w:bCs/>
          <w:color w:val="auto"/>
          <w:kern w:val="0"/>
          <w:sz w:val="22"/>
          <w:szCs w:val="22"/>
          <w:highlight w:val="none"/>
          <w:lang w:val="en-US" w:eastAsia="zh-CN"/>
        </w:rPr>
        <w:t>、</w:t>
      </w: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kern w:val="0"/>
          <w:sz w:val="22"/>
          <w:szCs w:val="22"/>
          <w:highlight w:val="none"/>
          <w:lang w:val="en-US" w:eastAsia="zh-CN"/>
        </w:rPr>
        <w:t>其他要求</w:t>
      </w:r>
    </w:p>
    <w:p w14:paraId="1B7661F4">
      <w:pPr>
        <w:widowControl/>
        <w:shd w:val="clear" w:color="auto" w:fill="FFFFFF"/>
        <w:spacing w:line="240" w:lineRule="auto"/>
        <w:jc w:val="left"/>
        <w:rPr>
          <w:rFonts w:hint="default" w:ascii="方正兰亭黑简体" w:hAnsi="方正兰亭黑简体" w:eastAsia="方正兰亭黑简体" w:cs="方正兰亭黑简体"/>
          <w:b w:val="0"/>
          <w:bCs w:val="0"/>
          <w:color w:val="auto"/>
          <w:sz w:val="22"/>
          <w:szCs w:val="22"/>
          <w:highlight w:val="none"/>
          <w:u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b w:val="0"/>
          <w:bCs w:val="0"/>
          <w:color w:val="auto"/>
          <w:sz w:val="22"/>
          <w:szCs w:val="22"/>
          <w:highlight w:val="none"/>
          <w:u w:val="none"/>
          <w:lang w:val="en-US" w:eastAsia="zh-CN"/>
        </w:rPr>
        <w:t>1、质保及售后要求：</w:t>
      </w:r>
      <w:r>
        <w:rPr>
          <w:rFonts w:hint="eastAsia" w:ascii="方正兰亭黑简体" w:hAnsi="方正兰亭黑简体" w:eastAsia="方正兰亭黑简体" w:cs="方正兰亭黑简体"/>
          <w:b w:val="0"/>
          <w:bCs w:val="0"/>
          <w:color w:val="auto"/>
          <w:sz w:val="22"/>
          <w:szCs w:val="22"/>
          <w:highlight w:val="none"/>
          <w:u w:val="none"/>
          <w:lang w:val="zh-CN" w:eastAsia="zh-CN"/>
        </w:rPr>
        <w:t>所有硬件</w:t>
      </w:r>
      <w:r>
        <w:rPr>
          <w:rFonts w:hint="eastAsia" w:ascii="方正兰亭黑简体" w:hAnsi="方正兰亭黑简体" w:eastAsia="方正兰亭黑简体" w:cs="方正兰亭黑简体"/>
          <w:b w:val="0"/>
          <w:bCs w:val="0"/>
          <w:color w:val="auto"/>
          <w:sz w:val="22"/>
          <w:szCs w:val="22"/>
          <w:highlight w:val="none"/>
          <w:u w:val="none"/>
          <w:lang w:val="en-US" w:eastAsia="zh-CN"/>
        </w:rPr>
        <w:t>五</w:t>
      </w:r>
      <w:r>
        <w:rPr>
          <w:rFonts w:hint="eastAsia" w:ascii="方正兰亭黑简体" w:hAnsi="方正兰亭黑简体" w:eastAsia="方正兰亭黑简体" w:cs="方正兰亭黑简体"/>
          <w:b w:val="0"/>
          <w:bCs w:val="0"/>
          <w:color w:val="auto"/>
          <w:sz w:val="22"/>
          <w:szCs w:val="22"/>
          <w:highlight w:val="none"/>
          <w:u w:val="none"/>
          <w:lang w:val="zh-CN" w:eastAsia="zh-CN"/>
        </w:rPr>
        <w:t>年免费保修、所有软件</w:t>
      </w:r>
      <w:r>
        <w:rPr>
          <w:rFonts w:hint="eastAsia" w:ascii="方正兰亭黑简体" w:hAnsi="方正兰亭黑简体" w:eastAsia="方正兰亭黑简体" w:cs="方正兰亭黑简体"/>
          <w:b w:val="0"/>
          <w:bCs w:val="0"/>
          <w:color w:val="auto"/>
          <w:sz w:val="22"/>
          <w:szCs w:val="22"/>
          <w:highlight w:val="none"/>
          <w:u w:val="none"/>
          <w:lang w:val="en-US" w:eastAsia="zh-CN"/>
        </w:rPr>
        <w:t>五</w:t>
      </w:r>
      <w:r>
        <w:rPr>
          <w:rFonts w:hint="eastAsia" w:ascii="方正兰亭黑简体" w:hAnsi="方正兰亭黑简体" w:eastAsia="方正兰亭黑简体" w:cs="方正兰亭黑简体"/>
          <w:b w:val="0"/>
          <w:bCs w:val="0"/>
          <w:color w:val="auto"/>
          <w:sz w:val="22"/>
          <w:szCs w:val="22"/>
          <w:highlight w:val="none"/>
          <w:u w:val="none"/>
          <w:lang w:val="zh-CN" w:eastAsia="zh-CN"/>
        </w:rPr>
        <w:t>年免费</w:t>
      </w:r>
      <w:r>
        <w:rPr>
          <w:rFonts w:hint="eastAsia" w:ascii="方正兰亭黑简体" w:hAnsi="方正兰亭黑简体" w:eastAsia="方正兰亭黑简体" w:cs="方正兰亭黑简体"/>
          <w:b w:val="0"/>
          <w:bCs w:val="0"/>
          <w:color w:val="auto"/>
          <w:sz w:val="22"/>
          <w:szCs w:val="22"/>
          <w:highlight w:val="none"/>
          <w:u w:val="none"/>
          <w:lang w:val="en-US" w:eastAsia="zh-CN"/>
        </w:rPr>
        <w:t>维护</w:t>
      </w:r>
      <w:r>
        <w:rPr>
          <w:rFonts w:hint="eastAsia" w:ascii="方正兰亭黑简体" w:hAnsi="方正兰亭黑简体" w:eastAsia="方正兰亭黑简体" w:cs="方正兰亭黑简体"/>
          <w:b w:val="0"/>
          <w:bCs w:val="0"/>
          <w:color w:val="auto"/>
          <w:sz w:val="22"/>
          <w:szCs w:val="22"/>
          <w:highlight w:val="none"/>
          <w:u w:val="none"/>
          <w:lang w:val="zh-CN" w:eastAsia="zh-CN"/>
        </w:rPr>
        <w:t>升级、电话报修后</w:t>
      </w:r>
      <w:r>
        <w:rPr>
          <w:rFonts w:hint="eastAsia" w:ascii="方正兰亭黑简体" w:hAnsi="方正兰亭黑简体" w:eastAsia="方正兰亭黑简体" w:cs="方正兰亭黑简体"/>
          <w:b w:val="0"/>
          <w:bCs w:val="0"/>
          <w:color w:val="auto"/>
          <w:sz w:val="22"/>
          <w:szCs w:val="22"/>
          <w:highlight w:val="none"/>
          <w:u w:val="none"/>
          <w:lang w:val="en-US" w:eastAsia="zh-CN"/>
        </w:rPr>
        <w:t>8</w:t>
      </w:r>
      <w:r>
        <w:rPr>
          <w:rFonts w:hint="eastAsia" w:ascii="方正兰亭黑简体" w:hAnsi="方正兰亭黑简体" w:eastAsia="方正兰亭黑简体" w:cs="方正兰亭黑简体"/>
          <w:b w:val="0"/>
          <w:bCs w:val="0"/>
          <w:color w:val="auto"/>
          <w:sz w:val="22"/>
          <w:szCs w:val="22"/>
          <w:highlight w:val="none"/>
          <w:u w:val="none"/>
          <w:lang w:val="zh-CN" w:eastAsia="zh-CN"/>
        </w:rPr>
        <w:t>小时上门服务、</w:t>
      </w:r>
      <w:r>
        <w:rPr>
          <w:rFonts w:hint="eastAsia" w:ascii="方正兰亭黑简体" w:hAnsi="方正兰亭黑简体" w:eastAsia="方正兰亭黑简体" w:cs="方正兰亭黑简体"/>
          <w:b w:val="0"/>
          <w:bCs w:val="0"/>
          <w:color w:val="auto"/>
          <w:sz w:val="22"/>
          <w:szCs w:val="22"/>
          <w:highlight w:val="none"/>
          <w:u w:val="none"/>
          <w:lang w:val="en-US" w:eastAsia="zh-CN"/>
        </w:rPr>
        <w:t>2</w:t>
      </w:r>
      <w:r>
        <w:rPr>
          <w:rFonts w:hint="eastAsia" w:ascii="方正兰亭黑简体" w:hAnsi="方正兰亭黑简体" w:eastAsia="方正兰亭黑简体" w:cs="方正兰亭黑简体"/>
          <w:b w:val="0"/>
          <w:bCs w:val="0"/>
          <w:color w:val="auto"/>
          <w:sz w:val="22"/>
          <w:szCs w:val="22"/>
          <w:highlight w:val="none"/>
          <w:u w:val="none"/>
          <w:lang w:val="zh-CN" w:eastAsia="zh-CN"/>
        </w:rPr>
        <w:t>小时内排除故障。</w:t>
      </w:r>
    </w:p>
    <w:p w14:paraId="436103FD">
      <w:pPr>
        <w:widowControl/>
        <w:shd w:val="clear" w:color="auto" w:fill="FFFFFF"/>
        <w:spacing w:line="240" w:lineRule="auto"/>
        <w:jc w:val="left"/>
        <w:rPr>
          <w:rFonts w:hint="eastAsia" w:ascii="方正兰亭黑简体" w:hAnsi="方正兰亭黑简体" w:eastAsia="方正兰亭黑简体" w:cs="方正兰亭黑简体"/>
          <w:b w:val="0"/>
          <w:bCs w:val="0"/>
          <w:color w:val="auto"/>
          <w:sz w:val="22"/>
          <w:szCs w:val="22"/>
          <w:highlight w:val="none"/>
          <w:u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b w:val="0"/>
          <w:bCs w:val="0"/>
          <w:color w:val="auto"/>
          <w:sz w:val="22"/>
          <w:szCs w:val="22"/>
          <w:highlight w:val="none"/>
          <w:u w:val="none"/>
          <w:lang w:val="en-US" w:eastAsia="zh-CN"/>
        </w:rPr>
        <w:t>2、履约验收：</w:t>
      </w:r>
    </w:p>
    <w:p w14:paraId="3CFAD159">
      <w:pPr>
        <w:widowControl/>
        <w:shd w:val="clear" w:color="auto" w:fill="FFFFFF"/>
        <w:spacing w:line="240" w:lineRule="auto"/>
        <w:jc w:val="left"/>
        <w:rPr>
          <w:rFonts w:hint="eastAsia" w:ascii="方正兰亭黑简体" w:hAnsi="方正兰亭黑简体" w:eastAsia="方正兰亭黑简体" w:cs="方正兰亭黑简体"/>
          <w:b w:val="0"/>
          <w:bCs w:val="0"/>
          <w:color w:val="auto"/>
          <w:sz w:val="22"/>
          <w:szCs w:val="22"/>
          <w:highlight w:val="none"/>
          <w:u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b w:val="0"/>
          <w:bCs w:val="0"/>
          <w:color w:val="auto"/>
          <w:sz w:val="22"/>
          <w:szCs w:val="22"/>
          <w:highlight w:val="none"/>
          <w:u w:val="none"/>
          <w:lang w:val="en-US" w:eastAsia="zh-CN"/>
        </w:rPr>
        <w:t>验收方法：甲方组织内部专家评审。</w:t>
      </w:r>
    </w:p>
    <w:p w14:paraId="38C7A985">
      <w:pPr>
        <w:widowControl/>
        <w:shd w:val="clear" w:color="auto" w:fill="FFFFFF"/>
        <w:spacing w:line="240" w:lineRule="auto"/>
        <w:jc w:val="left"/>
        <w:rPr>
          <w:rFonts w:hint="default" w:ascii="方正兰亭黑简体" w:hAnsi="方正兰亭黑简体" w:eastAsia="方正兰亭黑简体" w:cs="方正兰亭黑简体"/>
          <w:b w:val="0"/>
          <w:bCs w:val="0"/>
          <w:color w:val="auto"/>
          <w:sz w:val="22"/>
          <w:szCs w:val="22"/>
          <w:highlight w:val="none"/>
          <w:u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b w:val="0"/>
          <w:bCs w:val="0"/>
          <w:color w:val="auto"/>
          <w:sz w:val="22"/>
          <w:szCs w:val="22"/>
          <w:highlight w:val="none"/>
          <w:u w:val="none"/>
          <w:lang w:val="en-US" w:eastAsia="zh-CN"/>
        </w:rPr>
        <w:t>验收标准：满足技术和商务要求。</w:t>
      </w:r>
    </w:p>
    <w:p w14:paraId="104324FB">
      <w:pP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  <w:br w:type="page"/>
      </w:r>
    </w:p>
    <w:p w14:paraId="6F08D747">
      <w:pPr>
        <w:jc w:val="center"/>
        <w:rPr>
          <w:rFonts w:hint="default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  <w:t>第三章 评审办法</w:t>
      </w:r>
    </w:p>
    <w:p w14:paraId="69EFEE19">
      <w:pPr>
        <w:ind w:firstLine="440" w:firstLineChars="200"/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综合本项目的特点，根据相关法律法规的规定，本着保护竞争，维护采购工作公开、公平、公正原则，特制定本评审办法，作为选定本次采购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eastAsia="zh-CN"/>
        </w:rPr>
        <w:t>中标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人的依据。</w:t>
      </w:r>
    </w:p>
    <w:p w14:paraId="117C4525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1、成立比选评审小组</w:t>
      </w:r>
    </w:p>
    <w:p w14:paraId="49C58FDA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采购人将根据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货物与服务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的特点，依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规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组建比选小组，比选小组由3人或以上的单数组成。</w:t>
      </w:r>
    </w:p>
    <w:p w14:paraId="123C9161">
      <w:pPr>
        <w:numPr>
          <w:ilvl w:val="0"/>
          <w:numId w:val="0"/>
        </w:num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kern w:val="2"/>
          <w:sz w:val="22"/>
          <w:szCs w:val="28"/>
          <w:highlight w:val="none"/>
          <w:lang w:val="en-US" w:eastAsia="zh-CN" w:bidi="ar-SA"/>
        </w:rPr>
        <w:t>2、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具体评分细则如下：</w:t>
      </w:r>
    </w:p>
    <w:tbl>
      <w:tblPr>
        <w:tblStyle w:val="14"/>
        <w:tblW w:w="4981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6"/>
        <w:gridCol w:w="1487"/>
        <w:gridCol w:w="691"/>
        <w:gridCol w:w="7100"/>
      </w:tblGrid>
      <w:tr w14:paraId="64002D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326" w:type="pct"/>
            <w:noWrap w:val="0"/>
            <w:vAlign w:val="center"/>
          </w:tcPr>
          <w:p w14:paraId="742FB554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b/>
                <w:bCs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b/>
                <w:bCs/>
                <w:color w:val="auto"/>
                <w:sz w:val="20"/>
                <w:szCs w:val="20"/>
                <w:highlight w:val="none"/>
              </w:rPr>
              <w:t>序号</w:t>
            </w:r>
          </w:p>
        </w:tc>
        <w:tc>
          <w:tcPr>
            <w:tcW w:w="749" w:type="pct"/>
            <w:noWrap w:val="0"/>
            <w:vAlign w:val="center"/>
          </w:tcPr>
          <w:p w14:paraId="5F54B63A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b/>
                <w:bCs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b/>
                <w:bCs/>
                <w:color w:val="auto"/>
                <w:sz w:val="20"/>
                <w:szCs w:val="20"/>
                <w:highlight w:val="none"/>
              </w:rPr>
              <w:t>评审因素</w:t>
            </w:r>
          </w:p>
        </w:tc>
        <w:tc>
          <w:tcPr>
            <w:tcW w:w="348" w:type="pct"/>
            <w:noWrap w:val="0"/>
            <w:vAlign w:val="center"/>
          </w:tcPr>
          <w:p w14:paraId="25FE165D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b/>
                <w:bCs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b/>
                <w:bCs/>
                <w:color w:val="auto"/>
                <w:sz w:val="20"/>
                <w:szCs w:val="20"/>
                <w:highlight w:val="none"/>
              </w:rPr>
              <w:t>分值</w:t>
            </w:r>
          </w:p>
        </w:tc>
        <w:tc>
          <w:tcPr>
            <w:tcW w:w="3575" w:type="pct"/>
            <w:noWrap w:val="0"/>
            <w:vAlign w:val="center"/>
          </w:tcPr>
          <w:p w14:paraId="1A737473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b/>
                <w:bCs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b/>
                <w:bCs/>
                <w:color w:val="auto"/>
                <w:sz w:val="20"/>
                <w:szCs w:val="20"/>
                <w:highlight w:val="none"/>
              </w:rPr>
              <w:t>评分说明</w:t>
            </w:r>
          </w:p>
        </w:tc>
      </w:tr>
      <w:tr w14:paraId="41C4C7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000" w:type="pct"/>
            <w:gridSpan w:val="4"/>
            <w:noWrap w:val="0"/>
            <w:vAlign w:val="center"/>
          </w:tcPr>
          <w:p w14:paraId="3FFFCA77">
            <w:pPr>
              <w:spacing w:line="360" w:lineRule="auto"/>
              <w:jc w:val="left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一、价格部分</w:t>
            </w:r>
          </w:p>
        </w:tc>
      </w:tr>
      <w:tr w14:paraId="7E29D1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326" w:type="pct"/>
            <w:noWrap w:val="0"/>
            <w:vAlign w:val="center"/>
          </w:tcPr>
          <w:p w14:paraId="10CE2961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1</w:t>
            </w:r>
          </w:p>
        </w:tc>
        <w:tc>
          <w:tcPr>
            <w:tcW w:w="749" w:type="pct"/>
            <w:noWrap w:val="0"/>
            <w:vAlign w:val="center"/>
          </w:tcPr>
          <w:p w14:paraId="69DFDD83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价格得分</w:t>
            </w:r>
          </w:p>
          <w:p w14:paraId="5224EE0B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  <w:t>（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客观分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  <w:t>）</w:t>
            </w:r>
          </w:p>
        </w:tc>
        <w:tc>
          <w:tcPr>
            <w:tcW w:w="348" w:type="pct"/>
            <w:noWrap w:val="0"/>
            <w:vAlign w:val="center"/>
          </w:tcPr>
          <w:p w14:paraId="4CB6FE52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30</w:t>
            </w:r>
          </w:p>
        </w:tc>
        <w:tc>
          <w:tcPr>
            <w:tcW w:w="3575" w:type="pct"/>
            <w:noWrap w:val="0"/>
            <w:vAlign w:val="center"/>
          </w:tcPr>
          <w:p w14:paraId="7EE17ECD">
            <w:pPr>
              <w:spacing w:line="360" w:lineRule="auto"/>
              <w:jc w:val="both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采用低价优先法计算，即满足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比选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文件要求且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最低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的报价为基准价，其价格分为满分30分。其他报价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单位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的报价得分计算公式如下：</w:t>
            </w:r>
          </w:p>
          <w:p w14:paraId="00A2DA11">
            <w:pPr>
              <w:spacing w:line="360" w:lineRule="auto"/>
              <w:jc w:val="both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报价得分＝30×（评标基准价/投标报价）。</w:t>
            </w:r>
          </w:p>
        </w:tc>
      </w:tr>
      <w:tr w14:paraId="1CE67C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000" w:type="pct"/>
            <w:gridSpan w:val="4"/>
            <w:noWrap w:val="0"/>
            <w:vAlign w:val="center"/>
          </w:tcPr>
          <w:p w14:paraId="14AC1211">
            <w:pPr>
              <w:spacing w:line="360" w:lineRule="auto"/>
              <w:jc w:val="both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二、商务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  <w:t>、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技术部分</w:t>
            </w:r>
          </w:p>
        </w:tc>
      </w:tr>
      <w:tr w14:paraId="603C32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326" w:type="pct"/>
            <w:noWrap w:val="0"/>
            <w:vAlign w:val="center"/>
          </w:tcPr>
          <w:p w14:paraId="69B44514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2</w:t>
            </w:r>
          </w:p>
        </w:tc>
        <w:tc>
          <w:tcPr>
            <w:tcW w:w="749" w:type="pct"/>
            <w:noWrap w:val="0"/>
            <w:vAlign w:val="center"/>
          </w:tcPr>
          <w:p w14:paraId="79287FAA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投标产品的技术响应</w:t>
            </w:r>
          </w:p>
          <w:p w14:paraId="67ADC1EB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  <w:t>（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客观分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  <w:t>）</w:t>
            </w:r>
          </w:p>
        </w:tc>
        <w:tc>
          <w:tcPr>
            <w:tcW w:w="348" w:type="pct"/>
            <w:noWrap w:val="0"/>
            <w:vAlign w:val="center"/>
          </w:tcPr>
          <w:p w14:paraId="7C2DAE44">
            <w:pPr>
              <w:spacing w:line="360" w:lineRule="auto"/>
              <w:jc w:val="center"/>
              <w:rPr>
                <w:rFonts w:hint="default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20</w:t>
            </w:r>
          </w:p>
        </w:tc>
        <w:tc>
          <w:tcPr>
            <w:tcW w:w="3575" w:type="pct"/>
            <w:shd w:val="clear" w:color="auto" w:fill="auto"/>
            <w:noWrap w:val="0"/>
            <w:vAlign w:val="center"/>
          </w:tcPr>
          <w:p w14:paraId="43E70931">
            <w:pPr>
              <w:spacing w:line="360" w:lineRule="auto"/>
              <w:jc w:val="both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根据供应商对技术指标响应情况评分：</w:t>
            </w:r>
          </w:p>
          <w:p w14:paraId="1550229A">
            <w:pPr>
              <w:spacing w:line="360" w:lineRule="auto"/>
              <w:jc w:val="both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1）技术指标满足招标参数要求、并全部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  <w:t>提供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▲项要求的证明材料的得20分；</w:t>
            </w:r>
          </w:p>
          <w:p w14:paraId="4B326CDE">
            <w:pPr>
              <w:spacing w:line="360" w:lineRule="auto"/>
              <w:jc w:val="both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2）技术指标满足招标参数要求、未提供▲项要求的证明材料的、每缺漏1项扣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4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分。</w:t>
            </w:r>
          </w:p>
        </w:tc>
      </w:tr>
      <w:tr w14:paraId="4674DA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326" w:type="pct"/>
            <w:noWrap w:val="0"/>
            <w:vAlign w:val="center"/>
          </w:tcPr>
          <w:p w14:paraId="147D3766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3</w:t>
            </w:r>
          </w:p>
        </w:tc>
        <w:tc>
          <w:tcPr>
            <w:tcW w:w="749" w:type="pct"/>
            <w:noWrap w:val="0"/>
            <w:vAlign w:val="center"/>
          </w:tcPr>
          <w:p w14:paraId="63414EBB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技术方案</w:t>
            </w:r>
          </w:p>
          <w:p w14:paraId="4B315EEB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  <w:t>（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主观分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  <w:t>）</w:t>
            </w:r>
          </w:p>
        </w:tc>
        <w:tc>
          <w:tcPr>
            <w:tcW w:w="348" w:type="pct"/>
            <w:noWrap w:val="0"/>
            <w:vAlign w:val="center"/>
          </w:tcPr>
          <w:p w14:paraId="70332D36">
            <w:pPr>
              <w:spacing w:line="360" w:lineRule="auto"/>
              <w:jc w:val="center"/>
              <w:rPr>
                <w:rFonts w:hint="default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10</w:t>
            </w:r>
          </w:p>
        </w:tc>
        <w:tc>
          <w:tcPr>
            <w:tcW w:w="3575" w:type="pct"/>
            <w:shd w:val="clear" w:color="auto" w:fill="auto"/>
            <w:noWrap w:val="0"/>
            <w:vAlign w:val="center"/>
          </w:tcPr>
          <w:p w14:paraId="3D3C9DD2">
            <w:pPr>
              <w:spacing w:line="360" w:lineRule="auto"/>
              <w:jc w:val="both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根据供应商技术方案的完整性、合理性、针对性和安全性方面评分：</w:t>
            </w:r>
          </w:p>
          <w:p w14:paraId="312E4EF4">
            <w:pPr>
              <w:spacing w:line="360" w:lineRule="auto"/>
              <w:jc w:val="both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1）技术方案完整且比较优秀的得7～10分；</w:t>
            </w:r>
          </w:p>
          <w:p w14:paraId="270BD59F">
            <w:pPr>
              <w:spacing w:line="360" w:lineRule="auto"/>
              <w:jc w:val="both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2）技术方案较为一般的得3～6分；</w:t>
            </w:r>
          </w:p>
          <w:p w14:paraId="790D9721">
            <w:pPr>
              <w:spacing w:line="360" w:lineRule="auto"/>
              <w:jc w:val="both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3）未提供技术方案或技术方案差的0～2分。</w:t>
            </w:r>
          </w:p>
        </w:tc>
      </w:tr>
      <w:tr w14:paraId="321557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326" w:type="pct"/>
            <w:noWrap w:val="0"/>
            <w:vAlign w:val="center"/>
          </w:tcPr>
          <w:p w14:paraId="67884245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4</w:t>
            </w:r>
          </w:p>
        </w:tc>
        <w:tc>
          <w:tcPr>
            <w:tcW w:w="749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C65E43D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项目团队人员配备</w:t>
            </w:r>
          </w:p>
          <w:p w14:paraId="2D96D4EE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  <w:t>（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主观分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  <w:t>）</w:t>
            </w:r>
          </w:p>
        </w:tc>
        <w:tc>
          <w:tcPr>
            <w:tcW w:w="348" w:type="pct"/>
            <w:noWrap w:val="0"/>
            <w:vAlign w:val="center"/>
          </w:tcPr>
          <w:p w14:paraId="3662F0A0">
            <w:pPr>
              <w:spacing w:line="360" w:lineRule="auto"/>
              <w:jc w:val="center"/>
              <w:rPr>
                <w:rFonts w:hint="default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10</w:t>
            </w:r>
          </w:p>
        </w:tc>
        <w:tc>
          <w:tcPr>
            <w:tcW w:w="3575" w:type="pct"/>
            <w:shd w:val="clear" w:color="auto" w:fill="auto"/>
            <w:noWrap w:val="0"/>
            <w:vAlign w:val="center"/>
          </w:tcPr>
          <w:p w14:paraId="45F9C78A">
            <w:pPr>
              <w:spacing w:line="360" w:lineRule="auto"/>
              <w:jc w:val="both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 xml:space="preserve">根据供应商项目团队人员的专业技术资质、项目经验等综合评分（本项目需配备1名项目经理）： </w:t>
            </w:r>
          </w:p>
          <w:p w14:paraId="62288A71">
            <w:pPr>
              <w:spacing w:line="360" w:lineRule="auto"/>
              <w:jc w:val="both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1）项目团队人员配备合理、专业技术资质较为全面、项目经验丰富的得7～10分；</w:t>
            </w:r>
          </w:p>
          <w:p w14:paraId="0E329C6E">
            <w:pPr>
              <w:spacing w:line="360" w:lineRule="auto"/>
              <w:jc w:val="both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2）项目团队人员配备基本合理、专业技术资质欠缺、项目经验欠缺的得0～6分；</w:t>
            </w:r>
          </w:p>
        </w:tc>
      </w:tr>
      <w:tr w14:paraId="261A6E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326" w:type="pct"/>
            <w:noWrap w:val="0"/>
            <w:vAlign w:val="center"/>
          </w:tcPr>
          <w:p w14:paraId="063649C8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5</w:t>
            </w:r>
          </w:p>
        </w:tc>
        <w:tc>
          <w:tcPr>
            <w:tcW w:w="749" w:type="pct"/>
            <w:noWrap w:val="0"/>
            <w:vAlign w:val="center"/>
          </w:tcPr>
          <w:p w14:paraId="696237D4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售后服务方案</w:t>
            </w:r>
          </w:p>
          <w:p w14:paraId="00D8C475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  <w:t>（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主观分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  <w:t>）</w:t>
            </w:r>
          </w:p>
        </w:tc>
        <w:tc>
          <w:tcPr>
            <w:tcW w:w="348" w:type="pct"/>
            <w:noWrap w:val="0"/>
            <w:vAlign w:val="center"/>
          </w:tcPr>
          <w:p w14:paraId="7D753253">
            <w:pPr>
              <w:spacing w:line="360" w:lineRule="auto"/>
              <w:jc w:val="center"/>
              <w:rPr>
                <w:rFonts w:hint="default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10</w:t>
            </w:r>
          </w:p>
        </w:tc>
        <w:tc>
          <w:tcPr>
            <w:tcW w:w="3575" w:type="pct"/>
            <w:shd w:val="clear" w:color="auto" w:fill="auto"/>
            <w:noWrap w:val="0"/>
            <w:vAlign w:val="center"/>
          </w:tcPr>
          <w:p w14:paraId="67741D4C">
            <w:pPr>
              <w:spacing w:line="360" w:lineRule="auto"/>
              <w:jc w:val="both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根据供应商售后服务方案综合评分：</w:t>
            </w:r>
          </w:p>
          <w:p w14:paraId="40CFCDA0">
            <w:pPr>
              <w:spacing w:line="360" w:lineRule="auto"/>
              <w:jc w:val="both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1）售后服务保障体系和售后服务措施完善、服务响应时效高的得7～10分；</w:t>
            </w:r>
          </w:p>
          <w:p w14:paraId="788E7F4C">
            <w:pPr>
              <w:spacing w:line="360" w:lineRule="auto"/>
              <w:jc w:val="both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2）售后服务保障体系和售后服务措施较为完善、服务响应时效较差的得3～6分；</w:t>
            </w:r>
          </w:p>
          <w:p w14:paraId="5DA692C6">
            <w:pPr>
              <w:spacing w:line="360" w:lineRule="auto"/>
              <w:jc w:val="both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3）未提供售后服务方案或售后服务保障体系、售后服务措施和服务响应时效差的得0～2分；</w:t>
            </w:r>
          </w:p>
        </w:tc>
      </w:tr>
      <w:tr w14:paraId="55E47F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326" w:type="pct"/>
            <w:noWrap w:val="0"/>
            <w:vAlign w:val="center"/>
          </w:tcPr>
          <w:p w14:paraId="73621194">
            <w:pPr>
              <w:spacing w:line="360" w:lineRule="auto"/>
              <w:jc w:val="center"/>
              <w:rPr>
                <w:rFonts w:hint="default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6</w:t>
            </w:r>
          </w:p>
        </w:tc>
        <w:tc>
          <w:tcPr>
            <w:tcW w:w="749" w:type="pct"/>
            <w:noWrap w:val="0"/>
            <w:vAlign w:val="center"/>
          </w:tcPr>
          <w:p w14:paraId="05FE7924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zh-CN" w:eastAsia="zh-CN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zh-CN" w:eastAsia="zh-CN"/>
              </w:rPr>
              <w:t>服务应急预案</w:t>
            </w:r>
          </w:p>
          <w:p w14:paraId="4EA51644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  <w:t>（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主观分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  <w:t>）</w:t>
            </w:r>
          </w:p>
        </w:tc>
        <w:tc>
          <w:tcPr>
            <w:tcW w:w="348" w:type="pct"/>
            <w:noWrap w:val="0"/>
            <w:vAlign w:val="center"/>
          </w:tcPr>
          <w:p w14:paraId="5AE2A384">
            <w:pPr>
              <w:spacing w:line="360" w:lineRule="auto"/>
              <w:jc w:val="center"/>
              <w:rPr>
                <w:rFonts w:hint="default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10</w:t>
            </w:r>
          </w:p>
        </w:tc>
        <w:tc>
          <w:tcPr>
            <w:tcW w:w="3575" w:type="pct"/>
            <w:shd w:val="clear" w:color="auto" w:fill="auto"/>
            <w:noWrap w:val="0"/>
            <w:vAlign w:val="center"/>
          </w:tcPr>
          <w:p w14:paraId="67C8651D">
            <w:pPr>
              <w:spacing w:line="360" w:lineRule="auto"/>
              <w:jc w:val="both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GB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GB"/>
              </w:rPr>
              <w:t>根据供应商服务应急预案进行综合评分：</w:t>
            </w:r>
          </w:p>
          <w:p w14:paraId="5E0E535C">
            <w:pPr>
              <w:spacing w:line="360" w:lineRule="auto"/>
              <w:jc w:val="both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GB"/>
              </w:rPr>
              <w:t>服务应急预案完善、优秀的得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7～10分；</w:t>
            </w:r>
          </w:p>
          <w:p w14:paraId="54BD895E">
            <w:pPr>
              <w:spacing w:line="360" w:lineRule="auto"/>
              <w:jc w:val="both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GB"/>
              </w:rPr>
              <w:t>2）服务应急预案基本完善、较为一般的得3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～6分；</w:t>
            </w:r>
          </w:p>
          <w:p w14:paraId="1D98D097">
            <w:pPr>
              <w:spacing w:line="360" w:lineRule="auto"/>
              <w:jc w:val="both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3）未提供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GB"/>
              </w:rPr>
              <w:t>服务应急预案或服务应急预案差的得0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～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GB"/>
              </w:rPr>
              <w:t>2分。</w:t>
            </w:r>
          </w:p>
        </w:tc>
      </w:tr>
      <w:tr w14:paraId="7E8804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326" w:type="pct"/>
            <w:noWrap w:val="0"/>
            <w:vAlign w:val="center"/>
          </w:tcPr>
          <w:p w14:paraId="5581767E">
            <w:pPr>
              <w:spacing w:line="360" w:lineRule="auto"/>
              <w:jc w:val="center"/>
              <w:rPr>
                <w:rFonts w:hint="default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7</w:t>
            </w:r>
          </w:p>
        </w:tc>
        <w:tc>
          <w:tcPr>
            <w:tcW w:w="749" w:type="pct"/>
            <w:noWrap w:val="0"/>
            <w:vAlign w:val="center"/>
          </w:tcPr>
          <w:p w14:paraId="253DC6D6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类似业绩</w:t>
            </w:r>
          </w:p>
          <w:p w14:paraId="601CA8AB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  <w:t>（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客观分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  <w:t>）</w:t>
            </w:r>
          </w:p>
        </w:tc>
        <w:tc>
          <w:tcPr>
            <w:tcW w:w="348" w:type="pct"/>
            <w:noWrap w:val="0"/>
            <w:vAlign w:val="center"/>
          </w:tcPr>
          <w:p w14:paraId="4656A284">
            <w:pPr>
              <w:spacing w:line="360" w:lineRule="auto"/>
              <w:jc w:val="center"/>
              <w:rPr>
                <w:rFonts w:hint="default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10</w:t>
            </w:r>
          </w:p>
        </w:tc>
        <w:tc>
          <w:tcPr>
            <w:tcW w:w="3575" w:type="pct"/>
            <w:shd w:val="clear" w:color="auto" w:fill="auto"/>
            <w:noWrap w:val="0"/>
            <w:vAlign w:val="center"/>
          </w:tcPr>
          <w:p w14:paraId="677AD00A">
            <w:pPr>
              <w:spacing w:line="360" w:lineRule="auto"/>
              <w:jc w:val="both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GB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GB"/>
              </w:rPr>
              <w:t>根据供应商同类项目案例评分：</w:t>
            </w:r>
          </w:p>
          <w:p w14:paraId="305CD90B">
            <w:pPr>
              <w:spacing w:line="360" w:lineRule="auto"/>
              <w:jc w:val="both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zh-CN" w:eastAsia="zh-CN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zh-CN"/>
              </w:rPr>
              <w:t>每提供一份项目案例合同，得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5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zh-CN"/>
              </w:rPr>
              <w:t xml:space="preserve">分，最高不超过10分。 </w:t>
            </w:r>
          </w:p>
        </w:tc>
      </w:tr>
    </w:tbl>
    <w:p w14:paraId="701B7F25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  <w:sectPr>
          <w:footerReference r:id="rId3" w:type="default"/>
          <w:type w:val="continuous"/>
          <w:pgSz w:w="11906" w:h="16838"/>
          <w:pgMar w:top="1440" w:right="1080" w:bottom="1440" w:left="1080" w:header="851" w:footer="992" w:gutter="0"/>
          <w:pgNumType w:fmt="decimal"/>
          <w:cols w:space="425" w:num="1"/>
          <w:docGrid w:type="lines" w:linePitch="312" w:charSpace="0"/>
        </w:sectPr>
      </w:pPr>
    </w:p>
    <w:p w14:paraId="3E74C2BD">
      <w:pPr>
        <w:jc w:val="center"/>
        <w:rPr>
          <w:rFonts w:hint="default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  <w:t>第四章 格式附件</w:t>
      </w:r>
    </w:p>
    <w:p w14:paraId="636BB61B">
      <w:pPr>
        <w:jc w:val="left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  <w:lang w:val="en-US" w:eastAsia="zh-CN"/>
        </w:rPr>
        <w:t>附件1：报价单</w:t>
      </w:r>
    </w:p>
    <w:p w14:paraId="52D9A168">
      <w:pPr>
        <w:spacing w:line="440" w:lineRule="exact"/>
        <w:jc w:val="center"/>
        <w:rPr>
          <w:rFonts w:hint="default" w:ascii="宋体" w:hAnsi="宋体" w:eastAsia="宋体"/>
          <w:color w:val="auto"/>
          <w:sz w:val="24"/>
          <w:highlight w:val="none"/>
          <w:lang w:val="en-US" w:eastAsia="zh-CN"/>
        </w:rPr>
      </w:pPr>
      <w:r>
        <w:rPr>
          <w:rFonts w:hint="eastAsia" w:ascii="黑体" w:hAnsi="华文楷体" w:eastAsia="黑体"/>
          <w:b/>
          <w:color w:val="auto"/>
          <w:sz w:val="36"/>
          <w:szCs w:val="36"/>
          <w:highlight w:val="none"/>
        </w:rPr>
        <w:t>报   价   单</w:t>
      </w:r>
    </w:p>
    <w:p w14:paraId="50E6B72B">
      <w:pPr>
        <w:spacing w:line="440" w:lineRule="exact"/>
        <w:jc w:val="left"/>
        <w:rPr>
          <w:rFonts w:hint="default" w:ascii="黑体" w:hAnsi="华文楷体" w:eastAsia="黑体"/>
          <w:color w:val="auto"/>
          <w:sz w:val="24"/>
          <w:highlight w:val="none"/>
          <w:lang w:val="en-US" w:eastAsia="zh-CN"/>
        </w:rPr>
      </w:pPr>
      <w:r>
        <w:rPr>
          <w:rFonts w:hint="eastAsia" w:ascii="黑体" w:hAnsi="华文楷体" w:eastAsia="黑体"/>
          <w:b/>
          <w:color w:val="auto"/>
          <w:sz w:val="24"/>
          <w:highlight w:val="none"/>
        </w:rPr>
        <w:t xml:space="preserve">TO: </w:t>
      </w:r>
      <w:r>
        <w:rPr>
          <w:rFonts w:hint="eastAsia" w:ascii="黑体" w:hAnsi="华文楷体" w:eastAsia="黑体"/>
          <w:color w:val="auto"/>
          <w:sz w:val="24"/>
          <w:highlight w:val="none"/>
        </w:rPr>
        <w:t xml:space="preserve"> 上海海事大学 </w:t>
      </w:r>
      <w:r>
        <w:rPr>
          <w:rFonts w:hint="eastAsia" w:ascii="黑体" w:hAnsi="华文楷体" w:eastAsia="黑体"/>
          <w:color w:val="auto"/>
          <w:sz w:val="24"/>
          <w:highlight w:val="none"/>
          <w:lang w:val="en-US" w:eastAsia="zh-CN"/>
        </w:rPr>
        <w:t>采购与招投标管理中心</w:t>
      </w:r>
      <w:r>
        <w:rPr>
          <w:rFonts w:hint="eastAsia" w:ascii="黑体" w:hAnsi="华文楷体" w:eastAsia="黑体"/>
          <w:b/>
          <w:color w:val="auto"/>
          <w:sz w:val="36"/>
          <w:szCs w:val="36"/>
          <w:highlight w:val="none"/>
        </w:rPr>
        <w:t xml:space="preserve">   </w:t>
      </w:r>
      <w:r>
        <w:rPr>
          <w:rFonts w:hint="eastAsia" w:ascii="黑体" w:hAnsi="华文楷体" w:eastAsia="黑体"/>
          <w:b/>
          <w:color w:val="auto"/>
          <w:sz w:val="36"/>
          <w:szCs w:val="36"/>
          <w:highlight w:val="none"/>
          <w:lang w:val="en-US" w:eastAsia="zh-CN"/>
        </w:rPr>
        <w:t xml:space="preserve">          </w:t>
      </w:r>
      <w:r>
        <w:rPr>
          <w:rFonts w:hint="eastAsia" w:ascii="黑体" w:hAnsi="华文楷体" w:eastAsia="黑体"/>
          <w:color w:val="auto"/>
          <w:sz w:val="24"/>
          <w:highlight w:val="none"/>
          <w:lang w:val="en-US" w:eastAsia="zh-CN"/>
        </w:rPr>
        <w:t>项目编号：HFBX2026042</w:t>
      </w:r>
      <w:r>
        <w:rPr>
          <w:rFonts w:hint="eastAsia" w:ascii="黑体" w:hAnsi="华文楷体" w:eastAsia="黑体"/>
          <w:b/>
          <w:color w:val="auto"/>
          <w:sz w:val="36"/>
          <w:szCs w:val="36"/>
          <w:highlight w:val="none"/>
        </w:rPr>
        <w:t xml:space="preserve">               </w:t>
      </w:r>
      <w:r>
        <w:rPr>
          <w:rFonts w:hint="eastAsia" w:ascii="黑体" w:hAnsi="华文楷体" w:eastAsia="黑体"/>
          <w:b/>
          <w:color w:val="auto"/>
          <w:sz w:val="36"/>
          <w:szCs w:val="36"/>
          <w:highlight w:val="none"/>
          <w:lang w:val="en-US" w:eastAsia="zh-CN"/>
        </w:rPr>
        <w:t xml:space="preserve">                    </w:t>
      </w:r>
    </w:p>
    <w:p w14:paraId="192C9FAF">
      <w:pPr>
        <w:spacing w:line="440" w:lineRule="exact"/>
        <w:rPr>
          <w:rFonts w:hint="eastAsia" w:ascii="方正仿宋_GB2312" w:hAnsi="方正仿宋_GB2312" w:eastAsia="方正仿宋_GB2312" w:cs="方正仿宋_GB2312"/>
          <w:b/>
          <w:color w:val="auto"/>
          <w:sz w:val="24"/>
          <w:highlight w:val="none"/>
        </w:rPr>
      </w:pPr>
      <w:r>
        <w:rPr>
          <w:rFonts w:hint="eastAsia" w:ascii="黑体" w:hAnsi="华文楷体" w:eastAsia="黑体"/>
          <w:b/>
          <w:color w:val="auto"/>
          <w:sz w:val="24"/>
          <w:highlight w:val="none"/>
        </w:rPr>
        <w:t>电子邮箱：</w:t>
      </w:r>
      <w:r>
        <w:rPr>
          <w:rFonts w:ascii="黑体" w:hAnsi="华文楷体" w:eastAsia="黑体"/>
          <w:b/>
          <w:color w:val="auto"/>
          <w:sz w:val="24"/>
          <w:highlight w:val="none"/>
        </w:rPr>
        <w:fldChar w:fldCharType="begin"/>
      </w:r>
      <w:r>
        <w:rPr>
          <w:rFonts w:ascii="黑体" w:hAnsi="华文楷体" w:eastAsia="黑体"/>
          <w:b/>
          <w:color w:val="auto"/>
          <w:sz w:val="24"/>
          <w:highlight w:val="none"/>
        </w:rPr>
        <w:instrText xml:space="preserve"> HYPERLINK "mailto:quotation@shmtu.edu.cn" </w:instrText>
      </w:r>
      <w:r>
        <w:rPr>
          <w:rFonts w:ascii="黑体" w:hAnsi="华文楷体" w:eastAsia="黑体"/>
          <w:b/>
          <w:color w:val="auto"/>
          <w:sz w:val="24"/>
          <w:highlight w:val="none"/>
        </w:rPr>
        <w:fldChar w:fldCharType="separate"/>
      </w:r>
      <w:r>
        <w:rPr>
          <w:rStyle w:val="18"/>
          <w:rFonts w:ascii="黑体" w:hAnsi="华文楷体" w:eastAsia="黑体"/>
          <w:b/>
          <w:color w:val="auto"/>
          <w:sz w:val="24"/>
          <w:highlight w:val="none"/>
        </w:rPr>
        <w:t>quotation@shmtu.edu.cn</w:t>
      </w:r>
      <w:r>
        <w:rPr>
          <w:rFonts w:ascii="黑体" w:hAnsi="华文楷体" w:eastAsia="黑体"/>
          <w:b/>
          <w:color w:val="auto"/>
          <w:sz w:val="24"/>
          <w:highlight w:val="none"/>
        </w:rPr>
        <w:fldChar w:fldCharType="end"/>
      </w:r>
    </w:p>
    <w:p w14:paraId="1D25A65B">
      <w:pPr>
        <w:spacing w:line="440" w:lineRule="exact"/>
        <w:rPr>
          <w:rFonts w:ascii="黑体" w:hAnsi="华文楷体" w:eastAsia="黑体"/>
          <w:b/>
          <w:color w:val="auto"/>
          <w:sz w:val="24"/>
          <w:highlight w:val="none"/>
        </w:rPr>
      </w:pPr>
      <w:r>
        <w:rPr>
          <w:rFonts w:hint="eastAsia" w:ascii="黑体" w:hAnsi="华文楷体" w:eastAsia="黑体"/>
          <w:b/>
          <w:color w:val="auto"/>
          <w:sz w:val="24"/>
          <w:highlight w:val="none"/>
        </w:rPr>
        <w:t>公司名称：</w:t>
      </w:r>
      <w:r>
        <w:rPr>
          <w:rFonts w:hint="eastAsia" w:ascii="黑体" w:hAnsi="华文楷体" w:eastAsia="黑体"/>
          <w:color w:val="auto"/>
          <w:sz w:val="24"/>
          <w:highlight w:val="none"/>
        </w:rPr>
        <w:t xml:space="preserve">                                                </w:t>
      </w:r>
      <w:r>
        <w:rPr>
          <w:rFonts w:hint="eastAsia" w:ascii="黑体" w:hAnsi="华文楷体" w:eastAsia="黑体"/>
          <w:b/>
          <w:color w:val="auto"/>
          <w:sz w:val="24"/>
          <w:highlight w:val="none"/>
        </w:rPr>
        <w:t>联系人：</w:t>
      </w:r>
    </w:p>
    <w:p w14:paraId="0416696A">
      <w:pPr>
        <w:spacing w:line="440" w:lineRule="exact"/>
        <w:rPr>
          <w:rFonts w:ascii="黑体" w:hAnsi="华文楷体" w:eastAsia="黑体"/>
          <w:b/>
          <w:color w:val="auto"/>
          <w:sz w:val="24"/>
          <w:highlight w:val="none"/>
        </w:rPr>
      </w:pPr>
      <w:r>
        <w:rPr>
          <w:rFonts w:hint="eastAsia" w:ascii="黑体" w:hAnsi="华文楷体" w:eastAsia="黑体"/>
          <w:b/>
          <w:color w:val="auto"/>
          <w:sz w:val="24"/>
          <w:highlight w:val="none"/>
        </w:rPr>
        <w:t>电子邮箱：                                                公司地址：</w:t>
      </w:r>
    </w:p>
    <w:p w14:paraId="096E10B9">
      <w:pPr>
        <w:spacing w:line="440" w:lineRule="exact"/>
        <w:rPr>
          <w:rFonts w:hint="eastAsia" w:ascii="黑体" w:hAnsi="华文楷体" w:eastAsia="黑体"/>
          <w:b/>
          <w:color w:val="auto"/>
          <w:sz w:val="24"/>
          <w:highlight w:val="none"/>
        </w:rPr>
      </w:pPr>
      <w:r>
        <w:rPr>
          <w:rFonts w:hint="eastAsia" w:ascii="黑体" w:hAnsi="华文楷体" w:eastAsia="黑体"/>
          <w:b/>
          <w:color w:val="auto"/>
          <w:sz w:val="24"/>
          <w:highlight w:val="none"/>
        </w:rPr>
        <w:t>电话：                                                    联系人手机：</w:t>
      </w:r>
    </w:p>
    <w:p w14:paraId="35F2988C">
      <w:pPr>
        <w:spacing w:line="440" w:lineRule="exact"/>
        <w:rPr>
          <w:rFonts w:hint="eastAsia" w:ascii="黑体" w:hAnsi="华文楷体" w:eastAsia="黑体"/>
          <w:b/>
          <w:color w:val="auto"/>
          <w:sz w:val="24"/>
          <w:highlight w:val="none"/>
        </w:rPr>
      </w:pPr>
    </w:p>
    <w:tbl>
      <w:tblPr>
        <w:tblStyle w:val="14"/>
        <w:tblW w:w="4997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4"/>
        <w:gridCol w:w="2062"/>
        <w:gridCol w:w="971"/>
        <w:gridCol w:w="1463"/>
        <w:gridCol w:w="581"/>
        <w:gridCol w:w="876"/>
        <w:gridCol w:w="876"/>
        <w:gridCol w:w="1230"/>
        <w:gridCol w:w="1397"/>
      </w:tblGrid>
      <w:tr w14:paraId="481475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8" w:type="pct"/>
            <w:tcBorders>
              <w:top w:val="single" w:color="auto" w:sz="12" w:space="0"/>
              <w:left w:val="single" w:color="auto" w:sz="12" w:space="0"/>
              <w:bottom w:val="double" w:color="auto" w:sz="4" w:space="0"/>
            </w:tcBorders>
            <w:noWrap w:val="0"/>
            <w:vAlign w:val="center"/>
          </w:tcPr>
          <w:p w14:paraId="67E92170">
            <w:pPr>
              <w:spacing w:line="440" w:lineRule="exact"/>
              <w:jc w:val="center"/>
              <w:rPr>
                <w:rFonts w:ascii="黑体" w:hAnsi="华文楷体" w:eastAsia="黑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黑体" w:hAnsi="华文楷体" w:eastAsia="黑体"/>
                <w:color w:val="auto"/>
                <w:kern w:val="0"/>
                <w:sz w:val="24"/>
                <w:highlight w:val="none"/>
              </w:rPr>
              <w:t>序号</w:t>
            </w:r>
          </w:p>
        </w:tc>
        <w:tc>
          <w:tcPr>
            <w:tcW w:w="1036" w:type="pct"/>
            <w:tcBorders>
              <w:top w:val="single" w:color="auto" w:sz="12" w:space="0"/>
              <w:bottom w:val="double" w:color="auto" w:sz="4" w:space="0"/>
            </w:tcBorders>
            <w:noWrap w:val="0"/>
            <w:vAlign w:val="center"/>
          </w:tcPr>
          <w:p w14:paraId="5FFC86E8">
            <w:pPr>
              <w:spacing w:line="440" w:lineRule="exact"/>
              <w:jc w:val="center"/>
              <w:rPr>
                <w:rFonts w:ascii="黑体" w:hAnsi="华文楷体" w:eastAsia="黑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黑体" w:hAnsi="华文楷体" w:eastAsia="黑体"/>
                <w:color w:val="auto"/>
                <w:kern w:val="0"/>
                <w:sz w:val="24"/>
                <w:highlight w:val="none"/>
              </w:rPr>
              <w:t>产品名称</w:t>
            </w:r>
          </w:p>
        </w:tc>
        <w:tc>
          <w:tcPr>
            <w:tcW w:w="488" w:type="pct"/>
            <w:tcBorders>
              <w:top w:val="single" w:color="auto" w:sz="12" w:space="0"/>
              <w:bottom w:val="double" w:color="auto" w:sz="4" w:space="0"/>
            </w:tcBorders>
            <w:noWrap w:val="0"/>
            <w:vAlign w:val="center"/>
          </w:tcPr>
          <w:p w14:paraId="5F8969CF">
            <w:pPr>
              <w:spacing w:line="440" w:lineRule="exact"/>
              <w:jc w:val="center"/>
              <w:rPr>
                <w:rFonts w:ascii="黑体" w:hAnsi="华文楷体" w:eastAsia="黑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黑体" w:hAnsi="华文楷体" w:eastAsia="黑体"/>
                <w:color w:val="auto"/>
                <w:kern w:val="0"/>
                <w:sz w:val="24"/>
                <w:highlight w:val="none"/>
              </w:rPr>
              <w:t>品牌</w:t>
            </w:r>
          </w:p>
        </w:tc>
        <w:tc>
          <w:tcPr>
            <w:tcW w:w="733" w:type="pct"/>
            <w:tcBorders>
              <w:top w:val="single" w:color="auto" w:sz="12" w:space="0"/>
              <w:bottom w:val="double" w:color="auto" w:sz="4" w:space="0"/>
            </w:tcBorders>
            <w:noWrap w:val="0"/>
            <w:vAlign w:val="center"/>
          </w:tcPr>
          <w:p w14:paraId="16AB36D0">
            <w:pPr>
              <w:spacing w:line="440" w:lineRule="exact"/>
              <w:jc w:val="center"/>
              <w:rPr>
                <w:rFonts w:ascii="黑体" w:hAnsi="华文楷体" w:eastAsia="黑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黑体" w:hAnsi="华文楷体" w:eastAsia="黑体"/>
                <w:color w:val="auto"/>
                <w:kern w:val="0"/>
                <w:sz w:val="24"/>
                <w:highlight w:val="none"/>
              </w:rPr>
              <w:t>型号规格</w:t>
            </w:r>
          </w:p>
        </w:tc>
        <w:tc>
          <w:tcPr>
            <w:tcW w:w="292" w:type="pct"/>
            <w:tcBorders>
              <w:top w:val="single" w:color="auto" w:sz="12" w:space="0"/>
              <w:bottom w:val="double" w:color="auto" w:sz="4" w:space="0"/>
            </w:tcBorders>
            <w:noWrap w:val="0"/>
            <w:vAlign w:val="center"/>
          </w:tcPr>
          <w:p w14:paraId="7A41A9BF">
            <w:pPr>
              <w:spacing w:line="440" w:lineRule="exact"/>
              <w:jc w:val="center"/>
              <w:rPr>
                <w:rFonts w:ascii="黑体" w:hAnsi="华文楷体" w:eastAsia="黑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黑体" w:hAnsi="华文楷体" w:eastAsia="黑体"/>
                <w:color w:val="auto"/>
                <w:kern w:val="0"/>
                <w:sz w:val="24"/>
                <w:highlight w:val="none"/>
              </w:rPr>
              <w:t>数量</w:t>
            </w:r>
          </w:p>
        </w:tc>
        <w:tc>
          <w:tcPr>
            <w:tcW w:w="440" w:type="pct"/>
            <w:tcBorders>
              <w:top w:val="single" w:color="auto" w:sz="12" w:space="0"/>
              <w:bottom w:val="double" w:color="auto" w:sz="4" w:space="0"/>
            </w:tcBorders>
            <w:noWrap w:val="0"/>
            <w:vAlign w:val="center"/>
          </w:tcPr>
          <w:p w14:paraId="22044959">
            <w:pPr>
              <w:spacing w:line="440" w:lineRule="exact"/>
              <w:jc w:val="center"/>
              <w:rPr>
                <w:rFonts w:ascii="黑体" w:hAnsi="华文楷体" w:eastAsia="黑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黑体" w:hAnsi="华文楷体" w:eastAsia="黑体"/>
                <w:color w:val="auto"/>
                <w:kern w:val="0"/>
                <w:sz w:val="24"/>
                <w:highlight w:val="none"/>
              </w:rPr>
              <w:t>单价</w:t>
            </w:r>
          </w:p>
        </w:tc>
        <w:tc>
          <w:tcPr>
            <w:tcW w:w="440" w:type="pct"/>
            <w:tcBorders>
              <w:top w:val="single" w:color="auto" w:sz="12" w:space="0"/>
              <w:bottom w:val="double" w:color="auto" w:sz="4" w:space="0"/>
            </w:tcBorders>
            <w:noWrap w:val="0"/>
            <w:vAlign w:val="center"/>
          </w:tcPr>
          <w:p w14:paraId="61A1F830">
            <w:pPr>
              <w:spacing w:line="440" w:lineRule="exact"/>
              <w:jc w:val="center"/>
              <w:rPr>
                <w:rFonts w:ascii="黑体" w:hAnsi="华文楷体" w:eastAsia="黑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黑体" w:hAnsi="华文楷体" w:eastAsia="黑体"/>
                <w:color w:val="auto"/>
                <w:kern w:val="0"/>
                <w:sz w:val="24"/>
                <w:highlight w:val="none"/>
              </w:rPr>
              <w:t>金额</w:t>
            </w:r>
          </w:p>
        </w:tc>
        <w:tc>
          <w:tcPr>
            <w:tcW w:w="618" w:type="pct"/>
            <w:tcBorders>
              <w:top w:val="single" w:color="auto" w:sz="12" w:space="0"/>
              <w:bottom w:val="double" w:color="auto" w:sz="4" w:space="0"/>
            </w:tcBorders>
            <w:noWrap w:val="0"/>
            <w:vAlign w:val="center"/>
          </w:tcPr>
          <w:p w14:paraId="2F9A1E62">
            <w:pPr>
              <w:spacing w:line="440" w:lineRule="exact"/>
              <w:jc w:val="center"/>
              <w:rPr>
                <w:rFonts w:ascii="黑体" w:hAnsi="华文楷体" w:eastAsia="黑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黑体" w:hAnsi="华文楷体" w:eastAsia="黑体"/>
                <w:color w:val="auto"/>
                <w:kern w:val="0"/>
                <w:sz w:val="24"/>
                <w:highlight w:val="none"/>
              </w:rPr>
              <w:t>质保时间</w:t>
            </w:r>
          </w:p>
        </w:tc>
        <w:tc>
          <w:tcPr>
            <w:tcW w:w="700" w:type="pct"/>
            <w:tcBorders>
              <w:top w:val="single" w:color="auto" w:sz="12" w:space="0"/>
              <w:bottom w:val="double" w:color="auto" w:sz="4" w:space="0"/>
              <w:right w:val="single" w:color="auto" w:sz="12" w:space="0"/>
            </w:tcBorders>
            <w:noWrap w:val="0"/>
            <w:vAlign w:val="center"/>
          </w:tcPr>
          <w:p w14:paraId="09E42E8D">
            <w:pPr>
              <w:spacing w:line="440" w:lineRule="exact"/>
              <w:jc w:val="center"/>
              <w:rPr>
                <w:rFonts w:hint="eastAsia" w:ascii="黑体" w:hAnsi="华文楷体" w:eastAsia="黑体"/>
                <w:color w:val="auto"/>
                <w:kern w:val="0"/>
                <w:sz w:val="24"/>
                <w:highlight w:val="none"/>
                <w:lang w:eastAsia="zh-CN"/>
              </w:rPr>
            </w:pPr>
            <w:r>
              <w:rPr>
                <w:rFonts w:ascii="黑体" w:hAnsi="华文楷体" w:eastAsia="黑体"/>
                <w:color w:val="auto"/>
                <w:kern w:val="0"/>
                <w:sz w:val="24"/>
                <w:highlight w:val="none"/>
              </w:rPr>
              <w:t>最快供货</w:t>
            </w:r>
            <w:r>
              <w:rPr>
                <w:rFonts w:hint="eastAsia" w:ascii="黑体" w:hAnsi="华文楷体" w:eastAsia="黑体"/>
                <w:color w:val="auto"/>
                <w:kern w:val="0"/>
                <w:sz w:val="24"/>
                <w:highlight w:val="none"/>
                <w:lang w:val="en-US" w:eastAsia="zh-CN"/>
              </w:rPr>
              <w:t>时间</w:t>
            </w:r>
          </w:p>
        </w:tc>
      </w:tr>
      <w:tr w14:paraId="6076EB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8" w:type="pct"/>
            <w:tcBorders>
              <w:top w:val="double" w:color="auto" w:sz="4" w:space="0"/>
              <w:left w:val="single" w:color="auto" w:sz="12" w:space="0"/>
            </w:tcBorders>
            <w:noWrap w:val="0"/>
            <w:vAlign w:val="top"/>
          </w:tcPr>
          <w:p w14:paraId="6904F50E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方正仿宋_GB2312" w:hAnsi="华文楷体" w:eastAsia="方正仿宋_GB2312"/>
                <w:color w:val="auto"/>
                <w:kern w:val="0"/>
                <w:sz w:val="24"/>
                <w:highlight w:val="none"/>
              </w:rPr>
              <w:t>1</w:t>
            </w:r>
          </w:p>
        </w:tc>
        <w:tc>
          <w:tcPr>
            <w:tcW w:w="1036" w:type="pct"/>
            <w:tcBorders>
              <w:top w:val="double" w:color="auto" w:sz="4" w:space="0"/>
            </w:tcBorders>
            <w:noWrap w:val="0"/>
            <w:vAlign w:val="center"/>
          </w:tcPr>
          <w:p w14:paraId="2716FB82">
            <w:pPr>
              <w:ind w:left="-63" w:leftChars="-30" w:right="-63" w:rightChars="-30"/>
              <w:jc w:val="center"/>
              <w:rPr>
                <w:rFonts w:hint="eastAsia" w:ascii="宋体" w:hAnsi="宋体" w:cs="宋体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488" w:type="pct"/>
            <w:tcBorders>
              <w:top w:val="double" w:color="auto" w:sz="4" w:space="0"/>
            </w:tcBorders>
            <w:noWrap w:val="0"/>
            <w:vAlign w:val="top"/>
          </w:tcPr>
          <w:p w14:paraId="68C63CC3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733" w:type="pct"/>
            <w:tcBorders>
              <w:top w:val="double" w:color="auto" w:sz="4" w:space="0"/>
            </w:tcBorders>
            <w:noWrap w:val="0"/>
            <w:vAlign w:val="top"/>
          </w:tcPr>
          <w:p w14:paraId="2062DBEC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92" w:type="pct"/>
            <w:tcBorders>
              <w:top w:val="double" w:color="auto" w:sz="4" w:space="0"/>
            </w:tcBorders>
            <w:noWrap w:val="0"/>
            <w:vAlign w:val="top"/>
          </w:tcPr>
          <w:p w14:paraId="5576A539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440" w:type="pct"/>
            <w:tcBorders>
              <w:top w:val="double" w:color="auto" w:sz="4" w:space="0"/>
            </w:tcBorders>
            <w:noWrap w:val="0"/>
            <w:vAlign w:val="top"/>
          </w:tcPr>
          <w:p w14:paraId="3366DAB2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440" w:type="pct"/>
            <w:tcBorders>
              <w:top w:val="double" w:color="auto" w:sz="4" w:space="0"/>
            </w:tcBorders>
            <w:noWrap w:val="0"/>
            <w:vAlign w:val="top"/>
          </w:tcPr>
          <w:p w14:paraId="45D03D7C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618" w:type="pct"/>
            <w:tcBorders>
              <w:top w:val="double" w:color="auto" w:sz="4" w:space="0"/>
            </w:tcBorders>
            <w:noWrap w:val="0"/>
            <w:vAlign w:val="top"/>
          </w:tcPr>
          <w:p w14:paraId="014679F0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700" w:type="pct"/>
            <w:tcBorders>
              <w:top w:val="double" w:color="auto" w:sz="4" w:space="0"/>
              <w:right w:val="single" w:color="auto" w:sz="12" w:space="0"/>
            </w:tcBorders>
            <w:noWrap w:val="0"/>
            <w:vAlign w:val="top"/>
          </w:tcPr>
          <w:p w14:paraId="605E89B2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</w:tr>
      <w:tr w14:paraId="32388A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8" w:type="pct"/>
            <w:tcBorders>
              <w:left w:val="single" w:color="auto" w:sz="12" w:space="0"/>
            </w:tcBorders>
            <w:noWrap w:val="0"/>
            <w:vAlign w:val="top"/>
          </w:tcPr>
          <w:p w14:paraId="29977C73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方正仿宋_GB2312" w:hAnsi="华文楷体" w:eastAsia="方正仿宋_GB2312"/>
                <w:color w:val="auto"/>
                <w:kern w:val="0"/>
                <w:sz w:val="24"/>
                <w:highlight w:val="none"/>
              </w:rPr>
              <w:t>2</w:t>
            </w:r>
          </w:p>
        </w:tc>
        <w:tc>
          <w:tcPr>
            <w:tcW w:w="1036" w:type="pct"/>
            <w:noWrap w:val="0"/>
            <w:vAlign w:val="center"/>
          </w:tcPr>
          <w:p w14:paraId="2866E2D0">
            <w:pPr>
              <w:ind w:left="-63" w:leftChars="-30" w:right="-63" w:rightChars="-30"/>
              <w:jc w:val="center"/>
              <w:rPr>
                <w:rFonts w:hint="eastAsia" w:ascii="宋体" w:hAnsi="宋体" w:cs="宋体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488" w:type="pct"/>
            <w:noWrap w:val="0"/>
            <w:vAlign w:val="top"/>
          </w:tcPr>
          <w:p w14:paraId="0669C2FF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733" w:type="pct"/>
            <w:noWrap w:val="0"/>
            <w:vAlign w:val="top"/>
          </w:tcPr>
          <w:p w14:paraId="4D504156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92" w:type="pct"/>
            <w:noWrap w:val="0"/>
            <w:vAlign w:val="top"/>
          </w:tcPr>
          <w:p w14:paraId="74F4D8E1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440" w:type="pct"/>
            <w:noWrap w:val="0"/>
            <w:vAlign w:val="top"/>
          </w:tcPr>
          <w:p w14:paraId="27571361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440" w:type="pct"/>
            <w:noWrap w:val="0"/>
            <w:vAlign w:val="top"/>
          </w:tcPr>
          <w:p w14:paraId="45E1288F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618" w:type="pct"/>
            <w:noWrap w:val="0"/>
            <w:vAlign w:val="top"/>
          </w:tcPr>
          <w:p w14:paraId="5DDB1CC9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700" w:type="pct"/>
            <w:tcBorders>
              <w:right w:val="single" w:color="auto" w:sz="12" w:space="0"/>
            </w:tcBorders>
            <w:noWrap w:val="0"/>
            <w:vAlign w:val="top"/>
          </w:tcPr>
          <w:p w14:paraId="6BB70514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</w:tr>
      <w:tr w14:paraId="669286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8" w:type="pct"/>
            <w:tcBorders>
              <w:left w:val="single" w:color="auto" w:sz="12" w:space="0"/>
              <w:bottom w:val="single" w:color="auto" w:sz="4" w:space="0"/>
            </w:tcBorders>
            <w:noWrap w:val="0"/>
            <w:vAlign w:val="top"/>
          </w:tcPr>
          <w:p w14:paraId="5E49ACAD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方正仿宋_GB2312" w:hAnsi="华文楷体" w:eastAsia="方正仿宋_GB2312"/>
                <w:color w:val="auto"/>
                <w:kern w:val="0"/>
                <w:sz w:val="24"/>
                <w:highlight w:val="none"/>
              </w:rPr>
              <w:t>3</w:t>
            </w:r>
          </w:p>
        </w:tc>
        <w:tc>
          <w:tcPr>
            <w:tcW w:w="1036" w:type="pct"/>
            <w:tcBorders>
              <w:bottom w:val="single" w:color="auto" w:sz="4" w:space="0"/>
            </w:tcBorders>
            <w:noWrap w:val="0"/>
            <w:vAlign w:val="center"/>
          </w:tcPr>
          <w:p w14:paraId="2D958EE1">
            <w:pPr>
              <w:ind w:left="-42" w:leftChars="-20" w:right="-42" w:rightChars="-20"/>
              <w:jc w:val="center"/>
              <w:rPr>
                <w:rFonts w:hint="eastAsia" w:ascii="宋体" w:hAnsi="宋体" w:cs="宋体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488" w:type="pct"/>
            <w:tcBorders>
              <w:bottom w:val="single" w:color="auto" w:sz="4" w:space="0"/>
            </w:tcBorders>
            <w:noWrap w:val="0"/>
            <w:vAlign w:val="top"/>
          </w:tcPr>
          <w:p w14:paraId="6B0A81D6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733" w:type="pct"/>
            <w:tcBorders>
              <w:bottom w:val="single" w:color="auto" w:sz="4" w:space="0"/>
            </w:tcBorders>
            <w:noWrap w:val="0"/>
            <w:vAlign w:val="top"/>
          </w:tcPr>
          <w:p w14:paraId="58841A2F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92" w:type="pct"/>
            <w:tcBorders>
              <w:bottom w:val="single" w:color="auto" w:sz="4" w:space="0"/>
            </w:tcBorders>
            <w:noWrap w:val="0"/>
            <w:vAlign w:val="top"/>
          </w:tcPr>
          <w:p w14:paraId="26802B6E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440" w:type="pct"/>
            <w:tcBorders>
              <w:bottom w:val="single" w:color="auto" w:sz="4" w:space="0"/>
            </w:tcBorders>
            <w:noWrap w:val="0"/>
            <w:vAlign w:val="top"/>
          </w:tcPr>
          <w:p w14:paraId="2ECBBA3C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440" w:type="pct"/>
            <w:tcBorders>
              <w:bottom w:val="single" w:color="auto" w:sz="4" w:space="0"/>
            </w:tcBorders>
            <w:noWrap w:val="0"/>
            <w:vAlign w:val="top"/>
          </w:tcPr>
          <w:p w14:paraId="747E5F99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618" w:type="pct"/>
            <w:tcBorders>
              <w:bottom w:val="single" w:color="auto" w:sz="4" w:space="0"/>
            </w:tcBorders>
            <w:noWrap w:val="0"/>
            <w:vAlign w:val="top"/>
          </w:tcPr>
          <w:p w14:paraId="5140F715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700" w:type="pct"/>
            <w:tcBorders>
              <w:bottom w:val="single" w:color="auto" w:sz="4" w:space="0"/>
              <w:right w:val="single" w:color="auto" w:sz="12" w:space="0"/>
            </w:tcBorders>
            <w:noWrap w:val="0"/>
            <w:vAlign w:val="top"/>
          </w:tcPr>
          <w:p w14:paraId="7F3F6EF0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</w:tr>
      <w:tr w14:paraId="5A9D00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8" w:type="pct"/>
            <w:tcBorders>
              <w:left w:val="single" w:color="auto" w:sz="12" w:space="0"/>
              <w:bottom w:val="single" w:color="auto" w:sz="4" w:space="0"/>
            </w:tcBorders>
            <w:noWrap w:val="0"/>
            <w:vAlign w:val="top"/>
          </w:tcPr>
          <w:p w14:paraId="22131CE2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方正仿宋_GB2312" w:hAnsi="华文楷体" w:eastAsia="方正仿宋_GB2312"/>
                <w:color w:val="auto"/>
                <w:kern w:val="0"/>
                <w:sz w:val="24"/>
                <w:highlight w:val="none"/>
              </w:rPr>
              <w:t>4</w:t>
            </w:r>
          </w:p>
        </w:tc>
        <w:tc>
          <w:tcPr>
            <w:tcW w:w="1036" w:type="pct"/>
            <w:tcBorders>
              <w:bottom w:val="single" w:color="auto" w:sz="4" w:space="0"/>
            </w:tcBorders>
            <w:noWrap w:val="0"/>
            <w:vAlign w:val="top"/>
          </w:tcPr>
          <w:p w14:paraId="6938BE08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488" w:type="pct"/>
            <w:tcBorders>
              <w:bottom w:val="single" w:color="auto" w:sz="4" w:space="0"/>
            </w:tcBorders>
            <w:noWrap w:val="0"/>
            <w:vAlign w:val="top"/>
          </w:tcPr>
          <w:p w14:paraId="4CD1A541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733" w:type="pct"/>
            <w:tcBorders>
              <w:bottom w:val="single" w:color="auto" w:sz="4" w:space="0"/>
            </w:tcBorders>
            <w:noWrap w:val="0"/>
            <w:vAlign w:val="top"/>
          </w:tcPr>
          <w:p w14:paraId="337FC115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92" w:type="pct"/>
            <w:tcBorders>
              <w:bottom w:val="single" w:color="auto" w:sz="4" w:space="0"/>
            </w:tcBorders>
            <w:noWrap w:val="0"/>
            <w:vAlign w:val="top"/>
          </w:tcPr>
          <w:p w14:paraId="3C03B4F1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440" w:type="pct"/>
            <w:tcBorders>
              <w:bottom w:val="single" w:color="auto" w:sz="4" w:space="0"/>
            </w:tcBorders>
            <w:noWrap w:val="0"/>
            <w:vAlign w:val="top"/>
          </w:tcPr>
          <w:p w14:paraId="47DA722A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440" w:type="pct"/>
            <w:tcBorders>
              <w:bottom w:val="single" w:color="auto" w:sz="4" w:space="0"/>
            </w:tcBorders>
            <w:noWrap w:val="0"/>
            <w:vAlign w:val="top"/>
          </w:tcPr>
          <w:p w14:paraId="76A33D3C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618" w:type="pct"/>
            <w:tcBorders>
              <w:bottom w:val="single" w:color="auto" w:sz="4" w:space="0"/>
            </w:tcBorders>
            <w:noWrap w:val="0"/>
            <w:vAlign w:val="top"/>
          </w:tcPr>
          <w:p w14:paraId="751F0F09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700" w:type="pct"/>
            <w:tcBorders>
              <w:bottom w:val="single" w:color="auto" w:sz="4" w:space="0"/>
              <w:right w:val="single" w:color="auto" w:sz="12" w:space="0"/>
            </w:tcBorders>
            <w:noWrap w:val="0"/>
            <w:vAlign w:val="top"/>
          </w:tcPr>
          <w:p w14:paraId="0B4D1DA3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</w:tr>
      <w:tr w14:paraId="72A11D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8" w:type="pct"/>
            <w:tcBorders>
              <w:left w:val="single" w:color="auto" w:sz="12" w:space="0"/>
              <w:bottom w:val="single" w:color="auto" w:sz="4" w:space="0"/>
            </w:tcBorders>
            <w:noWrap w:val="0"/>
            <w:vAlign w:val="top"/>
          </w:tcPr>
          <w:p w14:paraId="6A9F333C">
            <w:pPr>
              <w:spacing w:line="440" w:lineRule="exact"/>
              <w:jc w:val="center"/>
              <w:rPr>
                <w:rFonts w:hint="eastAsia"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方正仿宋_GB2312" w:hAnsi="华文楷体" w:eastAsia="方正仿宋_GB2312"/>
                <w:color w:val="auto"/>
                <w:kern w:val="0"/>
                <w:sz w:val="24"/>
                <w:highlight w:val="none"/>
              </w:rPr>
              <w:t>5</w:t>
            </w:r>
          </w:p>
        </w:tc>
        <w:tc>
          <w:tcPr>
            <w:tcW w:w="1036" w:type="pct"/>
            <w:tcBorders>
              <w:bottom w:val="single" w:color="auto" w:sz="4" w:space="0"/>
            </w:tcBorders>
            <w:noWrap w:val="0"/>
            <w:vAlign w:val="top"/>
          </w:tcPr>
          <w:p w14:paraId="5ED63A4B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488" w:type="pct"/>
            <w:tcBorders>
              <w:bottom w:val="single" w:color="auto" w:sz="4" w:space="0"/>
            </w:tcBorders>
            <w:noWrap w:val="0"/>
            <w:vAlign w:val="top"/>
          </w:tcPr>
          <w:p w14:paraId="49A78B8A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733" w:type="pct"/>
            <w:tcBorders>
              <w:bottom w:val="single" w:color="auto" w:sz="4" w:space="0"/>
            </w:tcBorders>
            <w:noWrap w:val="0"/>
            <w:vAlign w:val="top"/>
          </w:tcPr>
          <w:p w14:paraId="2EEE3065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92" w:type="pct"/>
            <w:tcBorders>
              <w:bottom w:val="single" w:color="auto" w:sz="4" w:space="0"/>
            </w:tcBorders>
            <w:noWrap w:val="0"/>
            <w:vAlign w:val="top"/>
          </w:tcPr>
          <w:p w14:paraId="270F8717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440" w:type="pct"/>
            <w:tcBorders>
              <w:bottom w:val="single" w:color="auto" w:sz="4" w:space="0"/>
            </w:tcBorders>
            <w:noWrap w:val="0"/>
            <w:vAlign w:val="top"/>
          </w:tcPr>
          <w:p w14:paraId="2A4C7C00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440" w:type="pct"/>
            <w:tcBorders>
              <w:bottom w:val="single" w:color="auto" w:sz="4" w:space="0"/>
            </w:tcBorders>
            <w:noWrap w:val="0"/>
            <w:vAlign w:val="top"/>
          </w:tcPr>
          <w:p w14:paraId="6028EA0C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618" w:type="pct"/>
            <w:tcBorders>
              <w:bottom w:val="single" w:color="auto" w:sz="4" w:space="0"/>
            </w:tcBorders>
            <w:noWrap w:val="0"/>
            <w:vAlign w:val="top"/>
          </w:tcPr>
          <w:p w14:paraId="7530FD9C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700" w:type="pct"/>
            <w:tcBorders>
              <w:bottom w:val="single" w:color="auto" w:sz="4" w:space="0"/>
              <w:right w:val="single" w:color="auto" w:sz="12" w:space="0"/>
            </w:tcBorders>
            <w:noWrap w:val="0"/>
            <w:vAlign w:val="top"/>
          </w:tcPr>
          <w:p w14:paraId="1CF8882E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</w:tr>
      <w:tr w14:paraId="512FFB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07" w:type="pct"/>
            <w:gridSpan w:val="4"/>
            <w:tcBorders>
              <w:top w:val="double" w:color="auto" w:sz="4" w:space="0"/>
              <w:left w:val="single" w:color="auto" w:sz="12" w:space="0"/>
              <w:bottom w:val="single" w:color="auto" w:sz="12" w:space="0"/>
            </w:tcBorders>
            <w:noWrap w:val="0"/>
            <w:vAlign w:val="top"/>
          </w:tcPr>
          <w:p w14:paraId="57ECA68A">
            <w:pPr>
              <w:spacing w:line="440" w:lineRule="exact"/>
              <w:jc w:val="center"/>
              <w:rPr>
                <w:rFonts w:hint="eastAsia" w:ascii="黑体" w:hAnsi="华文楷体" w:eastAsia="黑体" w:cs="Times New Roman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黑体" w:hAnsi="华文楷体" w:eastAsia="黑体" w:cs="Times New Roman"/>
                <w:color w:val="auto"/>
                <w:kern w:val="0"/>
                <w:sz w:val="24"/>
                <w:highlight w:val="none"/>
              </w:rPr>
              <w:t>合计金额（人民币）</w:t>
            </w:r>
          </w:p>
        </w:tc>
        <w:tc>
          <w:tcPr>
            <w:tcW w:w="2492" w:type="pct"/>
            <w:gridSpan w:val="5"/>
            <w:tcBorders>
              <w:top w:val="double" w:color="auto" w:sz="4" w:space="0"/>
              <w:bottom w:val="single" w:color="auto" w:sz="12" w:space="0"/>
              <w:right w:val="single" w:color="auto" w:sz="12" w:space="0"/>
            </w:tcBorders>
            <w:noWrap w:val="0"/>
            <w:vAlign w:val="top"/>
          </w:tcPr>
          <w:p w14:paraId="5C538379">
            <w:pPr>
              <w:spacing w:line="440" w:lineRule="exact"/>
              <w:jc w:val="center"/>
              <w:rPr>
                <w:rFonts w:hint="eastAsia" w:ascii="黑体" w:hAnsi="华文楷体" w:eastAsia="黑体" w:cs="Times New Roman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黑体" w:hAnsi="华文楷体" w:eastAsia="黑体" w:cs="Times New Roman"/>
                <w:color w:val="auto"/>
                <w:kern w:val="0"/>
                <w:sz w:val="24"/>
                <w:highlight w:val="none"/>
              </w:rPr>
              <w:t xml:space="preserve">￥           （大写）：                               </w:t>
            </w:r>
          </w:p>
        </w:tc>
      </w:tr>
    </w:tbl>
    <w:p w14:paraId="655247D5">
      <w:pPr>
        <w:spacing w:line="440" w:lineRule="exact"/>
        <w:rPr>
          <w:rFonts w:hint="eastAsia" w:ascii="黑体" w:hAnsi="华文楷体" w:eastAsia="黑体"/>
          <w:b/>
          <w:color w:val="auto"/>
          <w:sz w:val="24"/>
          <w:highlight w:val="none"/>
        </w:rPr>
      </w:pPr>
    </w:p>
    <w:p w14:paraId="2181F384">
      <w:pPr>
        <w:spacing w:line="440" w:lineRule="exact"/>
        <w:rPr>
          <w:rFonts w:hint="eastAsia" w:ascii="黑体" w:hAnsi="华文楷体" w:eastAsia="黑体"/>
          <w:b/>
          <w:color w:val="auto"/>
          <w:sz w:val="24"/>
          <w:highlight w:val="none"/>
        </w:rPr>
      </w:pPr>
    </w:p>
    <w:p w14:paraId="5E23D6EF">
      <w:pPr>
        <w:pStyle w:val="13"/>
        <w:ind w:left="0" w:leftChars="0" w:firstLine="0" w:firstLineChars="0"/>
        <w:rPr>
          <w:rFonts w:hint="eastAsia"/>
          <w:color w:val="auto"/>
          <w:highlight w:val="none"/>
        </w:rPr>
      </w:pPr>
    </w:p>
    <w:p w14:paraId="296AA70E">
      <w:pPr>
        <w:spacing w:line="440" w:lineRule="exact"/>
        <w:rPr>
          <w:rFonts w:ascii="黑体" w:hAnsi="华文楷体" w:eastAsia="黑体"/>
          <w:color w:val="auto"/>
          <w:sz w:val="24"/>
          <w:highlight w:val="none"/>
        </w:rPr>
      </w:pPr>
      <w:r>
        <w:rPr>
          <w:rFonts w:hint="eastAsia" w:ascii="黑体" w:hAnsi="华文楷体" w:eastAsia="黑体"/>
          <w:color w:val="auto"/>
          <w:sz w:val="24"/>
          <w:highlight w:val="none"/>
        </w:rPr>
        <w:t>公司名称（盖章）：          委托代理人（签字）：        报价日期：      年    月   日</w:t>
      </w:r>
    </w:p>
    <w:p w14:paraId="345567A0">
      <w:pPr>
        <w:rPr>
          <w:rFonts w:hint="eastAsia" w:ascii="黑体" w:hAnsi="华文楷体" w:eastAsia="黑体"/>
          <w:color w:val="auto"/>
          <w:szCs w:val="21"/>
          <w:highlight w:val="none"/>
        </w:rPr>
      </w:pPr>
    </w:p>
    <w:p w14:paraId="24F3C11F">
      <w:pPr>
        <w:rPr>
          <w:rFonts w:ascii="黑体" w:hAnsi="华文楷体" w:eastAsia="黑体"/>
          <w:color w:val="auto"/>
          <w:szCs w:val="21"/>
          <w:highlight w:val="none"/>
        </w:rPr>
      </w:pPr>
      <w:r>
        <w:rPr>
          <w:rFonts w:hint="eastAsia" w:ascii="黑体" w:hAnsi="华文楷体" w:eastAsia="黑体"/>
          <w:color w:val="auto"/>
          <w:szCs w:val="21"/>
          <w:highlight w:val="none"/>
        </w:rPr>
        <w:t>报价说明：1、报价公司提供的上述产品，应完全满足或者优于我校提出的需求。</w:t>
      </w:r>
    </w:p>
    <w:p w14:paraId="6C546935">
      <w:pPr>
        <w:rPr>
          <w:rFonts w:ascii="黑体" w:hAnsi="华文楷体" w:eastAsia="黑体"/>
          <w:color w:val="auto"/>
          <w:szCs w:val="21"/>
          <w:highlight w:val="none"/>
        </w:rPr>
      </w:pPr>
      <w:r>
        <w:rPr>
          <w:rFonts w:hint="eastAsia" w:ascii="黑体" w:hAnsi="华文楷体" w:eastAsia="黑体"/>
          <w:color w:val="auto"/>
          <w:szCs w:val="21"/>
          <w:highlight w:val="none"/>
        </w:rPr>
        <w:t xml:space="preserve">          2、如属非标配产品，其技术指标（特别是优于我校需求的部分）请另行附页说明。</w:t>
      </w:r>
    </w:p>
    <w:p w14:paraId="360E75B8">
      <w:pPr>
        <w:rPr>
          <w:rFonts w:ascii="黑体" w:hAnsi="华文楷体" w:eastAsia="黑体"/>
          <w:color w:val="auto"/>
          <w:szCs w:val="21"/>
          <w:highlight w:val="none"/>
        </w:rPr>
      </w:pPr>
      <w:r>
        <w:rPr>
          <w:rFonts w:hint="eastAsia" w:ascii="黑体" w:hAnsi="华文楷体" w:eastAsia="黑体"/>
          <w:color w:val="auto"/>
          <w:szCs w:val="21"/>
          <w:highlight w:val="none"/>
        </w:rPr>
        <w:t xml:space="preserve">          3、特殊的售后服务措施、代理证明情况等需要说明的，请另行附页说明。</w:t>
      </w:r>
    </w:p>
    <w:p w14:paraId="4A21681F">
      <w:pPr>
        <w:rPr>
          <w:rFonts w:hint="eastAsia" w:ascii="黑体" w:hAnsi="华文楷体" w:eastAsia="黑体"/>
          <w:color w:val="auto"/>
          <w:szCs w:val="21"/>
          <w:highlight w:val="none"/>
        </w:rPr>
      </w:pPr>
      <w:r>
        <w:rPr>
          <w:rFonts w:hint="eastAsia" w:ascii="黑体" w:hAnsi="华文楷体" w:eastAsia="黑体"/>
          <w:color w:val="auto"/>
          <w:szCs w:val="21"/>
          <w:highlight w:val="none"/>
        </w:rPr>
        <w:t xml:space="preserve">          4、报价单附页（如有）共</w:t>
      </w:r>
      <w:r>
        <w:rPr>
          <w:rFonts w:hint="eastAsia" w:ascii="黑体" w:hAnsi="华文楷体" w:eastAsia="黑体"/>
          <w:color w:val="auto"/>
          <w:szCs w:val="21"/>
          <w:highlight w:val="none"/>
          <w:u w:val="single"/>
        </w:rPr>
        <w:t xml:space="preserve">      </w:t>
      </w:r>
      <w:r>
        <w:rPr>
          <w:rFonts w:hint="eastAsia" w:ascii="黑体" w:hAnsi="华文楷体" w:eastAsia="黑体"/>
          <w:color w:val="auto"/>
          <w:szCs w:val="21"/>
          <w:highlight w:val="none"/>
        </w:rPr>
        <w:t>页。</w:t>
      </w:r>
    </w:p>
    <w:p w14:paraId="4403A77C">
      <w:pPr>
        <w:rPr>
          <w:rFonts w:hint="eastAsia" w:ascii="仿宋" w:hAnsi="仿宋" w:eastAsia="仿宋"/>
          <w:b/>
          <w:bCs/>
          <w:color w:val="auto"/>
          <w:kern w:val="0"/>
          <w:sz w:val="36"/>
          <w:szCs w:val="36"/>
          <w:highlight w:val="none"/>
          <w:lang w:val="en-US" w:eastAsia="zh-CN"/>
        </w:rPr>
      </w:pPr>
      <w:r>
        <w:rPr>
          <w:rFonts w:hint="eastAsia" w:ascii="仿宋" w:hAnsi="仿宋" w:eastAsia="仿宋"/>
          <w:b/>
          <w:bCs/>
          <w:color w:val="auto"/>
          <w:kern w:val="0"/>
          <w:sz w:val="36"/>
          <w:szCs w:val="36"/>
          <w:highlight w:val="none"/>
          <w:lang w:val="en-US" w:eastAsia="zh-CN"/>
        </w:rPr>
        <w:br w:type="page"/>
      </w:r>
    </w:p>
    <w:p w14:paraId="0D7FB27B">
      <w:pPr>
        <w:spacing w:after="120" w:afterLines="50" w:line="240" w:lineRule="auto"/>
        <w:ind w:left="0" w:leftChars="0" w:firstLine="0" w:firstLineChars="0"/>
        <w:jc w:val="center"/>
        <w:rPr>
          <w:rFonts w:ascii="仿宋" w:hAnsi="仿宋" w:eastAsia="仿宋"/>
          <w:b/>
          <w:bCs/>
          <w:color w:val="auto"/>
          <w:kern w:val="0"/>
          <w:sz w:val="36"/>
          <w:szCs w:val="36"/>
          <w:highlight w:val="none"/>
        </w:rPr>
      </w:pPr>
      <w:r>
        <w:rPr>
          <w:rFonts w:hint="eastAsia" w:ascii="仿宋" w:hAnsi="仿宋" w:eastAsia="仿宋"/>
          <w:b/>
          <w:bCs/>
          <w:color w:val="auto"/>
          <w:kern w:val="0"/>
          <w:sz w:val="36"/>
          <w:szCs w:val="36"/>
          <w:highlight w:val="none"/>
          <w:lang w:val="en-US" w:eastAsia="zh-CN"/>
        </w:rPr>
        <w:t>报价</w:t>
      </w:r>
      <w:r>
        <w:rPr>
          <w:rFonts w:hint="eastAsia" w:ascii="仿宋" w:hAnsi="仿宋" w:eastAsia="仿宋"/>
          <w:b/>
          <w:bCs/>
          <w:color w:val="auto"/>
          <w:kern w:val="0"/>
          <w:sz w:val="36"/>
          <w:szCs w:val="36"/>
          <w:highlight w:val="none"/>
        </w:rPr>
        <w:t>承诺函</w:t>
      </w:r>
    </w:p>
    <w:p w14:paraId="154139ED">
      <w:pPr>
        <w:spacing w:after="120" w:afterLines="50" w:line="240" w:lineRule="auto"/>
        <w:rPr>
          <w:rFonts w:hint="default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/>
        </w:rPr>
        <w:t>致：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上海海事大学</w:t>
      </w:r>
    </w:p>
    <w:p w14:paraId="37C42137">
      <w:pPr>
        <w:spacing w:after="120" w:afterLines="50" w:line="240" w:lineRule="auto"/>
        <w:ind w:left="0" w:leftChars="0" w:firstLine="480" w:firstLineChars="200"/>
        <w:rPr>
          <w:rFonts w:ascii="仿宋" w:hAnsi="仿宋" w:eastAsia="仿宋" w:cs="宋体"/>
          <w:color w:val="auto"/>
          <w:sz w:val="24"/>
          <w:szCs w:val="24"/>
          <w:highlight w:val="none"/>
          <w:lang w:val="zh-CN"/>
        </w:rPr>
      </w:pP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/>
        </w:rPr>
        <w:t>我</w:t>
      </w:r>
      <w:r>
        <w:rPr>
          <w:rFonts w:ascii="仿宋" w:hAnsi="仿宋" w:eastAsia="仿宋" w:cs="宋体"/>
          <w:color w:val="auto"/>
          <w:sz w:val="24"/>
          <w:szCs w:val="24"/>
          <w:highlight w:val="none"/>
          <w:lang w:val="zh-CN"/>
        </w:rPr>
        <w:t>公司在参加本次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比选采购</w:t>
      </w:r>
      <w:r>
        <w:rPr>
          <w:rFonts w:ascii="仿宋" w:hAnsi="仿宋" w:eastAsia="仿宋" w:cs="宋体"/>
          <w:color w:val="auto"/>
          <w:sz w:val="24"/>
          <w:szCs w:val="24"/>
          <w:highlight w:val="none"/>
          <w:lang w:val="zh-CN"/>
        </w:rPr>
        <w:t>活动中，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/>
        </w:rPr>
        <w:t>作出如下</w:t>
      </w:r>
      <w:r>
        <w:rPr>
          <w:rFonts w:ascii="仿宋" w:hAnsi="仿宋" w:eastAsia="仿宋" w:cs="宋体"/>
          <w:color w:val="auto"/>
          <w:sz w:val="24"/>
          <w:szCs w:val="24"/>
          <w:highlight w:val="none"/>
          <w:lang w:val="zh-CN"/>
        </w:rPr>
        <w:t>承诺：</w:t>
      </w:r>
    </w:p>
    <w:p w14:paraId="46C0BB39">
      <w:pPr>
        <w:spacing w:after="120" w:afterLines="50" w:line="240" w:lineRule="auto"/>
        <w:ind w:left="0" w:leftChars="0" w:firstLine="480" w:firstLineChars="200"/>
        <w:rPr>
          <w:rFonts w:hint="default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  <w:t>一、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我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/>
        </w:rPr>
        <w:t>公司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具备独立法人资格，能够独立承担民事责任。</w:t>
      </w:r>
    </w:p>
    <w:p w14:paraId="50EE2300">
      <w:pPr>
        <w:spacing w:after="120" w:afterLines="50" w:line="240" w:lineRule="auto"/>
        <w:ind w:left="0" w:leftChars="0" w:firstLine="480" w:firstLineChars="200"/>
        <w:rPr>
          <w:rFonts w:hint="default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二、我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/>
        </w:rPr>
        <w:t>公司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财务状况良好，具备履行合同所需资金实力。</w:t>
      </w:r>
    </w:p>
    <w:p w14:paraId="3F8FCAE5">
      <w:pPr>
        <w:spacing w:after="120" w:afterLines="50" w:line="240" w:lineRule="auto"/>
        <w:ind w:left="0" w:leftChars="0" w:firstLine="480" w:firstLineChars="200"/>
        <w:rPr>
          <w:rFonts w:hint="default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三、我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/>
        </w:rPr>
        <w:t>公司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拥有履行项目所需的专业技术人员和先进的生产设备。</w:t>
      </w:r>
    </w:p>
    <w:p w14:paraId="45943AA8">
      <w:pPr>
        <w:spacing w:after="120" w:afterLines="50" w:line="240" w:lineRule="auto"/>
        <w:ind w:left="0" w:leftChars="0" w:firstLine="480" w:firstLineChars="200"/>
        <w:rPr>
          <w:rFonts w:hint="default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四、我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  <w:t>公司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依法纳税，并按时缴纳社会保险费。</w:t>
      </w:r>
    </w:p>
    <w:p w14:paraId="0F0C6E90">
      <w:pPr>
        <w:spacing w:after="120" w:afterLines="50" w:line="240" w:lineRule="auto"/>
        <w:ind w:left="0" w:leftChars="0" w:firstLine="480" w:firstLineChars="200"/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五、我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  <w:t>公司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在最近三年内无任何违法违规行为，信誉良好。</w:t>
      </w:r>
    </w:p>
    <w:p w14:paraId="3EF4200C">
      <w:pPr>
        <w:spacing w:after="120" w:afterLines="50" w:line="240" w:lineRule="auto"/>
        <w:ind w:left="0" w:leftChars="0" w:firstLine="480" w:firstLineChars="200"/>
        <w:rPr>
          <w:rFonts w:hint="default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六、我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  <w:t>公司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完全符合政府采购法及其他相关法律法规的规定。</w:t>
      </w:r>
    </w:p>
    <w:p w14:paraId="072F3ABB">
      <w:pPr>
        <w:spacing w:after="120" w:afterLines="50" w:line="240" w:lineRule="auto"/>
        <w:ind w:left="0" w:leftChars="0" w:firstLine="480" w:firstLineChars="200"/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</w:pP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七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  <w:t>、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我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  <w:t>公司提供的相关文件均真实、有效。</w:t>
      </w:r>
    </w:p>
    <w:p w14:paraId="1E86BCEA">
      <w:pPr>
        <w:spacing w:after="120" w:afterLines="50" w:line="240" w:lineRule="auto"/>
        <w:ind w:left="0" w:leftChars="0" w:firstLine="480" w:firstLineChars="200"/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八、我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  <w:t>公司未挂靠、借用资质进行投标等违法违规行为。</w:t>
      </w:r>
    </w:p>
    <w:p w14:paraId="1961C25F">
      <w:pPr>
        <w:spacing w:after="120" w:afterLines="50" w:line="240" w:lineRule="auto"/>
        <w:ind w:left="0" w:leftChars="0" w:firstLine="480" w:firstLineChars="200"/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</w:pP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九、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  <w:t>我公司承诺在参加本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次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  <w:t>采购活动中，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不存在串标围标行为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  <w:t>，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不存在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  <w:t>损害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校方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  <w:t>或者其他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报价单位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  <w:t>利益的行为。</w:t>
      </w:r>
    </w:p>
    <w:p w14:paraId="1B3C8AA7">
      <w:pPr>
        <w:spacing w:after="120" w:afterLines="50" w:line="240" w:lineRule="auto"/>
        <w:ind w:left="0" w:leftChars="0" w:firstLine="480" w:firstLineChars="200"/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</w:pP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十、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  <w:t>我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公司管理层中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  <w:t>没有从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贵校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  <w:t>离职或退休3年以内的人员担任控股股东或实际控股人、董事、监事，也没有聘用从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贵校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  <w:t>离职或退休3年以内的人员。</w:t>
      </w:r>
    </w:p>
    <w:p w14:paraId="3FE2B1FA">
      <w:pPr>
        <w:spacing w:after="120" w:afterLines="50" w:line="240" w:lineRule="auto"/>
        <w:ind w:left="0" w:leftChars="0" w:firstLine="480" w:firstLineChars="200"/>
        <w:rPr>
          <w:rFonts w:ascii="仿宋" w:hAnsi="仿宋" w:eastAsia="仿宋" w:cs="宋体"/>
          <w:color w:val="auto"/>
          <w:sz w:val="24"/>
          <w:szCs w:val="24"/>
          <w:highlight w:val="none"/>
          <w:lang w:val="zh-CN"/>
        </w:rPr>
      </w:pP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我公司保证上述声明真实无误，如有不实，愿承担相应法律责任。</w:t>
      </w:r>
    </w:p>
    <w:p w14:paraId="2C38F8B9">
      <w:pPr>
        <w:spacing w:after="120" w:afterLines="50" w:line="240" w:lineRule="auto"/>
        <w:ind w:left="0" w:leftChars="0" w:firstLine="0" w:firstLineChars="0"/>
        <w:rPr>
          <w:rFonts w:ascii="仿宋" w:hAnsi="仿宋" w:eastAsia="仿宋" w:cs="宋体"/>
          <w:color w:val="auto"/>
          <w:sz w:val="24"/>
          <w:szCs w:val="24"/>
          <w:highlight w:val="none"/>
          <w:lang w:val="zh-CN"/>
        </w:rPr>
      </w:pPr>
    </w:p>
    <w:p w14:paraId="4A13A388">
      <w:pPr>
        <w:spacing w:after="120" w:afterLines="50" w:line="240" w:lineRule="auto"/>
        <w:ind w:left="0" w:leftChars="0" w:firstLine="0" w:firstLineChars="0"/>
        <w:rPr>
          <w:rFonts w:ascii="黑体" w:hAnsi="华文楷体" w:eastAsia="黑体"/>
          <w:b/>
          <w:bCs/>
          <w:color w:val="auto"/>
          <w:sz w:val="32"/>
          <w:szCs w:val="32"/>
          <w:highlight w:val="none"/>
        </w:rPr>
      </w:pPr>
      <w:r>
        <w:rPr>
          <w:rFonts w:hint="eastAsia" w:ascii="黑体" w:hAnsi="华文楷体" w:eastAsia="黑体"/>
          <w:color w:val="auto"/>
          <w:sz w:val="24"/>
          <w:szCs w:val="24"/>
          <w:highlight w:val="none"/>
        </w:rPr>
        <w:t>公司名称（盖章）：                              委托代理人（签字）：</w:t>
      </w:r>
    </w:p>
    <w:p w14:paraId="476D3484">
      <w:pPr>
        <w:pStyle w:val="7"/>
        <w:rPr>
          <w:rFonts w:hint="default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</w:p>
    <w:p w14:paraId="3F5F1DB4">
      <w:pPr>
        <w:pStyle w:val="7"/>
        <w:rPr>
          <w:rFonts w:hint="default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</w:p>
    <w:p w14:paraId="086B01F9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sectPr>
          <w:pgSz w:w="11906" w:h="16838"/>
          <w:pgMar w:top="1440" w:right="1083" w:bottom="1440" w:left="1083" w:header="851" w:footer="992" w:gutter="0"/>
          <w:pgNumType w:fmt="decimal"/>
          <w:cols w:space="0" w:num="1"/>
          <w:rtlGutter w:val="0"/>
          <w:docGrid w:type="lines" w:linePitch="314" w:charSpace="0"/>
        </w:sectPr>
      </w:pPr>
    </w:p>
    <w:p w14:paraId="7CDE4BA2">
      <w:pPr>
        <w:jc w:val="left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  <w:lang w:val="en-US" w:eastAsia="zh-CN"/>
        </w:rPr>
        <w:t>附件2：其他材料</w:t>
      </w:r>
    </w:p>
    <w:p w14:paraId="7D103AD2">
      <w:pPr>
        <w:pStyle w:val="6"/>
        <w:ind w:left="0" w:leftChars="0" w:firstLine="0" w:firstLineChars="0"/>
        <w:rPr>
          <w:rFonts w:hint="default"/>
          <w:color w:val="auto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包括但不限于：</w:t>
      </w:r>
    </w:p>
    <w:p w14:paraId="6163A2E2">
      <w:pPr>
        <w:pStyle w:val="6"/>
        <w:numPr>
          <w:ilvl w:val="0"/>
          <w:numId w:val="0"/>
        </w:numPr>
        <w:ind w:left="0" w:leftChars="0" w:firstLine="0" w:firstLineChars="0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kern w:val="2"/>
          <w:sz w:val="22"/>
          <w:szCs w:val="28"/>
          <w:highlight w:val="none"/>
          <w:lang w:val="en-US" w:eastAsia="zh-CN" w:bidi="ar-SA"/>
        </w:rPr>
        <w:t>1、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营业执照扫描件</w:t>
      </w:r>
    </w:p>
    <w:p w14:paraId="75BA9CDB">
      <w:pPr>
        <w:pStyle w:val="6"/>
        <w:numPr>
          <w:ilvl w:val="0"/>
          <w:numId w:val="0"/>
        </w:numPr>
        <w:ind w:left="0" w:leftChars="0" w:firstLine="0" w:firstLineChars="0"/>
        <w:rPr>
          <w:rFonts w:hint="default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default" w:ascii="方正兰亭黑简体" w:hAnsi="方正兰亭黑简体" w:eastAsia="方正兰亭黑简体" w:cs="方正兰亭黑简体"/>
          <w:color w:val="auto"/>
          <w:kern w:val="2"/>
          <w:sz w:val="22"/>
          <w:szCs w:val="28"/>
          <w:highlight w:val="none"/>
          <w:lang w:val="en-US" w:eastAsia="zh-CN" w:bidi="ar-SA"/>
        </w:rPr>
        <w:t>2、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产品资料（产品参数及性能）</w:t>
      </w:r>
    </w:p>
    <w:p w14:paraId="1BB2A8EF">
      <w:pPr>
        <w:pStyle w:val="6"/>
        <w:numPr>
          <w:ilvl w:val="0"/>
          <w:numId w:val="0"/>
        </w:numPr>
        <w:ind w:left="0" w:leftChars="0" w:firstLine="0" w:firstLineChars="0"/>
        <w:rPr>
          <w:rFonts w:hint="default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default" w:ascii="方正兰亭黑简体" w:hAnsi="方正兰亭黑简体" w:eastAsia="方正兰亭黑简体" w:cs="方正兰亭黑简体"/>
          <w:color w:val="auto"/>
          <w:kern w:val="2"/>
          <w:sz w:val="22"/>
          <w:szCs w:val="28"/>
          <w:highlight w:val="none"/>
          <w:lang w:val="en-US" w:eastAsia="zh-CN" w:bidi="ar-SA"/>
        </w:rPr>
        <w:t>3、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实施计划</w:t>
      </w:r>
    </w:p>
    <w:p w14:paraId="32423874">
      <w:pPr>
        <w:pStyle w:val="6"/>
        <w:numPr>
          <w:ilvl w:val="0"/>
          <w:numId w:val="0"/>
        </w:numPr>
        <w:ind w:left="0" w:leftChars="0" w:firstLine="0" w:firstLineChars="0"/>
        <w:rPr>
          <w:rFonts w:hint="default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default" w:ascii="方正兰亭黑简体" w:hAnsi="方正兰亭黑简体" w:eastAsia="方正兰亭黑简体" w:cs="方正兰亭黑简体"/>
          <w:color w:val="auto"/>
          <w:kern w:val="2"/>
          <w:sz w:val="22"/>
          <w:szCs w:val="28"/>
          <w:highlight w:val="none"/>
          <w:lang w:val="en-US" w:eastAsia="zh-CN" w:bidi="ar-SA"/>
        </w:rPr>
        <w:t>4、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售后方案</w:t>
      </w:r>
    </w:p>
    <w:p w14:paraId="47143B82">
      <w:pPr>
        <w:pStyle w:val="6"/>
        <w:numPr>
          <w:ilvl w:val="0"/>
          <w:numId w:val="0"/>
        </w:numPr>
        <w:ind w:left="0" w:leftChars="0" w:firstLine="0" w:firstLineChars="0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default" w:ascii="方正兰亭黑简体" w:hAnsi="方正兰亭黑简体" w:eastAsia="方正兰亭黑简体" w:cs="方正兰亭黑简体"/>
          <w:color w:val="auto"/>
          <w:kern w:val="2"/>
          <w:sz w:val="22"/>
          <w:szCs w:val="28"/>
          <w:highlight w:val="none"/>
          <w:lang w:val="en-US" w:eastAsia="zh-CN" w:bidi="ar-SA"/>
        </w:rPr>
        <w:t>5、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业绩案例</w:t>
      </w:r>
    </w:p>
    <w:p w14:paraId="3644FF0B">
      <w:pPr>
        <w:pStyle w:val="6"/>
        <w:numPr>
          <w:ilvl w:val="0"/>
          <w:numId w:val="0"/>
        </w:numPr>
        <w:ind w:left="0" w:leftChars="0" w:firstLine="0" w:firstLineChars="0"/>
        <w:rPr>
          <w:rFonts w:hint="default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6、其他所必需的相关材料</w:t>
      </w:r>
    </w:p>
    <w:sectPr>
      <w:pgSz w:w="11906" w:h="16838"/>
      <w:pgMar w:top="1440" w:right="1083" w:bottom="1440" w:left="1083" w:header="851" w:footer="992" w:gutter="0"/>
      <w:pgNumType w:fmt="decimal"/>
      <w:cols w:space="0" w:num="1"/>
      <w:rtlGutter w:val="0"/>
      <w:docGrid w:type="lines" w:linePitch="314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0DECC757-192C-40D1-BDEE-8B50995A86E0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Times NR MT Pro Medium">
    <w:panose1 w:val="0201060001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兰亭黑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C90BBE82-9259-441A-8EAB-701EFBB04DF2}"/>
  </w:font>
  <w:font w:name="华文楷体">
    <w:panose1 w:val="02010600040101010101"/>
    <w:charset w:val="86"/>
    <w:family w:val="auto"/>
    <w:pitch w:val="default"/>
    <w:sig w:usb0="A00002BF" w:usb1="78CF7CFB" w:usb2="00000016" w:usb3="00000000" w:csb0="6006009F" w:csb1="DFD70000"/>
    <w:embedRegular r:id="rId3" w:fontKey="{26241DC4-E848-4E66-9FF2-F4B1BB8BA7B2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4" w:fontKey="{2B1CE2ED-F139-423A-93F9-D5F84C5AA241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5" w:fontKey="{701873E9-DF16-40F6-B847-7AB0B24877B7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A004925">
    <w:pPr>
      <w:pStyle w:val="8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C62FB9A">
                          <w:pPr>
                            <w:pStyle w:val="8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14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C62FB9A">
                    <w:pPr>
                      <w:pStyle w:val="8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14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7722401"/>
    <w:multiLevelType w:val="multilevel"/>
    <w:tmpl w:val="17722401"/>
    <w:lvl w:ilvl="0" w:tentative="0">
      <w:start w:val="1"/>
      <w:numFmt w:val="japaneseCounting"/>
      <w:pStyle w:val="2"/>
      <w:lvlText w:val="%1、"/>
      <w:lvlJc w:val="left"/>
      <w:pPr>
        <w:ind w:left="464" w:hanging="720"/>
      </w:pPr>
      <w:rPr>
        <w:rFonts w:hint="default"/>
      </w:rPr>
    </w:lvl>
    <w:lvl w:ilvl="1" w:tentative="0">
      <w:start w:val="1"/>
      <w:numFmt w:val="decimalEnclosedCircle"/>
      <w:lvlText w:val="%2"/>
      <w:lvlJc w:val="left"/>
      <w:pPr>
        <w:ind w:left="544" w:hanging="36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ind w:left="1064" w:hanging="440"/>
      </w:pPr>
    </w:lvl>
    <w:lvl w:ilvl="3" w:tentative="0">
      <w:start w:val="1"/>
      <w:numFmt w:val="decimal"/>
      <w:lvlText w:val="%4."/>
      <w:lvlJc w:val="left"/>
      <w:pPr>
        <w:ind w:left="1504" w:hanging="440"/>
      </w:pPr>
    </w:lvl>
    <w:lvl w:ilvl="4" w:tentative="0">
      <w:start w:val="1"/>
      <w:numFmt w:val="lowerLetter"/>
      <w:lvlText w:val="%5)"/>
      <w:lvlJc w:val="left"/>
      <w:pPr>
        <w:ind w:left="1944" w:hanging="440"/>
      </w:pPr>
    </w:lvl>
    <w:lvl w:ilvl="5" w:tentative="0">
      <w:start w:val="1"/>
      <w:numFmt w:val="lowerRoman"/>
      <w:lvlText w:val="%6."/>
      <w:lvlJc w:val="right"/>
      <w:pPr>
        <w:ind w:left="2384" w:hanging="440"/>
      </w:pPr>
    </w:lvl>
    <w:lvl w:ilvl="6" w:tentative="0">
      <w:start w:val="1"/>
      <w:numFmt w:val="decimal"/>
      <w:lvlText w:val="%7."/>
      <w:lvlJc w:val="left"/>
      <w:pPr>
        <w:ind w:left="2824" w:hanging="440"/>
      </w:pPr>
    </w:lvl>
    <w:lvl w:ilvl="7" w:tentative="0">
      <w:start w:val="1"/>
      <w:numFmt w:val="lowerLetter"/>
      <w:lvlText w:val="%8)"/>
      <w:lvlJc w:val="left"/>
      <w:pPr>
        <w:ind w:left="3264" w:hanging="440"/>
      </w:pPr>
    </w:lvl>
    <w:lvl w:ilvl="8" w:tentative="0">
      <w:start w:val="1"/>
      <w:numFmt w:val="lowerRoman"/>
      <w:lvlText w:val="%9."/>
      <w:lvlJc w:val="right"/>
      <w:pPr>
        <w:ind w:left="3704" w:hanging="440"/>
      </w:pPr>
    </w:lvl>
  </w:abstractNum>
  <w:abstractNum w:abstractNumId="1">
    <w:nsid w:val="6EE46474"/>
    <w:multiLevelType w:val="multilevel"/>
    <w:tmpl w:val="6EE46474"/>
    <w:lvl w:ilvl="0" w:tentative="0">
      <w:start w:val="1"/>
      <w:numFmt w:val="decimal"/>
      <w:lvlText w:val="%1"/>
      <w:lvlJc w:val="left"/>
      <w:pPr>
        <w:ind w:left="425" w:hanging="425"/>
      </w:pPr>
      <w:rPr>
        <w:rFonts w:hint="eastAsia"/>
      </w:rPr>
    </w:lvl>
    <w:lvl w:ilvl="1" w:tentative="0">
      <w:start w:val="1"/>
      <w:numFmt w:val="decimal"/>
      <w:pStyle w:val="3"/>
      <w:lvlText w:val="%1.%2"/>
      <w:lvlJc w:val="left"/>
      <w:pPr>
        <w:ind w:left="992" w:hanging="567"/>
      </w:pPr>
      <w:rPr>
        <w:rFonts w:hint="eastAsia"/>
      </w:rPr>
    </w:lvl>
    <w:lvl w:ilvl="2" w:tentative="0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 w:tentative="0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7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730317"/>
    <w:rsid w:val="02675436"/>
    <w:rsid w:val="029C08D4"/>
    <w:rsid w:val="035A42B0"/>
    <w:rsid w:val="0875321F"/>
    <w:rsid w:val="09642E33"/>
    <w:rsid w:val="0B7B6E53"/>
    <w:rsid w:val="146C6B60"/>
    <w:rsid w:val="15285D7F"/>
    <w:rsid w:val="157E6317"/>
    <w:rsid w:val="15D04D45"/>
    <w:rsid w:val="166C212C"/>
    <w:rsid w:val="1B307278"/>
    <w:rsid w:val="1DF9272E"/>
    <w:rsid w:val="22AA0589"/>
    <w:rsid w:val="23ED4A8D"/>
    <w:rsid w:val="24050543"/>
    <w:rsid w:val="26C52776"/>
    <w:rsid w:val="29F67DF6"/>
    <w:rsid w:val="2DAA3F84"/>
    <w:rsid w:val="2E691D1D"/>
    <w:rsid w:val="2F774927"/>
    <w:rsid w:val="2FB07FD7"/>
    <w:rsid w:val="34E94560"/>
    <w:rsid w:val="37521B51"/>
    <w:rsid w:val="3A774F92"/>
    <w:rsid w:val="3CFB52B6"/>
    <w:rsid w:val="3D6469F5"/>
    <w:rsid w:val="3DBA1AA2"/>
    <w:rsid w:val="3E5C4869"/>
    <w:rsid w:val="3FCC680A"/>
    <w:rsid w:val="41007DAA"/>
    <w:rsid w:val="45DB0FAA"/>
    <w:rsid w:val="480A63EB"/>
    <w:rsid w:val="4A2362AE"/>
    <w:rsid w:val="4AFC4A60"/>
    <w:rsid w:val="4CC21E26"/>
    <w:rsid w:val="4EFD134C"/>
    <w:rsid w:val="51D535C6"/>
    <w:rsid w:val="55CF5109"/>
    <w:rsid w:val="57117CB6"/>
    <w:rsid w:val="573107A3"/>
    <w:rsid w:val="5AEA704B"/>
    <w:rsid w:val="5CB31D19"/>
    <w:rsid w:val="5D66061F"/>
    <w:rsid w:val="5E8720EC"/>
    <w:rsid w:val="5EE9209B"/>
    <w:rsid w:val="62DD78C6"/>
    <w:rsid w:val="63DF4A20"/>
    <w:rsid w:val="684F045C"/>
    <w:rsid w:val="699E1F48"/>
    <w:rsid w:val="69F6627C"/>
    <w:rsid w:val="6C3138A4"/>
    <w:rsid w:val="6CE72122"/>
    <w:rsid w:val="6E3767B2"/>
    <w:rsid w:val="6FC06751"/>
    <w:rsid w:val="769D2894"/>
    <w:rsid w:val="794117F3"/>
    <w:rsid w:val="7C2C43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iPriority="3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numPr>
        <w:ilvl w:val="0"/>
        <w:numId w:val="1"/>
      </w:numPr>
      <w:spacing w:before="120" w:after="80"/>
      <w:ind w:firstLineChars="0"/>
      <w:outlineLvl w:val="0"/>
    </w:pPr>
    <w:rPr>
      <w:rFonts w:cs="Times NR MT Pro Medium" w:asciiTheme="majorHAnsi" w:hAnsiTheme="majorHAnsi"/>
      <w:b/>
      <w:bCs/>
      <w:sz w:val="28"/>
      <w:szCs w:val="48"/>
    </w:rPr>
  </w:style>
  <w:style w:type="paragraph" w:styleId="3">
    <w:name w:val="heading 2"/>
    <w:basedOn w:val="1"/>
    <w:next w:val="1"/>
    <w:unhideWhenUsed/>
    <w:qFormat/>
    <w:uiPriority w:val="9"/>
    <w:pPr>
      <w:numPr>
        <w:ilvl w:val="1"/>
        <w:numId w:val="2"/>
      </w:numPr>
      <w:spacing w:before="80" w:after="80"/>
      <w:ind w:firstLineChars="0"/>
      <w:outlineLvl w:val="1"/>
    </w:pPr>
    <w:rPr>
      <w:rFonts w:cs="Times NR MT Pro Medium" w:asciiTheme="majorHAnsi" w:hAnsiTheme="majorHAnsi"/>
      <w:b/>
      <w:bCs/>
      <w:color w:val="000000" w:themeColor="text1"/>
      <w:sz w:val="24"/>
      <w:szCs w:val="40"/>
      <w14:textFill>
        <w14:solidFill>
          <w14:schemeClr w14:val="tx1"/>
        </w14:solidFill>
      </w14:textFill>
    </w:rPr>
  </w:style>
  <w:style w:type="paragraph" w:styleId="4">
    <w:name w:val="heading 3"/>
    <w:basedOn w:val="1"/>
    <w:next w:val="1"/>
    <w:unhideWhenUsed/>
    <w:qFormat/>
    <w:uiPriority w:val="9"/>
    <w:pPr>
      <w:spacing w:before="160" w:after="80"/>
      <w:ind w:left="737" w:firstLine="0" w:firstLineChars="0"/>
      <w:outlineLvl w:val="2"/>
    </w:pPr>
    <w:rPr>
      <w:rFonts w:cs="Times NR MT Pro Medium" w:asciiTheme="majorHAnsi" w:hAnsiTheme="majorHAnsi"/>
      <w:sz w:val="24"/>
      <w:szCs w:val="32"/>
    </w:rPr>
  </w:style>
  <w:style w:type="character" w:default="1" w:styleId="16">
    <w:name w:val="Default Paragraph Font"/>
    <w:semiHidden/>
    <w:qFormat/>
    <w:uiPriority w:val="0"/>
  </w:style>
  <w:style w:type="table" w:default="1" w:styleId="1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"/>
    <w:basedOn w:val="1"/>
    <w:qFormat/>
    <w:uiPriority w:val="0"/>
    <w:pPr>
      <w:spacing w:after="120"/>
    </w:pPr>
  </w:style>
  <w:style w:type="paragraph" w:styleId="6">
    <w:name w:val="Body Text Indent"/>
    <w:basedOn w:val="1"/>
    <w:qFormat/>
    <w:uiPriority w:val="0"/>
    <w:pPr>
      <w:ind w:left="420" w:leftChars="200"/>
    </w:pPr>
  </w:style>
  <w:style w:type="paragraph" w:styleId="7">
    <w:name w:val="Plain Text"/>
    <w:basedOn w:val="1"/>
    <w:qFormat/>
    <w:uiPriority w:val="0"/>
    <w:rPr>
      <w:rFonts w:ascii="宋体" w:hAnsi="Courier New"/>
    </w:rPr>
  </w:style>
  <w:style w:type="paragraph" w:styleId="8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9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0">
    <w:name w:val="toc 1"/>
    <w:basedOn w:val="1"/>
    <w:next w:val="1"/>
    <w:unhideWhenUsed/>
    <w:qFormat/>
    <w:uiPriority w:val="39"/>
    <w:rPr>
      <w:rFonts w:ascii="Calibri" w:hAnsi="Calibri" w:eastAsia="宋体" w:cs="Times New Roman"/>
    </w:rPr>
  </w:style>
  <w:style w:type="paragraph" w:styleId="11">
    <w:name w:val="Body Text Indent 3"/>
    <w:basedOn w:val="1"/>
    <w:qFormat/>
    <w:uiPriority w:val="0"/>
    <w:pPr>
      <w:ind w:firstLine="600" w:firstLineChars="200"/>
    </w:pPr>
    <w:rPr>
      <w:color w:val="FF0000"/>
      <w:sz w:val="30"/>
      <w:szCs w:val="20"/>
    </w:rPr>
  </w:style>
  <w:style w:type="paragraph" w:styleId="1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13">
    <w:name w:val="Body Text First Indent"/>
    <w:basedOn w:val="5"/>
    <w:qFormat/>
    <w:uiPriority w:val="0"/>
    <w:pPr>
      <w:widowControl/>
      <w:spacing w:after="120"/>
      <w:ind w:firstLine="420" w:firstLineChars="100"/>
      <w:jc w:val="left"/>
    </w:pPr>
    <w:rPr>
      <w:rFonts w:ascii="Times New Roman"/>
    </w:rPr>
  </w:style>
  <w:style w:type="table" w:styleId="15">
    <w:name w:val="Table Grid"/>
    <w:basedOn w:val="1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7">
    <w:name w:val="Strong"/>
    <w:qFormat/>
    <w:uiPriority w:val="22"/>
    <w:rPr>
      <w:b/>
      <w:bCs/>
    </w:rPr>
  </w:style>
  <w:style w:type="character" w:styleId="18">
    <w:name w:val="Hyperlink"/>
    <w:basedOn w:val="16"/>
    <w:unhideWhenUsed/>
    <w:qFormat/>
    <w:uiPriority w:val="99"/>
    <w:rPr>
      <w:color w:val="0000FF"/>
      <w:u w:val="single"/>
    </w:rPr>
  </w:style>
  <w:style w:type="paragraph" w:customStyle="1" w:styleId="19">
    <w:name w:val="列表段落1"/>
    <w:basedOn w:val="1"/>
    <w:qFormat/>
    <w:uiPriority w:val="0"/>
    <w:pPr>
      <w:ind w:firstLine="420" w:firstLineChars="200"/>
    </w:pPr>
  </w:style>
  <w:style w:type="paragraph" w:customStyle="1" w:styleId="20">
    <w:name w:val="Default"/>
    <w:qFormat/>
    <w:uiPriority w:val="0"/>
    <w:pPr>
      <w:widowControl w:val="0"/>
      <w:autoSpaceDE w:val="0"/>
      <w:autoSpaceDN w:val="0"/>
      <w:adjustRightInd w:val="0"/>
    </w:pPr>
    <w:rPr>
      <w:rFonts w:ascii="楷体" w:hAnsi="Times New Roman" w:eastAsia="楷体" w:cs="楷体"/>
      <w:color w:val="000000"/>
      <w:sz w:val="24"/>
      <w:szCs w:val="24"/>
      <w:lang w:val="en-US" w:eastAsia="zh-CN" w:bidi="ar-SA"/>
    </w:rPr>
  </w:style>
  <w:style w:type="character" w:customStyle="1" w:styleId="21">
    <w:name w:val="15"/>
    <w:basedOn w:val="16"/>
    <w:qFormat/>
    <w:uiPriority w:val="0"/>
    <w:rPr>
      <w:rFonts w:hint="default" w:ascii="Calibri" w:hAnsi="Calibri" w:cs="Calibri"/>
      <w:b/>
      <w:bCs/>
    </w:rPr>
  </w:style>
  <w:style w:type="paragraph" w:styleId="22">
    <w:name w:val="List Paragraph"/>
    <w:basedOn w:val="1"/>
    <w:qFormat/>
    <w:uiPriority w:val="34"/>
    <w:pPr>
      <w:ind w:left="720"/>
      <w:contextualSpacing/>
    </w:pPr>
  </w:style>
  <w:style w:type="character" w:customStyle="1" w:styleId="23">
    <w:name w:val="楷体 (中文) 楷体"/>
    <w:qFormat/>
    <w:uiPriority w:val="0"/>
    <w:rPr>
      <w:rFonts w:ascii="楷体" w:hAnsi="楷体" w:eastAsia="楷体"/>
      <w:kern w:val="1"/>
      <w:sz w:val="28"/>
    </w:rPr>
  </w:style>
  <w:style w:type="paragraph" w:customStyle="1" w:styleId="24">
    <w:name w:val="正文11"/>
    <w:basedOn w:val="1"/>
    <w:qFormat/>
    <w:uiPriority w:val="0"/>
    <w:pPr>
      <w:ind w:firstLine="560" w:firstLineChars="200"/>
    </w:pPr>
    <w:rPr>
      <w:rFonts w:ascii="宋体" w:hAnsi="宋体" w:eastAsia="宋体" w:cs="Times New Roman"/>
      <w:sz w:val="28"/>
      <w:szCs w:val="28"/>
    </w:rPr>
  </w:style>
  <w:style w:type="character" w:customStyle="1" w:styleId="25">
    <w:name w:val="font21"/>
    <w:basedOn w:val="16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paragraph" w:customStyle="1" w:styleId="26">
    <w:name w:val="正文文字3"/>
    <w:basedOn w:val="5"/>
    <w:autoRedefine/>
    <w:qFormat/>
    <w:uiPriority w:val="0"/>
    <w:pPr>
      <w:adjustRightInd w:val="0"/>
      <w:spacing w:line="360" w:lineRule="atLeast"/>
      <w:ind w:left="72" w:leftChars="30" w:right="72" w:rightChars="30"/>
      <w:textAlignment w:val="baseline"/>
    </w:pPr>
    <w:rPr>
      <w:rFonts w:ascii="Times New Roman" w:hAnsi="Times New Roman" w:eastAsia="宋体" w:cs="Times New Roman"/>
      <w:szCs w:val="20"/>
      <w14:ligatures w14:val="non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contractReview xmlns="http://schemas.wps.cn/vas-ai-hub/contract-review">
  <reviewItems>
    <reviewItem>
      <errorID>362d80b6-7389-49d5-a606-cfe638058361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 22E8766</paraID>
      <start>0</start>
      <end>2</end>
      <status>unmodified</status>
      <modifiedWord/>
      <trackRevisions>false</trackRevisions>
    </reviewItem>
    <reviewItem>
      <errorID>68ac6469-cd76-4d50-ac97-78fc3dda1083</errorID>
      <errorWord>2、</errorWord>
      <group>L1_Format</group>
      <groupName>格式问题</groupName>
      <ability>L2_Ordinal</ability>
      <abilityName>序号格式</abilityName>
      <candidateList>
        <item>2.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6441606B</paraID>
      <start>0</start>
      <end>2</end>
      <status>unmodified</status>
      <modifiedWord/>
      <trackRevisions>false</trackRevisions>
    </reviewItem>
    <reviewItem>
      <errorID>d44d0688-69e6-4b5b-901a-e8509c720c5a</errorID>
      <errorWord>3、</errorWord>
      <group>L1_Format</group>
      <groupName>格式问题</groupName>
      <ability>L2_Ordinal</ability>
      <abilityName>序号格式</abilityName>
      <candidateList>
        <item>3.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3A3BF07A</paraID>
      <start>0</start>
      <end>2</end>
      <status>unmodified</status>
      <modifiedWord/>
      <trackRevisions>false</trackRevisions>
    </reviewItem>
    <reviewItem>
      <errorID>3acd0ca8-f86c-48b5-a08f-6b5698e10db9</errorID>
      <errorWord>应</errorWord>
      <group>L1_Word</group>
      <groupName>字词问题</groupName>
      <ability>L2_Typo</ability>
      <abilityName>字词错误</abilityName>
      <candidateList>
        <item>应用</item>
      </candidateList>
      <explain/>
      <paraID>2F3B9AB8</paraID>
      <start>90</start>
      <end>91</end>
      <status>unmodified</status>
      <modifiedWord/>
      <trackRevisions>false</trackRevisions>
    </reviewItem>
    <reviewItem>
      <errorID>443fd89a-f06e-436b-b4fa-c5ce3ba40602</errorID>
      <errorWord>、和</errorWord>
      <group>L1_Grammar</group>
      <groupName>语法问题</groupName>
      <ability>L2_Order</ability>
      <abilityName>语序不当</abilityName>
      <candidateList>
        <item>、</item>
      </candidateList>
      <explain>句子可能没有遵循时空、逻辑顺序，或者介词、关联词等位置不当。</explain>
      <paraID> A0A1CAF</paraID>
      <start>36</start>
      <end>38</end>
      <status>unmodified</status>
      <modifiedWord/>
      <trackRevisions>false</trackRevisions>
    </reviewItem>
    <reviewItem>
      <errorID>54fd9ef4-b2fd-48d7-8901-634278fa0d3d</errorID>
      <errorWord>、和</errorWord>
      <group>L1_Grammar</group>
      <groupName>语法问题</groupName>
      <ability>L2_Order</ability>
      <abilityName>语序不当</abilityName>
      <candidateList>
        <item>、</item>
      </candidateList>
      <explain>句子可能没有遵循时空、逻辑顺序，或者介词、关联词等位置不当。</explain>
      <paraID>74C43896</paraID>
      <start>50</start>
      <end>52</end>
      <status>unmodified</status>
      <modifiedWord/>
      <trackRevisions>false</trackRevisions>
    </reviewItem>
    <reviewItem>
      <errorID>7b3ec30f-f937-4aa9-a8d6-f5937b63e7a0</errorID>
      <errorWord>、</errorWord>
      <group>L1_Word</group>
      <groupName>字词问题</groupName>
      <ability>L2_Typo</ability>
      <abilityName>字词错误</abilityName>
      <candidateList>
        <item>、以</item>
      </candidateList>
      <explain/>
      <paraID>74305AE3</paraID>
      <start>99</start>
      <end>100</end>
      <status>unmodified</status>
      <modifiedWord/>
      <trackRevisions>false</trackRevisions>
    </reviewItem>
    <reviewItem>
      <errorID>969664fc-c971-41ec-b66d-1a374686abf9</errorID>
      <errorWord>阀值</errorWord>
      <group>L1_Word</group>
      <groupName>字词问题</groupName>
      <ability>L2_Alias</ability>
      <abilityName>也作/曾用词</abilityName>
      <candidateList>
        <item>阈值</item>
      </candidateList>
      <explain>词汇[阀值]为不规范表述或旧称，其规范书面表述为[阈值]。</explain>
      <paraID>6C937FD0</paraID>
      <start>6</start>
      <end>8</end>
      <status>unmodified</status>
      <modifiedWord/>
      <trackRevisions>false</trackRevisions>
    </reviewItem>
    <reviewItem>
      <errorID>abb65400-7d53-4c4d-b067-32942768a1d7</errorID>
      <errorWord>登陆</errorWord>
      <group>L1_Word</group>
      <groupName>字词问题</groupName>
      <ability>L2_Typo</ability>
      <abilityName>字词错误</abilityName>
      <candidateList>
        <item>登录</item>
      </candidateList>
      <explain>〈动〉❶登记：～在案。❷注册▲。</explain>
      <paraID>4AE5F71B</paraID>
      <start>22</start>
      <end>24</end>
      <status>modified</status>
      <modifiedWord>登录</modifiedWord>
      <trackRevisions>false</trackRevisions>
    </reviewItem>
    <reviewItem>
      <errorID>ccf1db3a-e066-4147-8977-64c469b54413</errorID>
      <errorWord>“</errorWord>
      <group>L1_Punc</group>
      <groupName>标点问题</groupName>
      <ability>L2_Punc_CN</ability>
      <abilityName/>
      <candidateList/>
      <explain>此处标点可能未正确匹配，请检查句子中是否存在标点冗余、缺失或使用错误的情况。</explain>
      <paraID>75B29C36</paraID>
      <start>32</start>
      <end>33</end>
      <status>ignored</status>
      <modifiedWord/>
      <trackRevisions>false</trackRevisions>
    </reviewItem>
    <reviewItem>
      <errorID>6d4ec2e4-5118-4028-9f58-a6b0057b7a6b</errorID>
      <errorWord>“</errorWord>
      <group>L1_Punc</group>
      <groupName>标点问题</groupName>
      <ability>L2_Punc_CN</ability>
      <abilityName/>
      <candidateList/>
      <explain>此处标点可能未正确匹配，请检查句子中是否存在标点冗余、缺失或使用错误的情况。</explain>
      <paraID>75B29C36</paraID>
      <start>36</start>
      <end>37</end>
      <status>ignored</status>
      <modifiedWord/>
      <trackRevisions>false</trackRevisions>
    </reviewItem>
    <reviewItem>
      <errorID>1c0aca42-cd79-4d5c-883b-e4bf953f153e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1B7661F4</paraID>
      <start>0</start>
      <end>2</end>
      <status>unmodified</status>
      <modifiedWord/>
      <trackRevisions>false</trackRevisions>
    </reviewItem>
    <reviewItem>
      <errorID>533cad06-151a-4ce9-bc5d-b232a1842132</errorID>
      <errorWord>2、</errorWord>
      <group>L1_Format</group>
      <groupName>格式问题</groupName>
      <ability>L2_Ordinal</ability>
      <abilityName>序号格式</abilityName>
      <candidateList>
        <item>2.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436103FD</paraID>
      <start>0</start>
      <end>2</end>
      <status>unmodified</status>
      <modifiedWord/>
      <trackRevisions>false</trackRevisions>
    </reviewItem>
    <reviewItem>
      <errorID>bc64fa86-f55b-4b20-a254-43be0be6ca06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117C4525</paraID>
      <start>0</start>
      <end>2</end>
      <status>unmodified</status>
      <modifiedWord/>
      <trackRevisions>false</trackRevisions>
    </reviewItem>
    <reviewItem>
      <errorID>9aea268b-1900-4a45-bac0-5f2a35f403c3</errorID>
      <errorWord>2、</errorWord>
      <group>L1_Format</group>
      <groupName>格式问题</groupName>
      <ability>L2_Ordinal</ability>
      <abilityName>序号格式</abilityName>
      <candidateList>
        <item>2.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123C9161</paraID>
      <start>0</start>
      <end>2</end>
      <status>unmodified</status>
      <modifiedWord/>
      <trackRevisions>false</trackRevisions>
    </reviewItem>
    <reviewItem>
      <errorID>c15fc773-4590-4329-a3ba-8a435454bc39</errorID>
      <errorWord>供提</errorWord>
      <group>L1_Word</group>
      <groupName>字词问题</groupName>
      <ability>L2_Typo</ability>
      <abilityName>字词错误</abilityName>
      <candidateList>
        <item>提供</item>
      </candidateList>
      <explain/>
      <paraID>1550229A</paraID>
      <start>18</start>
      <end>20</end>
      <status>modified</status>
      <modifiedWord>提供</modifiedWord>
      <trackRevisions>false</trackRevisions>
    </reviewItem>
    <reviewItem>
      <errorID>0a6876fe-6038-4dbf-82c7-3a167e64e434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6163A2E2</paraID>
      <start>0</start>
      <end>2</end>
      <status>unmodified</status>
      <modifiedWord/>
      <trackRevisions>false</trackRevisions>
    </reviewItem>
    <reviewItem>
      <errorID>af083fd9-f623-4f4a-9307-eeb8c3e30a74</errorID>
      <errorWord>2、</errorWord>
      <group>L1_Format</group>
      <groupName>格式问题</groupName>
      <ability>L2_Ordinal</ability>
      <abilityName>序号格式</abilityName>
      <candidateList>
        <item>2.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75BA9CDB</paraID>
      <start>0</start>
      <end>2</end>
      <status>unmodified</status>
      <modifiedWord/>
      <trackRevisions>false</trackRevisions>
    </reviewItem>
    <reviewItem>
      <errorID>6d89823a-f459-42ff-8e10-e651929f56ca</errorID>
      <errorWord>3、</errorWord>
      <group>L1_Format</group>
      <groupName>格式问题</groupName>
      <ability>L2_Ordinal</ability>
      <abilityName>序号格式</abilityName>
      <candidateList>
        <item>3.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1BB2A8EF</paraID>
      <start>0</start>
      <end>2</end>
      <status>unmodified</status>
      <modifiedWord/>
      <trackRevisions>false</trackRevisions>
    </reviewItem>
    <reviewItem>
      <errorID>3f7f47d5-a03a-4d16-ba56-fb3520790117</errorID>
      <errorWord>4、</errorWord>
      <group>L1_Format</group>
      <groupName>格式问题</groupName>
      <ability>L2_Ordinal</ability>
      <abilityName>序号格式</abilityName>
      <candidateList>
        <item>4.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32423874</paraID>
      <start>0</start>
      <end>2</end>
      <status>unmodified</status>
      <modifiedWord/>
      <trackRevisions>false</trackRevisions>
    </reviewItem>
    <reviewItem>
      <errorID>a1d6c5ff-06a1-4191-a434-d4b1feb1391b</errorID>
      <errorWord>5、</errorWord>
      <group>L1_Format</group>
      <groupName>格式问题</groupName>
      <ability>L2_Ordinal</ability>
      <abilityName>序号格式</abilityName>
      <candidateList>
        <item>5.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47143B82</paraID>
      <start>0</start>
      <end>2</end>
      <status>unmodified</status>
      <modifiedWord/>
      <trackRevisions>false</trackRevisions>
    </reviewItem>
    <reviewItem>
      <errorID>aed48472-46bc-4c87-81d3-984d6f89de13</errorID>
      <errorWord>6、</errorWord>
      <group>L1_Format</group>
      <groupName>格式问题</groupName>
      <ability>L2_Ordinal</ability>
      <abilityName>序号格式</abilityName>
      <candidateList>
        <item>6.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3644FF0B</paraID>
      <start>0</start>
      <end>2</end>
      <status>unmodified</status>
      <modifiedWord/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5bc8a73-3c35-47cc-9b19-a5cb3fecdde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15</Pages>
  <Words>1196</Words>
  <Characters>1317</Characters>
  <Lines>0</Lines>
  <Paragraphs>0</Paragraphs>
  <TotalTime>2</TotalTime>
  <ScaleCrop>false</ScaleCrop>
  <LinksUpToDate>false</LinksUpToDate>
  <CharactersWithSpaces>1319</CharactersWithSpaces>
  <Application>WPS Office_12.1.0.26375_F1E327BC-269C-435d-A152-05C5408002CA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2025-04-03T05:09:00Z</dcterms:created>
  <dc:creator>HP</dc:creator>
  <cp:lastModifiedBy>仲杰</cp:lastModifiedBy>
  <dcterms:modified xsi:type="dcterms:W3CDTF">2026-05-25T00:23:58Z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2052-12.1.0.26375</vt:lpwstr>
  </property>
  <property fmtid="{D5CDD505-2E9C-101B-9397-08002B2CF9AE}" pid="3" name="KSOTemplateDocerSaveRecord">
    <vt:lpwstr>eyJoZGlkIjoiMjQzMjJjYTEzYzEzMjVjOGIxYWQwMTc0ZTUwZGE2YjIiLCJ1c2VySWQiOiIyOTgyOTgyOTEifQ==</vt:lpwstr>
  </property>
  <property fmtid="{D5CDD505-2E9C-101B-9397-08002B2CF9AE}" pid="4" name="ICV">
    <vt:lpwstr>2BFD31D5F3FB4B709DBC969892577809_12</vt:lpwstr>
  </property>
</Properties>
</file>