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bookmarkStart w:id="0" w:name="_Toc28359012"/>
      <w:r>
        <w:rPr>
          <w:rFonts w:hint="eastAsia" w:ascii="宋体" w:hAnsi="宋体"/>
          <w:b/>
          <w:sz w:val="32"/>
          <w:szCs w:val="32"/>
        </w:rPr>
        <w:t>行政楼128报告厅</w:t>
      </w:r>
      <w:bookmarkStart w:id="5" w:name="_GoBack"/>
      <w:bookmarkEnd w:id="5"/>
      <w:r>
        <w:rPr>
          <w:rFonts w:hint="eastAsia" w:ascii="宋体" w:hAnsi="宋体"/>
          <w:b/>
          <w:sz w:val="32"/>
          <w:szCs w:val="32"/>
        </w:rPr>
        <w:t>多媒体设备采购需求</w:t>
      </w:r>
    </w:p>
    <w:p>
      <w:pPr>
        <w:spacing w:line="540" w:lineRule="exact"/>
        <w:ind w:firstLine="0" w:firstLineChars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一、项目基本情况</w:t>
      </w:r>
      <w:bookmarkEnd w:id="0"/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为应对学校1</w:t>
      </w:r>
      <w:r>
        <w:rPr>
          <w:rFonts w:ascii="仿宋" w:hAnsi="仿宋" w:eastAsia="仿宋" w:cs="仿宋"/>
          <w:sz w:val="28"/>
          <w:szCs w:val="28"/>
        </w:rPr>
        <w:t>28</w:t>
      </w:r>
      <w:r>
        <w:rPr>
          <w:rFonts w:hint="eastAsia" w:ascii="仿宋" w:hAnsi="仿宋" w:eastAsia="仿宋" w:cs="仿宋"/>
          <w:sz w:val="28"/>
          <w:szCs w:val="28"/>
        </w:rPr>
        <w:t>报告厅</w:t>
      </w:r>
      <w:r>
        <w:rPr>
          <w:rFonts w:ascii="仿宋" w:hAnsi="仿宋" w:eastAsia="仿宋" w:cs="仿宋"/>
          <w:sz w:val="28"/>
          <w:szCs w:val="28"/>
        </w:rPr>
        <w:t>会议</w:t>
      </w:r>
      <w:r>
        <w:rPr>
          <w:rFonts w:hint="eastAsia" w:ascii="仿宋" w:hAnsi="仿宋" w:eastAsia="仿宋" w:cs="仿宋"/>
          <w:sz w:val="28"/>
          <w:szCs w:val="28"/>
        </w:rPr>
        <w:t>活动需要，提高会务使用体验，将原有故障及老化的扩声系统设备进行替换，并采购一套操控监看显示设备，以便使用操控人员根据会场情况实时操作。根据学校的需求，采购多媒体设备，拟采取单价比选方式实施采购。</w:t>
      </w:r>
    </w:p>
    <w:p>
      <w:pPr>
        <w:spacing w:line="540" w:lineRule="exact"/>
        <w:ind w:firstLine="0" w:firstLineChars="0"/>
        <w:rPr>
          <w:rFonts w:ascii="仿宋" w:hAnsi="仿宋" w:eastAsia="仿宋" w:cs="仿宋"/>
          <w:b/>
          <w:bCs/>
          <w:sz w:val="28"/>
          <w:szCs w:val="28"/>
        </w:rPr>
      </w:pPr>
      <w:bookmarkStart w:id="1" w:name="_Toc28359013"/>
      <w:r>
        <w:rPr>
          <w:rFonts w:hint="eastAsia" w:ascii="黑体" w:hAnsi="黑体" w:eastAsia="黑体" w:cs="黑体"/>
          <w:sz w:val="28"/>
          <w:szCs w:val="28"/>
        </w:rPr>
        <w:t>二、投标人资格要求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bookmarkEnd w:id="1"/>
    </w:p>
    <w:p>
      <w:pPr>
        <w:spacing w:line="540" w:lineRule="exact"/>
        <w:ind w:firstLine="56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、具有良好的信用记录，近三年无重大违法、违规、违约行为；</w:t>
      </w:r>
    </w:p>
    <w:p>
      <w:pPr>
        <w:spacing w:line="540" w:lineRule="exact"/>
        <w:ind w:firstLine="56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近三年未被列入信用中国（www.creditchina.gov.cn）“失信被执行人”、“重大税收违法案件当事人名单”、“政府采购严重违法失信名单”;</w:t>
      </w:r>
    </w:p>
    <w:p>
      <w:pPr>
        <w:spacing w:line="540" w:lineRule="exact"/>
        <w:ind w:firstLine="56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>
      <w:pPr>
        <w:spacing w:line="540" w:lineRule="exact"/>
        <w:ind w:firstLine="0" w:firstLineChars="0"/>
        <w:jc w:val="lef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bookmarkStart w:id="2" w:name="_Toc28359092"/>
      <w:r>
        <w:rPr>
          <w:rFonts w:hint="eastAsia" w:ascii="黑体" w:hAnsi="黑体" w:eastAsia="黑体" w:cs="黑体"/>
          <w:sz w:val="28"/>
          <w:szCs w:val="28"/>
        </w:rPr>
        <w:t>三、报价文件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的</w:t>
      </w:r>
      <w:bookmarkEnd w:id="2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组成与要求</w:t>
      </w:r>
    </w:p>
    <w:p>
      <w:pPr>
        <w:widowControl/>
        <w:spacing w:line="540" w:lineRule="exact"/>
        <w:ind w:firstLine="560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（一）报价文件内容包括但不限于下列部分：</w:t>
      </w:r>
    </w:p>
    <w:p>
      <w:pPr>
        <w:widowControl/>
        <w:spacing w:line="54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</w:rPr>
        <w:t>1、商务部分：报价表（需加盖公章），企业法人授权委托书原件（需有法人及代理人签字并加盖公章）、法定代表人或被委托人身份证复印件、营业执照。</w:t>
      </w:r>
    </w:p>
    <w:p>
      <w:pPr>
        <w:widowControl/>
        <w:spacing w:line="54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、技术及服务部分：提供对应技术参数设备相关资料、售后服务承诺、业绩证明。</w:t>
      </w:r>
    </w:p>
    <w:p>
      <w:pPr>
        <w:widowControl/>
        <w:spacing w:line="54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、其他：供应商认为可以提供的其他相关材料。</w:t>
      </w:r>
    </w:p>
    <w:p>
      <w:pPr>
        <w:pStyle w:val="2"/>
        <w:widowControl/>
        <w:spacing w:line="540" w:lineRule="exact"/>
        <w:ind w:left="0" w:leftChars="0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（二）报价文件要求：</w:t>
      </w:r>
    </w:p>
    <w:p>
      <w:pPr>
        <w:pStyle w:val="2"/>
        <w:widowControl/>
        <w:spacing w:line="540" w:lineRule="exact"/>
        <w:ind w:left="0" w:leftChars="0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1、报价文件需法人签字或授权代理人签字并加盖公章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扫描成pdf文件发送至</w:t>
      </w:r>
      <w:r>
        <w:fldChar w:fldCharType="begin"/>
      </w:r>
      <w:r>
        <w:instrText xml:space="preserve"> HYPERLINK "mailto:quotation@shmtu.edu.cn" </w:instrText>
      </w:r>
      <w:r>
        <w:fldChar w:fldCharType="separate"/>
      </w:r>
      <w:r>
        <w:rPr>
          <w:rStyle w:val="12"/>
          <w:rFonts w:ascii="Times New Roman" w:hAnsi="Times New Roman"/>
          <w:color w:val="auto"/>
          <w:sz w:val="28"/>
          <w:szCs w:val="28"/>
        </w:rPr>
        <w:t>quotation@shmtu.edu.cn</w:t>
      </w:r>
      <w:r>
        <w:rPr>
          <w:rStyle w:val="12"/>
          <w:rFonts w:ascii="Times New Roman" w:hAnsi="Times New Roman"/>
          <w:color w:val="auto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pStyle w:val="2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</w:rPr>
        <w:sectPr>
          <w:footerReference r:id="rId3" w:type="default"/>
          <w:pgSz w:w="11906" w:h="16838"/>
          <w:pgMar w:top="1440" w:right="1083" w:bottom="1440" w:left="1083" w:header="851" w:footer="992" w:gutter="0"/>
          <w:pgNumType w:fmt="numberInDash"/>
          <w:cols w:space="0" w:num="1"/>
          <w:rtlGutter w:val="0"/>
          <w:docGrid w:type="lines" w:linePitch="314" w:charSpace="0"/>
        </w:sect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、逾期送达或者未送达指定地点的报价文件，采购人不予受理。</w:t>
      </w:r>
    </w:p>
    <w:p>
      <w:pPr>
        <w:spacing w:line="540" w:lineRule="exact"/>
        <w:ind w:firstLine="0" w:firstLineChars="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8"/>
          <w:szCs w:val="28"/>
        </w:rPr>
        <w:t>五、采购需求：</w:t>
      </w:r>
      <w:r>
        <w:rPr>
          <w:rFonts w:hint="eastAsia" w:ascii="黑体" w:hAnsi="黑体" w:eastAsia="黑体" w:cs="黑体"/>
          <w:sz w:val="24"/>
        </w:rPr>
        <w:t>下述品牌仅供参考，不限定推荐品牌</w:t>
      </w:r>
    </w:p>
    <w:tbl>
      <w:tblPr>
        <w:tblStyle w:val="9"/>
        <w:tblW w:w="14845" w:type="dxa"/>
        <w:jc w:val="right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333"/>
        <w:gridCol w:w="1117"/>
        <w:gridCol w:w="416"/>
        <w:gridCol w:w="933"/>
        <w:gridCol w:w="5995"/>
        <w:gridCol w:w="414"/>
        <w:gridCol w:w="789"/>
        <w:gridCol w:w="707"/>
        <w:gridCol w:w="10"/>
        <w:gridCol w:w="929"/>
        <w:gridCol w:w="930"/>
        <w:gridCol w:w="1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right"/>
        </w:trPr>
        <w:tc>
          <w:tcPr>
            <w:tcW w:w="1331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>发言&amp;扩声部分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righ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4A4A4" w:themeFill="background1" w:themeFillShade="A5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>序号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4A4A4" w:themeFill="background1" w:themeFillShade="A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>设备名称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4A4A4" w:themeFill="background1" w:themeFillShade="A5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>配置原因及说明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4A4A4" w:themeFill="background1" w:themeFillShade="A5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>技术标准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4A4A4" w:themeFill="background1" w:themeFillShade="A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>推荐品牌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4A4A4" w:themeFill="background1" w:themeFillShade="A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>数量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4A4A4" w:themeFill="background1" w:themeFillShade="A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>单位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4A4A4" w:themeFill="background1" w:themeFillShade="A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righ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1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吸顶音箱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故障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天花板扬声器；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单元组成：6.5英寸低音单元，0.75英寸高音单元；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 xml:space="preserve">◆SonicGuardTM声音过载保护，保护高音单元损坏； 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频率范围：75Hz-20kHz；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功率：连续节目功率：150W, 连续粉红噪声功率 75W；                                                                  接线端子：密封的可拆的加锁连接端子；拉紧电缆解脱；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最大声压级：107dB SPL @ 1m；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灵敏度：89dB  1m/1 W ；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覆盖角度：110°；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阻抗：16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QSC ,EV,JBL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只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righ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2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主扬声器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老化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二分频扬声器，带专利PT波导式号筒及压缩驱动器，可旋转用于水平或垂直安装；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带原厂吊挂孔；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扬声器组成：低音：1×10"，高音：1×1.5"；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频率范围(-10dB)：68Hz—20kHz，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频率响应(±3dB)：85Hz—18kHz；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灵敏度（1W@1m）：95dB；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AES功率：300W；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最大声压级：124dB；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阻抗：8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覆盖角度（水平×垂直）：90°×50°,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QSC ,EV,JBL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只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righ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3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功率放大器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老化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8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立体声 :250W*4;4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立体声 :450W*4;2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立体声 :700W*4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16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桥接功率 :500W*2;8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桥接功率 :900W*2;4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桥接功率 :1400W*2;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100V定压 :-;70V定压 : -;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最大输入电平 : 8.7Vrms (+21dBu)（默认增益）;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默认增益 (额定输出功率，1kHz) :15dB;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增益范围 (额定输出功率，1kHz) :15~33dB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失真 :0.05% (10%额定输出功率，1kHz);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频率响应 :典型值：±0.5dB (额定输出功率，20Hz-1kHz，8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）;输入阻抗 :20k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 xml:space="preserve"> (平衡)，10k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 xml:space="preserve"> (非平衡);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阻尼系数 :1000 (20Hz-200Hz，Lo-Z，8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);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信噪比 :≥100dB (A计权);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电源要求 :100-240VAC ±10%，50/60Hz;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保护功能 :电源欠压保护、功放输出直流保护、过热保护、温度功率控制、过载功率控制;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ENNE,CROWN,QSC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台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righ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4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功率放大器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老化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8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立体声 :450W*2;4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立体声 :750W*2;2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立体声 :1300W*2;16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桥接功率 :900W*1;8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桥接功率 :1500W*1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;4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桥接功率 :2600W*1;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100V定压 :-;70V定压 : -;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最大输入电平 :8.7Vrms (+21dBu)（默认增益）;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默认增益 (额定输出功率，1kHz) :18dB;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增益范围 (额定输出功率，1kHz) :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18~36dB;失真 :0.05% (10%额定输出功率，1kHz);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频率响应 :典型值：±0.5dB (额定输出功率，20Hz-1kHz，8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）;输入阻抗 :20k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 xml:space="preserve"> (平衡)，10k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 xml:space="preserve"> (非平衡);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阻尼系数 :1000 (20Hz-200Hz，Lo-Z，8</w:t>
            </w:r>
            <w:r>
              <w:rPr>
                <w:rStyle w:val="20"/>
                <w:sz w:val="21"/>
                <w:szCs w:val="21"/>
                <w:lang w:bidi="ar"/>
              </w:rPr>
              <w:t>Ω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);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信噪比 :≥105 dB (A计权);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电源要求 :100-240VAC ±10%，50/60Hz;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保护功能 :电源欠压保护、功放输出直流保护、过热保护、温度功率控制、过载功率控制;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ENNE,CROWN,QSC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台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righ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5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音频处理器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配套更换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 xml:space="preserve">1.64 x 64网络音频通道 (Q-LAN / AES67) 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2.8路自定义音频通道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3.8进8出GPIO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3.8路AEC回声消除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4.内置16通道多轨播放器（可扩展32路）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5.支持网络流媒体播放12 x 12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6.支持最多32*32路基于软件的Dante通道（内置8 x 8）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7.USB 音视频连接 (支持8 x 8音频+ Q-SYS摄像头)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8.外置USB音频设备接驳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9.支持 2 路 VoIP 电话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10.全功能Q-SYS控制引擎，可控制外部设备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11.双千兆以太网端口（RJ45），实现VOIP、Q-LAN音视频控制、以及系统热备份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12.1/2U机架宽度，包装包含各种安装配件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1、通道容量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网络音频通道数  64 x 64 （购买许可最大支持 128x128）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Dante 通道数  8x8（购买许可最大支持 32x32）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8路板载自定义音频接口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a) 音频输入：幻象电源 +48 VDC，每个输入最大 10 mA ，A/D - D/A 转换器 24 bit 采样率 48 kHz ，输入频率响应 20 Hz to 20 kHz @ +24dBu +0.05 dB / -0.5 dB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b)音频输出：输出频率响应 20 Hz to 20 kHz @ 所有设定 + 0.5 / -.3 dB，8路AEC回声消除（通过可选证书最大支持16路），录音 / 回放  4 路录音 /16 路回放 ( 通过可选证书最大支持 32 )，内置16g多媒体播放容量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2、1路USB声卡（USB B或C）音频位深 16 bit ，通道数 8 x 8 ，采样频率 48 kHz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3、4路 USB A 支持USB头戴耳机等周边设备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 xml:space="preserve">4、输入：采样率 48k 或 16k，单声道 比特率 8-bit,16-bit, 24-bit, 32-bit, float 格式 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 xml:space="preserve">5、输出：采样率48k , 立体声 比特率 8-bit, 16-bit, 24-bit, 32-bit, float 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6、设备尺寸 (LWH) 286.5 x 220 x 43.7 mm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7、2路 RS-232控制接口，8进8出 GPIO接口</w:t>
            </w:r>
          </w:p>
          <w:p>
            <w:pPr>
              <w:widowControl/>
              <w:jc w:val="left"/>
              <w:textAlignment w:val="center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8、支持 32台Q-SYS网络设备（可扩展48台）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9、具有UL、CE、ROHS、FCC认证、ilac-MRA第三方检测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BSS ,QSC,dbx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台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righ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6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稳压电源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老化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容量:3kVA/2400W</w:t>
            </w:r>
          </w:p>
          <w:p>
            <w:pPr>
              <w:widowControl/>
              <w:jc w:val="left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输入:电压范围(110-300)VAC</w:t>
            </w:r>
          </w:p>
          <w:p>
            <w:pPr>
              <w:ind w:left="420" w:firstLine="420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频率范围40Hz-70Hz</w:t>
            </w:r>
          </w:p>
          <w:p>
            <w:pPr>
              <w:ind w:left="420" w:firstLine="420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输入功率因数≧ 0.98</w:t>
            </w:r>
          </w:p>
          <w:p>
            <w:pPr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输出:输出电压220*(1±2%)VAC</w:t>
            </w:r>
          </w:p>
          <w:p>
            <w:pPr>
              <w:ind w:left="420" w:firstLine="420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 xml:space="preserve">输出频率50±0.05Hz (电池模式) </w:t>
            </w:r>
          </w:p>
          <w:p>
            <w:pPr>
              <w:ind w:left="420" w:firstLine="420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输出功因40°C环境温度下0.8，30°C环境温度下0.9</w:t>
            </w:r>
          </w:p>
          <w:p>
            <w:pPr>
              <w:ind w:left="420" w:firstLine="420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插座形式*数量：国标插座*2</w:t>
            </w:r>
          </w:p>
          <w:p>
            <w:pPr>
              <w:widowControl/>
              <w:jc w:val="left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显示:LCD+LED，LCD电压、频率等信息显示、UPS运行状况指示灯等</w:t>
            </w:r>
          </w:p>
          <w:p>
            <w:pPr>
              <w:widowControl/>
              <w:jc w:val="left"/>
              <w:rPr>
                <w:rStyle w:val="19"/>
                <w:rFonts w:hint="default"/>
                <w:sz w:val="21"/>
                <w:szCs w:val="21"/>
                <w:lang w:bidi="ar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物理参数:尺寸 (WxDxH)mm:438*420*87</w:t>
            </w:r>
          </w:p>
          <w:p>
            <w:pPr>
              <w:rPr>
                <w:rStyle w:val="19"/>
                <w:rFonts w:hint="default" w:ascii="Calibri" w:hAnsi="Calibri" w:cs="Times New Roman"/>
                <w:color w:val="auto"/>
                <w:sz w:val="36"/>
                <w:szCs w:val="44"/>
              </w:rPr>
            </w:pPr>
            <w:r>
              <w:rPr>
                <w:rStyle w:val="19"/>
                <w:rFonts w:hint="default"/>
                <w:sz w:val="21"/>
                <w:szCs w:val="21"/>
                <w:lang w:bidi="ar"/>
              </w:rPr>
              <w:t>重量 (kg):21.6KG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APC,</w:t>
            </w:r>
            <w:r>
              <w:rPr>
                <w:rFonts w:ascii="仿宋" w:hAnsi="仿宋" w:eastAsia="仿宋" w:cs="仿宋"/>
                <w:szCs w:val="21"/>
              </w:rPr>
              <w:t>伊顿，山特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套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righ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kern w:val="0"/>
                <w:szCs w:val="21"/>
                <w:lang w:bidi="ar"/>
              </w:rPr>
              <w:t>7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20倍高清云台摄像机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需新增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1.国际知名厂家生产的1/2.8英寸，CMOS 图像传感器，支持1080P60，1080P50，1080P30，1080P25，720P60，720P50；（需广电检测报告）             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2.必须支持网口音视频编码输出，支持H.265/H.264/MJEPG三种视频编码标准，音频AAC编码标准；必须支持RTSP、RTMP、Onvif、组播等网络协议；网络视频编码码率最大可支持20Mbps，网络音频编码码率最大可支持256Kbps。                      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3.支持HDMI+3G-SDI两路非压缩专业视频输出, 网络编码、HDMI、SDI、USB四路同时输出图像（需广电检测报告）                    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4.同时具有2D和3D降噪算法，降低图像噪声，图像信噪比≥55dB。              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5.必须支持预置位过程图像冻结功能。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6.电视线≥900（需广电检测报告）        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7.高品质变焦镜头，最大视角必须≥60°，光学变焦≥20倍 （需广电检测报告）        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8.需同时支持RS232+RS485两种串口，支持VISCA、PELCO-D/P多种协议的对摄像机进：±170°，垂直：-30°~+90°。转动速度范围，水平：1.7° ~ 100°/s，垂直1.7° ~ 69.9°/s            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9.摄像机可设置不少于250个预置位，预置位精度≤0.1°。 （需广电检测报告）         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10.支持音频LINE IN输入及line out输出，可外接麦克风，无线小蜜蜂等，摄像机可对音频进行编码。                                                          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11.支持行人重识别技术，可以根据行人穿着、体型、发型以及人脸识别等信息能够准确判断一个人所在位置，实现自动识别目标人形并跟踪。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12.支持版本升级功能，可通过计算机进行版本升级.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13.支持NDI|HX2协议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14.厂商具备提供ISO9001质量管理体系认证证书，ISO14001环境管理体系认证证书，ISO45001职业健康安全管理体系认证证书。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潍海德,PUA,BoLin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台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righ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bookmarkStart w:id="3" w:name="OLE_LINK15"/>
            <w:r>
              <w:rPr>
                <w:rFonts w:ascii="仿宋" w:hAnsi="仿宋" w:eastAsia="仿宋" w:cs="仿宋"/>
                <w:kern w:val="0"/>
                <w:szCs w:val="21"/>
                <w:lang w:bidi="ar"/>
              </w:rPr>
              <w:t>8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控制键盘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需新增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广播应用级控制键盘，按键布局结合人体工学操作体验式设计，采用2维遥杆与变倍桥键分布式设计，提升操控性，更强更稳定，所有按键采用硅胶背光设计，舒适与时尚，内置VISCA, UDP, PELCO P/D等多种控制协议，支持RS422/RS485/RS232/IP等多接口方式同时通讯，采用5路摄像机快捷通道键和5个无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变速旋钮，4个彩色LED多屏显示设计，设置简单，易操作；支持AE曝光与WB白平衡多模式可视化切换，实时数值呈现更直观；支持一键自动、手动、OPT 聚焦模式。支持7级 Pan/Tilt云台转速与Zoom 速度可视调节。多应用于视频会议、专业影音系统、录播室、广播广电、教育教学、远程医疗、活动或事件视频录制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优势与特点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•外观设计精巧，按键布局结合人体工学操作体验式设计；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•采用云台转动（二维摇杆））与变倍桥键（力度按压）分布式设计，操控性更强，更稳定；快捷•内置VISCA, UDP, PELCO P/D等多种控制协议；兼容性强，可控制所有云台摄像机（特殊协议定制）；•支持RS422/RS485/RS232/IP等多接口方式同时通讯连接，互不干扰；•采用5路摄像机快捷通道按键和5个无极变速旋转；•采用4个彩色LED 多屏显示设计，•主屏显示面板背光三档（低、高、正常）可调节。•主显示屏显示相关操控内容界面。•支持AE曝光与WB白平衡多模式可视化任意切换，实时数值呈现，更直观。•支持一键自动、手动、OPT 聚焦模式（单次聚焦触发）•支持7级 Pan/Tilt云台转速与Zoom 速度可视调节•支持预置位设置与调用主屏实时显示•最大支持5个快捷预置位调用与存储•最多可支持连接5个摄像机•采用彩色背光按键设计，更舒适与时尚•支持系统密码设置，操控权限限制，机身自带金士顿锁扣。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Panasonic,PUA,BoLin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台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righ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kern w:val="0"/>
                <w:szCs w:val="21"/>
                <w:lang w:bidi="ar"/>
              </w:rPr>
              <w:t>9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显示器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需新增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 32英寸 IPS G-sync FreeSync 显示器 (2560×1440、165Hz、HDR400)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SAMSUNG,DELL,Philips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台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righ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kern w:val="0"/>
                <w:szCs w:val="21"/>
                <w:lang w:bidi="ar"/>
              </w:rPr>
              <w:t>10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分屏器四进一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需新增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摄像头画面分割切换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Tesla,ENNE,Black magic desgin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台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righ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1</w:t>
            </w:r>
            <w:r>
              <w:rPr>
                <w:rFonts w:ascii="仿宋" w:hAnsi="仿宋" w:eastAsia="仿宋" w:cs="仿宋"/>
                <w:kern w:val="0"/>
                <w:szCs w:val="21"/>
                <w:lang w:bidi="ar"/>
              </w:rPr>
              <w:t>1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POE交换机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需新增</w:t>
            </w:r>
          </w:p>
        </w:tc>
        <w:tc>
          <w:tcPr>
            <w:tcW w:w="5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8口千兆交换机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HUAWEI,TP-LINK,NETGEAR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台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right"/>
        </w:trPr>
        <w:tc>
          <w:tcPr>
            <w:tcW w:w="14845" w:type="dxa"/>
            <w:gridSpan w:val="1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跳线&amp;辅材部分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1077" w:type="dxa"/>
            <w:gridSpan w:val="2"/>
            <w:shd w:val="clear" w:color="auto" w:fill="BEBEB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1533" w:type="dxa"/>
            <w:gridSpan w:val="2"/>
            <w:shd w:val="clear" w:color="auto" w:fill="BEBEB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设备名称</w:t>
            </w:r>
          </w:p>
        </w:tc>
        <w:tc>
          <w:tcPr>
            <w:tcW w:w="7342" w:type="dxa"/>
            <w:gridSpan w:val="3"/>
            <w:shd w:val="clear" w:color="auto" w:fill="BEBEB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型号规格</w:t>
            </w:r>
          </w:p>
        </w:tc>
        <w:tc>
          <w:tcPr>
            <w:tcW w:w="789" w:type="dxa"/>
            <w:shd w:val="clear" w:color="auto" w:fill="BEBEB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707" w:type="dxa"/>
            <w:shd w:val="clear" w:color="auto" w:fill="BEBEB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397" w:type="dxa"/>
            <w:gridSpan w:val="4"/>
            <w:shd w:val="clear" w:color="auto" w:fill="BEBEB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推荐品牌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107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53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线材</w:t>
            </w:r>
          </w:p>
        </w:tc>
        <w:tc>
          <w:tcPr>
            <w:tcW w:w="7342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音响线、高清线、卡隆线、音频线、VGA线等弱电相关线材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lang w:bidi="ar"/>
              </w:rPr>
              <w:t>1</w:t>
            </w:r>
          </w:p>
        </w:tc>
        <w:tc>
          <w:tcPr>
            <w:tcW w:w="7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项</w:t>
            </w:r>
          </w:p>
        </w:tc>
        <w:tc>
          <w:tcPr>
            <w:tcW w:w="3397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秋叶原、海缔立、绿联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107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53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管材&amp;辅材部分</w:t>
            </w:r>
          </w:p>
        </w:tc>
        <w:tc>
          <w:tcPr>
            <w:tcW w:w="7342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PVC管材&amp;辅材部分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lang w:bidi="ar"/>
              </w:rPr>
              <w:t>1</w:t>
            </w:r>
          </w:p>
        </w:tc>
        <w:tc>
          <w:tcPr>
            <w:tcW w:w="7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项</w:t>
            </w:r>
          </w:p>
        </w:tc>
        <w:tc>
          <w:tcPr>
            <w:tcW w:w="3397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国产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107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153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安装调试费</w:t>
            </w:r>
          </w:p>
        </w:tc>
        <w:tc>
          <w:tcPr>
            <w:tcW w:w="7342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bidi="ar"/>
              </w:rPr>
              <w:t>线路的敷敷、设备安装、调试以及敷设线路造成的墙面及舞台地板的维修费用,投影机及投影机电动吊架的拆除，吊顶恢复的费用，并对会议室原有线路进行全面清理，清除所有无用的线材的费用，将所有设备的强电接入新的稳压电源中，并清除原有废旧的强电线路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lang w:bidi="ar"/>
              </w:rPr>
              <w:t>1</w:t>
            </w:r>
          </w:p>
        </w:tc>
        <w:tc>
          <w:tcPr>
            <w:tcW w:w="7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项</w:t>
            </w:r>
          </w:p>
        </w:tc>
        <w:tc>
          <w:tcPr>
            <w:tcW w:w="3397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bookmarkEnd w:id="3"/>
    </w:tbl>
    <w:p>
      <w:pPr>
        <w:rPr>
          <w:rFonts w:hint="eastAsia" w:ascii="黑体" w:hAnsi="黑体" w:eastAsia="黑体" w:cs="黑体"/>
          <w:sz w:val="28"/>
          <w:szCs w:val="28"/>
        </w:rPr>
        <w:sectPr>
          <w:pgSz w:w="16838" w:h="11905" w:orient="landscape"/>
          <w:pgMar w:top="1083" w:right="1440" w:bottom="1083" w:left="1440" w:header="851" w:footer="992" w:gutter="0"/>
          <w:pgNumType w:fmt="numberInDash"/>
          <w:cols w:space="0" w:num="1"/>
          <w:rtlGutter w:val="0"/>
          <w:docGrid w:type="lines" w:linePitch="314" w:charSpace="0"/>
        </w:sectPr>
      </w:pPr>
      <w:r>
        <w:rPr>
          <w:rFonts w:hint="eastAsia" w:ascii="黑体" w:hAnsi="黑体" w:eastAsia="黑体" w:cs="黑体"/>
          <w:sz w:val="28"/>
          <w:szCs w:val="28"/>
        </w:rPr>
        <w:br w:type="page"/>
      </w:r>
    </w:p>
    <w:p>
      <w:pPr>
        <w:spacing w:line="2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六、质量要求</w:t>
      </w:r>
    </w:p>
    <w:p>
      <w:pPr>
        <w:pStyle w:val="2"/>
        <w:spacing w:line="240" w:lineRule="atLeast"/>
        <w:ind w:left="0" w:leftChars="0"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1、所投标产品应按国标、部标或行业标准要求制造，达到合格标准。</w:t>
      </w:r>
    </w:p>
    <w:p>
      <w:pPr>
        <w:pStyle w:val="2"/>
        <w:spacing w:line="240" w:lineRule="atLeast"/>
        <w:ind w:left="0" w:leftChars="0" w:firstLine="56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2、售后服务不少于</w:t>
      </w: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年，各投标单位自报。</w:t>
      </w:r>
    </w:p>
    <w:p>
      <w:pPr>
        <w:pStyle w:val="2"/>
        <w:spacing w:line="240" w:lineRule="atLeast"/>
        <w:ind w:left="0" w:leftChars="0" w:firstLine="0" w:firstLineChars="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七、交货要求</w:t>
      </w:r>
    </w:p>
    <w:p>
      <w:pPr>
        <w:spacing w:line="240" w:lineRule="atLeas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合同服务期内，乙方需在校方提出送货要求后的约定时间</w:t>
      </w:r>
      <w:r>
        <w:rPr>
          <w:rFonts w:ascii="仿宋" w:hAnsi="仿宋" w:eastAsia="仿宋"/>
          <w:sz w:val="28"/>
          <w:szCs w:val="28"/>
        </w:rPr>
        <w:t>20</w:t>
      </w:r>
      <w:r>
        <w:rPr>
          <w:rFonts w:hint="eastAsia" w:ascii="仿宋" w:hAnsi="仿宋" w:eastAsia="仿宋"/>
          <w:sz w:val="28"/>
          <w:szCs w:val="28"/>
        </w:rPr>
        <w:t>日送货，内送货至上海市浦东新区南汇新城镇海港大道1550号上海海事大学128报告厅。</w:t>
      </w:r>
    </w:p>
    <w:p>
      <w:pPr>
        <w:spacing w:line="240" w:lineRule="atLeast"/>
        <w:ind w:firstLine="0" w:firstLineChars="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sz w:val="28"/>
          <w:szCs w:val="28"/>
        </w:rPr>
        <w:t>八、付款方式</w:t>
      </w:r>
    </w:p>
    <w:p>
      <w:pPr>
        <w:spacing w:line="240" w:lineRule="atLeas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4" w:name="OLE_LINK1"/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经合同签订后5个工作日预付定金30%,安装完成后由甲方验收合格后支付尾款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0%。</w:t>
      </w:r>
    </w:p>
    <w:bookmarkEnd w:id="4"/>
    <w:p>
      <w:pPr>
        <w:ind w:firstLine="0" w:firstLineChars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九、评分标准</w:t>
      </w:r>
    </w:p>
    <w:tbl>
      <w:tblPr>
        <w:tblStyle w:val="9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1111"/>
        <w:gridCol w:w="1644"/>
        <w:gridCol w:w="6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44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5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分值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评分因素</w:t>
            </w:r>
          </w:p>
        </w:tc>
        <w:tc>
          <w:tcPr>
            <w:tcW w:w="316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44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5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40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投标报价</w:t>
            </w:r>
          </w:p>
        </w:tc>
        <w:tc>
          <w:tcPr>
            <w:tcW w:w="3168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价格分采用平均分优先法计算，即满足采购要求且投标报价平均价为基准价，低于等于基准价其价格分为满分。其他投标人的价格分统一按照下列公式计算：投标报价得分=（基准价／投标报价）×报价权重（40%）×100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44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5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30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设备技术参数响应</w:t>
            </w:r>
          </w:p>
        </w:tc>
        <w:tc>
          <w:tcPr>
            <w:tcW w:w="3168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根据整体响应情况，优秀得24-30分,一般得12-18分，较差得0-6分。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44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5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15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售后服务方案</w:t>
            </w:r>
          </w:p>
        </w:tc>
        <w:tc>
          <w:tcPr>
            <w:tcW w:w="3168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保修承诺的具体内容和实施措施（根据投标人提供的售后服务方案的合理性和可行性进行综合评审，包括服务体系、服务内容、故障解决方案、响应时间、专业技术人员保障， 团队等以及质保期后的服务方案，相对较优者得 13-15分，基本可行者得7-12分，相对较差着得 0-6分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44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5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15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业绩案例</w:t>
            </w:r>
          </w:p>
        </w:tc>
        <w:tc>
          <w:tcPr>
            <w:tcW w:w="3168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提供投标人或设备厂家近三年以来近似的业绩案例，每提供一项业绩得3分，最高得15分。注：需提供合同复印件或中标通知书，加盖公司公章，复印件胶装在投标文件中，否则该业绩不予认可。</w:t>
            </w:r>
          </w:p>
        </w:tc>
      </w:tr>
    </w:tbl>
    <w:p>
      <w:pPr>
        <w:pStyle w:val="2"/>
      </w:pPr>
    </w:p>
    <w:sectPr>
      <w:pgSz w:w="11905" w:h="16838"/>
      <w:pgMar w:top="1440" w:right="1083" w:bottom="1440" w:left="1083" w:header="851" w:footer="992" w:gutter="0"/>
      <w:pgNumType w:fmt="numberInDash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- 9 -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- 9 -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7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OGQwYjhiNmI4NDMzYTcyZjE3NmU1NDRkMTcyMTMifQ=="/>
  </w:docVars>
  <w:rsids>
    <w:rsidRoot w:val="000B1B22"/>
    <w:rsid w:val="000112B2"/>
    <w:rsid w:val="00041366"/>
    <w:rsid w:val="00047BDF"/>
    <w:rsid w:val="00066C42"/>
    <w:rsid w:val="000712B2"/>
    <w:rsid w:val="000A035E"/>
    <w:rsid w:val="000B1B22"/>
    <w:rsid w:val="000B3FD3"/>
    <w:rsid w:val="000D6B7C"/>
    <w:rsid w:val="00105277"/>
    <w:rsid w:val="00121423"/>
    <w:rsid w:val="00172B0E"/>
    <w:rsid w:val="001C4C26"/>
    <w:rsid w:val="002135EE"/>
    <w:rsid w:val="00214801"/>
    <w:rsid w:val="002410F1"/>
    <w:rsid w:val="0025081B"/>
    <w:rsid w:val="00262A2B"/>
    <w:rsid w:val="00271BAA"/>
    <w:rsid w:val="002772EF"/>
    <w:rsid w:val="0029140B"/>
    <w:rsid w:val="002B53E0"/>
    <w:rsid w:val="002D593B"/>
    <w:rsid w:val="00304462"/>
    <w:rsid w:val="00304DE8"/>
    <w:rsid w:val="003231E8"/>
    <w:rsid w:val="00371B60"/>
    <w:rsid w:val="00380773"/>
    <w:rsid w:val="003B2791"/>
    <w:rsid w:val="003B5C2F"/>
    <w:rsid w:val="003D4BB1"/>
    <w:rsid w:val="003E22D1"/>
    <w:rsid w:val="003F6F95"/>
    <w:rsid w:val="00431C1A"/>
    <w:rsid w:val="0043492A"/>
    <w:rsid w:val="00450064"/>
    <w:rsid w:val="00472B66"/>
    <w:rsid w:val="0049457D"/>
    <w:rsid w:val="004B6BD4"/>
    <w:rsid w:val="004D7F75"/>
    <w:rsid w:val="0050346B"/>
    <w:rsid w:val="0051174D"/>
    <w:rsid w:val="0052086D"/>
    <w:rsid w:val="0052185B"/>
    <w:rsid w:val="00525735"/>
    <w:rsid w:val="00547FD7"/>
    <w:rsid w:val="005A2C74"/>
    <w:rsid w:val="005C5993"/>
    <w:rsid w:val="005D415B"/>
    <w:rsid w:val="005E6631"/>
    <w:rsid w:val="005F53A6"/>
    <w:rsid w:val="006207A5"/>
    <w:rsid w:val="006441DF"/>
    <w:rsid w:val="00694A91"/>
    <w:rsid w:val="006D52AC"/>
    <w:rsid w:val="006E1B0B"/>
    <w:rsid w:val="006F1672"/>
    <w:rsid w:val="007148EA"/>
    <w:rsid w:val="007350C3"/>
    <w:rsid w:val="00735F0E"/>
    <w:rsid w:val="00752FCD"/>
    <w:rsid w:val="00772087"/>
    <w:rsid w:val="007A6EC9"/>
    <w:rsid w:val="007B39DB"/>
    <w:rsid w:val="007D377C"/>
    <w:rsid w:val="00815D54"/>
    <w:rsid w:val="008264CA"/>
    <w:rsid w:val="00827447"/>
    <w:rsid w:val="00845F30"/>
    <w:rsid w:val="0085271D"/>
    <w:rsid w:val="008B6D6D"/>
    <w:rsid w:val="008C1FBC"/>
    <w:rsid w:val="008C6BC4"/>
    <w:rsid w:val="008D51C3"/>
    <w:rsid w:val="00902DA6"/>
    <w:rsid w:val="00973373"/>
    <w:rsid w:val="009E0775"/>
    <w:rsid w:val="009E26F4"/>
    <w:rsid w:val="009F30C5"/>
    <w:rsid w:val="009F69C8"/>
    <w:rsid w:val="00A05DF8"/>
    <w:rsid w:val="00A21CD3"/>
    <w:rsid w:val="00A22553"/>
    <w:rsid w:val="00A41C07"/>
    <w:rsid w:val="00A42BCD"/>
    <w:rsid w:val="00AA5B88"/>
    <w:rsid w:val="00AE399E"/>
    <w:rsid w:val="00AE4DFB"/>
    <w:rsid w:val="00B40CD2"/>
    <w:rsid w:val="00B52682"/>
    <w:rsid w:val="00B561DF"/>
    <w:rsid w:val="00B75C95"/>
    <w:rsid w:val="00B83E58"/>
    <w:rsid w:val="00B86BE9"/>
    <w:rsid w:val="00BE4C4D"/>
    <w:rsid w:val="00BF1CA5"/>
    <w:rsid w:val="00C06379"/>
    <w:rsid w:val="00C32AEA"/>
    <w:rsid w:val="00C65289"/>
    <w:rsid w:val="00C65FBB"/>
    <w:rsid w:val="00C77551"/>
    <w:rsid w:val="00CA2312"/>
    <w:rsid w:val="00CC755C"/>
    <w:rsid w:val="00CE2175"/>
    <w:rsid w:val="00D457C0"/>
    <w:rsid w:val="00D47016"/>
    <w:rsid w:val="00DA7E51"/>
    <w:rsid w:val="00DE03F5"/>
    <w:rsid w:val="00DE5900"/>
    <w:rsid w:val="00E02BC5"/>
    <w:rsid w:val="00E35C2E"/>
    <w:rsid w:val="00E507A1"/>
    <w:rsid w:val="00E6145F"/>
    <w:rsid w:val="00E87FBC"/>
    <w:rsid w:val="00EA75D0"/>
    <w:rsid w:val="00EC7E62"/>
    <w:rsid w:val="00EF5F6B"/>
    <w:rsid w:val="00EF6524"/>
    <w:rsid w:val="00EF6FC8"/>
    <w:rsid w:val="00F01EDD"/>
    <w:rsid w:val="00F10CB6"/>
    <w:rsid w:val="00F20FF3"/>
    <w:rsid w:val="00F42FCA"/>
    <w:rsid w:val="00F44C1B"/>
    <w:rsid w:val="00F77705"/>
    <w:rsid w:val="00F77F7B"/>
    <w:rsid w:val="00FB5F3F"/>
    <w:rsid w:val="00FD5DCF"/>
    <w:rsid w:val="0322334C"/>
    <w:rsid w:val="03BB0549"/>
    <w:rsid w:val="045003F3"/>
    <w:rsid w:val="0644429B"/>
    <w:rsid w:val="07865329"/>
    <w:rsid w:val="07EF0236"/>
    <w:rsid w:val="082F4327"/>
    <w:rsid w:val="08836BD0"/>
    <w:rsid w:val="0A365481"/>
    <w:rsid w:val="0C3E353A"/>
    <w:rsid w:val="0CCC608B"/>
    <w:rsid w:val="0CEE71B9"/>
    <w:rsid w:val="10AE582D"/>
    <w:rsid w:val="11174EEC"/>
    <w:rsid w:val="11457F2D"/>
    <w:rsid w:val="114864D0"/>
    <w:rsid w:val="120C7C36"/>
    <w:rsid w:val="120F1FC0"/>
    <w:rsid w:val="12E7492B"/>
    <w:rsid w:val="135A192C"/>
    <w:rsid w:val="16694259"/>
    <w:rsid w:val="19110278"/>
    <w:rsid w:val="195C3451"/>
    <w:rsid w:val="19706CFD"/>
    <w:rsid w:val="1B370E18"/>
    <w:rsid w:val="1BAC0120"/>
    <w:rsid w:val="1C4919D6"/>
    <w:rsid w:val="1CA84549"/>
    <w:rsid w:val="1F63531C"/>
    <w:rsid w:val="1F78690B"/>
    <w:rsid w:val="1FA960E2"/>
    <w:rsid w:val="1FF705AF"/>
    <w:rsid w:val="21DE514B"/>
    <w:rsid w:val="24C75794"/>
    <w:rsid w:val="25B81744"/>
    <w:rsid w:val="25BD776E"/>
    <w:rsid w:val="26E33A06"/>
    <w:rsid w:val="280073F9"/>
    <w:rsid w:val="29C90EB0"/>
    <w:rsid w:val="2A9E191C"/>
    <w:rsid w:val="2B892294"/>
    <w:rsid w:val="2C0B258D"/>
    <w:rsid w:val="2C7A0167"/>
    <w:rsid w:val="2DE0759B"/>
    <w:rsid w:val="2F9A6DA3"/>
    <w:rsid w:val="30BA1DAB"/>
    <w:rsid w:val="322B5A66"/>
    <w:rsid w:val="32B33B1F"/>
    <w:rsid w:val="337A62C1"/>
    <w:rsid w:val="337F440B"/>
    <w:rsid w:val="34656C04"/>
    <w:rsid w:val="36A24542"/>
    <w:rsid w:val="39810DD3"/>
    <w:rsid w:val="3B847CF2"/>
    <w:rsid w:val="3CB834AB"/>
    <w:rsid w:val="3D3D6D72"/>
    <w:rsid w:val="3FEF4EA9"/>
    <w:rsid w:val="402244C5"/>
    <w:rsid w:val="40A460A3"/>
    <w:rsid w:val="40E052AB"/>
    <w:rsid w:val="41AC44C7"/>
    <w:rsid w:val="42350960"/>
    <w:rsid w:val="434F017C"/>
    <w:rsid w:val="449658FD"/>
    <w:rsid w:val="460C464B"/>
    <w:rsid w:val="467B090B"/>
    <w:rsid w:val="47EC7D13"/>
    <w:rsid w:val="486D0F95"/>
    <w:rsid w:val="49B83E98"/>
    <w:rsid w:val="4AE71C5F"/>
    <w:rsid w:val="4C043151"/>
    <w:rsid w:val="4C4E3326"/>
    <w:rsid w:val="4F2060C9"/>
    <w:rsid w:val="51D63240"/>
    <w:rsid w:val="527810BE"/>
    <w:rsid w:val="527C5AA9"/>
    <w:rsid w:val="53542C10"/>
    <w:rsid w:val="5699330D"/>
    <w:rsid w:val="56A50A2E"/>
    <w:rsid w:val="57103CA0"/>
    <w:rsid w:val="580110D4"/>
    <w:rsid w:val="5875165E"/>
    <w:rsid w:val="58E2051D"/>
    <w:rsid w:val="5A6A4215"/>
    <w:rsid w:val="5C8005D2"/>
    <w:rsid w:val="5D14497D"/>
    <w:rsid w:val="5F6C3F37"/>
    <w:rsid w:val="5FF84813"/>
    <w:rsid w:val="60474E32"/>
    <w:rsid w:val="62842E61"/>
    <w:rsid w:val="64D04428"/>
    <w:rsid w:val="659550EE"/>
    <w:rsid w:val="659F5F6D"/>
    <w:rsid w:val="66A07BE5"/>
    <w:rsid w:val="6A8120E5"/>
    <w:rsid w:val="6B27620E"/>
    <w:rsid w:val="6BED3748"/>
    <w:rsid w:val="6C3F2D24"/>
    <w:rsid w:val="6C474399"/>
    <w:rsid w:val="6CFF75DF"/>
    <w:rsid w:val="6E07348B"/>
    <w:rsid w:val="70255908"/>
    <w:rsid w:val="712B442D"/>
    <w:rsid w:val="7260129D"/>
    <w:rsid w:val="72F06686"/>
    <w:rsid w:val="72F75A8F"/>
    <w:rsid w:val="731570C4"/>
    <w:rsid w:val="732F0FFB"/>
    <w:rsid w:val="76803F50"/>
    <w:rsid w:val="780378B3"/>
    <w:rsid w:val="797D7D5C"/>
    <w:rsid w:val="7BDE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left="420" w:leftChars="200"/>
    </w:pPr>
  </w:style>
  <w:style w:type="paragraph" w:styleId="4">
    <w:name w:val="Body Text"/>
    <w:basedOn w:val="1"/>
    <w:next w:val="5"/>
    <w:autoRedefine/>
    <w:qFormat/>
    <w:uiPriority w:val="0"/>
  </w:style>
  <w:style w:type="paragraph" w:styleId="5">
    <w:name w:val="Subtitle"/>
    <w:basedOn w:val="1"/>
    <w:next w:val="1"/>
    <w:autoRedefine/>
    <w:qFormat/>
    <w:uiPriority w:val="11"/>
    <w:pPr>
      <w:spacing w:after="60"/>
      <w:jc w:val="center"/>
      <w:outlineLvl w:val="1"/>
    </w:pPr>
    <w:rPr>
      <w:rFonts w:ascii="Cambria" w:hAnsi="Cambria"/>
    </w:rPr>
  </w:style>
  <w:style w:type="paragraph" w:styleId="6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autoRedefine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semiHidden/>
    <w:qFormat/>
    <w:uiPriority w:val="99"/>
    <w:rPr>
      <w:color w:val="0000FF"/>
      <w:u w:val="single"/>
    </w:rPr>
  </w:style>
  <w:style w:type="character" w:customStyle="1" w:styleId="13">
    <w:name w:val="页眉 字符"/>
    <w:link w:val="8"/>
    <w:autoRedefine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7"/>
    <w:autoRedefine/>
    <w:qFormat/>
    <w:uiPriority w:val="0"/>
    <w:rPr>
      <w:kern w:val="2"/>
      <w:sz w:val="18"/>
      <w:szCs w:val="18"/>
    </w:rPr>
  </w:style>
  <w:style w:type="character" w:customStyle="1" w:styleId="15">
    <w:name w:val="批注框文本 字符"/>
    <w:link w:val="6"/>
    <w:autoRedefine/>
    <w:qFormat/>
    <w:uiPriority w:val="0"/>
    <w:rPr>
      <w:kern w:val="2"/>
      <w:sz w:val="18"/>
      <w:szCs w:val="18"/>
    </w:rPr>
  </w:style>
  <w:style w:type="paragraph" w:styleId="16">
    <w:name w:val="List Paragraph"/>
    <w:basedOn w:val="1"/>
    <w:autoRedefine/>
    <w:qFormat/>
    <w:uiPriority w:val="99"/>
    <w:pPr>
      <w:ind w:firstLine="420" w:firstLineChars="200"/>
    </w:pPr>
    <w:rPr>
      <w:szCs w:val="22"/>
    </w:rPr>
  </w:style>
  <w:style w:type="character" w:customStyle="1" w:styleId="17">
    <w:name w:val="font71"/>
    <w:basedOn w:val="11"/>
    <w:autoRedefine/>
    <w:qFormat/>
    <w:uiPriority w:val="0"/>
    <w:rPr>
      <w:rFonts w:ascii="Symbol" w:hAnsi="Symbol" w:cs="Symbol"/>
      <w:color w:val="99CCFF"/>
      <w:sz w:val="24"/>
      <w:szCs w:val="24"/>
      <w:u w:val="single"/>
    </w:rPr>
  </w:style>
  <w:style w:type="character" w:customStyle="1" w:styleId="18">
    <w:name w:val="font51"/>
    <w:basedOn w:val="11"/>
    <w:autoRedefine/>
    <w:qFormat/>
    <w:uiPriority w:val="0"/>
    <w:rPr>
      <w:rFonts w:hint="eastAsia" w:ascii="宋体" w:hAnsi="宋体" w:eastAsia="宋体" w:cs="宋体"/>
      <w:color w:val="8DB4E2"/>
      <w:sz w:val="24"/>
      <w:szCs w:val="24"/>
      <w:u w:val="single"/>
    </w:rPr>
  </w:style>
  <w:style w:type="character" w:customStyle="1" w:styleId="19">
    <w:name w:val="font0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11"/>
    <w:basedOn w:val="11"/>
    <w:autoRedefine/>
    <w:qFormat/>
    <w:uiPriority w:val="0"/>
    <w:rPr>
      <w:rFonts w:ascii="Calibri" w:hAnsi="Calibri" w:cs="Calibri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上海海事大学</Company>
  <Pages>8</Pages>
  <Words>1045</Words>
  <Characters>5963</Characters>
  <Lines>49</Lines>
  <Paragraphs>13</Paragraphs>
  <TotalTime>163</TotalTime>
  <ScaleCrop>false</ScaleCrop>
  <LinksUpToDate>false</LinksUpToDate>
  <CharactersWithSpaces>6995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2020-05-21T01:48:00Z</dcterms:created>
  <dc:creator>wdyang</dc:creator>
  <cp:lastModifiedBy>仲杰</cp:lastModifiedBy>
  <cp:lastPrinted>2023-07-07T07:34:00Z</cp:lastPrinted>
  <dcterms:modified xsi:type="dcterms:W3CDTF">2024-05-21T00:52:49Z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2BFD4E6E654345D5A91C1D7A1F484CD5_13</vt:lpwstr>
  </property>
</Properties>
</file>