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6A561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05F143FD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7C29A4C3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75D3CC1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多功能综合试验台</w:t>
      </w:r>
    </w:p>
    <w:p w14:paraId="3A6F3C59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比选文件</w:t>
      </w:r>
    </w:p>
    <w:p w14:paraId="746E0DD5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7F5B1C2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0B84232F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项目编号：</w:t>
      </w:r>
      <w:r>
        <w:rPr>
          <w:rFonts w:hint="eastAsia" w:ascii="方正兰亭黑简体" w:hAnsi="方正兰亭黑简体" w:eastAsia="方正兰亭黑简体" w:cs="方正兰亭黑简体"/>
          <w:color w:val="auto"/>
          <w:sz w:val="28"/>
          <w:szCs w:val="28"/>
          <w:highlight w:val="none"/>
          <w:lang w:val="en-US" w:eastAsia="zh-CN"/>
        </w:rPr>
        <w:t>HFBX2026073</w:t>
      </w:r>
    </w:p>
    <w:p w14:paraId="43E1A51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564BAAD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1CBECD8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77AEA8D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6AFBFE6C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18A2CE08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69F671C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0E2559B5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采购人：上海海事大学</w:t>
      </w:r>
    </w:p>
    <w:p w14:paraId="64BB972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二〇二六年八月</w:t>
      </w:r>
    </w:p>
    <w:p w14:paraId="4258C5C0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5637B82A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第一章 比选公告</w:t>
      </w:r>
    </w:p>
    <w:p w14:paraId="54E46ED1">
      <w:pPr>
        <w:ind w:firstLine="440" w:firstLineChars="20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为公开、公正、公平地做好各项货物与服务的采购工作，进一步提高采购过程的透明度，有利于我校选择性价比更高的产品及更优质的服务，欢迎各供应单位本着务实友好的工作态度，积极参与，并做好成本核算，进行一次性报价。我校将本着公开、公正、公平的工作原则，对各供应单位所提供的资料，进行综合评议，择优选购。为确保本次比选采购项目采购工作的顺利开展，请各报价单位按照下述要求提供报价单等相关资料。具体要求及相关注意事项如下：</w:t>
      </w:r>
    </w:p>
    <w:p w14:paraId="5694D68E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一、项目基本情况</w:t>
      </w:r>
    </w:p>
    <w:p w14:paraId="6ED9240D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项目编号：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HFBX2026073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；</w:t>
      </w:r>
    </w:p>
    <w:p w14:paraId="40680CD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项目名称：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多功能综合试验台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；</w:t>
      </w:r>
    </w:p>
    <w:p w14:paraId="49D3EF92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采购方式：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学校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比选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；</w:t>
      </w:r>
    </w:p>
    <w:p w14:paraId="11D14FFE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预算金额（亦是最高限价）：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人民币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18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万元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；</w:t>
      </w:r>
    </w:p>
    <w:p w14:paraId="192657F0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采购需求：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本项目拟为船舶实验室购置1套多功能综合试验台 ，用于船用电气箱、船载电气控制设备开展海浪环境模拟试验。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（具体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要求详见比选文件—第二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章节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采购需求）</w:t>
      </w:r>
    </w:p>
    <w:p w14:paraId="07A4D9A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交付地址：上海市海港大道1550号商船学院。</w:t>
      </w:r>
    </w:p>
    <w:p w14:paraId="1B7A6D3F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交付时间：合同签订后7日内完成综合试验台的安装、调试，满足科研项目要求。</w:t>
      </w:r>
    </w:p>
    <w:p w14:paraId="52623BFF">
      <w:pPr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质保时间：提供不少于1年的免费质保服务。</w:t>
      </w:r>
    </w:p>
    <w:p w14:paraId="27BDE804">
      <w:pP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付款方式：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项目验收合格后的10个工作日内，甲方一次性支付合同全款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。合同内全部款项均以“银行转账”方式予以支付。</w:t>
      </w:r>
    </w:p>
    <w:p w14:paraId="41BEA8D1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二、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报价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人的资格要求</w:t>
      </w:r>
    </w:p>
    <w:p w14:paraId="022E8766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1、符合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《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中华人民共和国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政府采购法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》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第二十二条之供应商资格规定。</w:t>
      </w:r>
    </w:p>
    <w:p w14:paraId="6441606B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2、供应商未被列入“信用中国”网站（www.creditchina.gov.cn）失信执行人名单、重大税收违法案件当事人名单和中国政府采购网（www.ccgp.gov.cn）政府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采购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严重违法失信行为记录名单的供应商。</w:t>
      </w:r>
    </w:p>
    <w:p w14:paraId="3A3BF07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3、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经营范围及拟投标货物（服务）符合本次比选要求，具有与本次投标货物（服务）相应的经营、代理（经销）资质，能全程参与并完成本项目，且具有较强的服务能力，以及畅通的问题响应机制和渠道等；</w:t>
      </w:r>
    </w:p>
    <w:p w14:paraId="3710B34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三、报名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要求</w:t>
      </w:r>
    </w:p>
    <w:p w14:paraId="04917284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报名邮箱、时间：不单独组织报名，意向单位可在截止日期前递交响应文件。</w:t>
      </w:r>
    </w:p>
    <w:p w14:paraId="24CD6CDE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四、获取采购文件</w:t>
      </w:r>
    </w:p>
    <w:p w14:paraId="5050A625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获取方式：公告页面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下方自行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下载</w:t>
      </w:r>
    </w:p>
    <w:p w14:paraId="4D745344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bookmarkStart w:id="0" w:name="_Toc28359005"/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五、现场踏勘</w:t>
      </w:r>
      <w:bookmarkEnd w:id="0"/>
    </w:p>
    <w:p w14:paraId="2C262256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不组织。</w:t>
      </w:r>
    </w:p>
    <w:p w14:paraId="213C8131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六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、响应文件提交</w:t>
      </w:r>
    </w:p>
    <w:p w14:paraId="231DF22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bookmarkStart w:id="1" w:name="_Toc35393795"/>
      <w:bookmarkEnd w:id="1"/>
      <w:bookmarkStart w:id="2" w:name="_Toc35393626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截止</w:t>
      </w:r>
      <w:bookmarkEnd w:id="2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时间：202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6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年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8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18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日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周二</w:t>
      </w:r>
      <w:bookmarkStart w:id="4" w:name="_GoBack"/>
      <w:bookmarkEnd w:id="4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）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上午11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时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00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分</w:t>
      </w:r>
    </w:p>
    <w:p w14:paraId="52EA2719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提交方式：发送盖章扫描版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PDF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到指定邮箱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邮件名称：项目编号+公司名称</w:t>
      </w:r>
    </w:p>
    <w:p w14:paraId="45738F2D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邮箱地址：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u w:val="none"/>
        </w:rPr>
        <w:t>quotation@shmtu.edu.cn</w:t>
      </w:r>
    </w:p>
    <w:p w14:paraId="7C16205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七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、其他补充事宜</w:t>
      </w:r>
    </w:p>
    <w:p w14:paraId="3C9CF2D2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1.中标结果将通过发布比选公告的媒介进行公示，公示期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为1个工作日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，公示期内如对中标结果有异议可向校方提出书面质疑。</w:t>
      </w:r>
      <w:bookmarkStart w:id="3" w:name="_Toc35393627"/>
    </w:p>
    <w:p w14:paraId="17FB2B9E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2.</w:t>
      </w:r>
      <w:bookmarkEnd w:id="3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凡对本次采购提出询问，请按以下方式联系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：</w:t>
      </w:r>
    </w:p>
    <w:p w14:paraId="53930B0F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商务信息：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仲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老师021-3828470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7、13764131075</w:t>
      </w:r>
    </w:p>
    <w:p w14:paraId="1CEF1F38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技术信息：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陈老师021-38282000、15026800436</w:t>
      </w:r>
    </w:p>
    <w:p w14:paraId="52A47FAD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4B9C0EF3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第二章 采购需求</w:t>
      </w:r>
    </w:p>
    <w:p w14:paraId="2B6E113B">
      <w:pPr>
        <w:spacing w:line="360" w:lineRule="auto"/>
        <w:rPr>
          <w:rFonts w:hint="default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  <w:t>一、项目概况</w:t>
      </w:r>
    </w:p>
    <w:p w14:paraId="4139060B">
      <w:pPr>
        <w:widowControl/>
        <w:spacing w:line="360" w:lineRule="auto"/>
        <w:ind w:firstLine="440" w:firstLineChars="200"/>
        <w:jc w:val="left"/>
        <w:rPr>
          <w:rFonts w:hint="default" w:ascii="Times New Roman" w:hAnsi="Times New Roman" w:eastAsia="方正兰亭黑简体" w:cs="Times New Roman"/>
          <w:color w:val="auto"/>
          <w:kern w:val="0"/>
          <w:sz w:val="22"/>
          <w:szCs w:val="22"/>
          <w:highlight w:val="none"/>
          <w:lang w:bidi="ar"/>
        </w:rPr>
      </w:pPr>
      <w:r>
        <w:rPr>
          <w:rFonts w:hint="default" w:ascii="Times New Roman" w:hAnsi="Times New Roman" w:eastAsia="方正兰亭黑简体" w:cs="Times New Roman"/>
          <w:color w:val="auto"/>
          <w:kern w:val="0"/>
          <w:sz w:val="22"/>
          <w:szCs w:val="22"/>
          <w:highlight w:val="none"/>
          <w:lang w:bidi="ar"/>
        </w:rPr>
        <w:t>本项目为船舶实验室购置多功能综合试验台 1 套，用于船用电气箱、船载电气控制设备开展海浪环境模拟试验，依据GB/T 2423.58—2008/IEC 60068-2-80:2005电工电子产品环境试验第2部分:试验方法试验Fi:振动 混合模式 GB/T 2423.56--2023/IEC 60068-2-64:2019环境试验第2部分：试验方法 试验Fh：宽带随机振动和导则、GD019</w:t>
      </w:r>
      <w:r>
        <w:rPr>
          <w:rFonts w:hint="default" w:ascii="Times New Roman" w:hAnsi="Times New Roman" w:eastAsia="方正兰亭黑简体" w:cs="Times New Roman"/>
          <w:color w:val="auto"/>
          <w:kern w:val="0"/>
          <w:sz w:val="22"/>
          <w:szCs w:val="22"/>
          <w:highlight w:val="none"/>
          <w:lang w:bidi="ar"/>
        </w:rPr>
        <w:noBreakHyphen/>
      </w:r>
      <w:r>
        <w:rPr>
          <w:rFonts w:hint="default" w:ascii="Times New Roman" w:hAnsi="Times New Roman" w:eastAsia="方正兰亭黑简体" w:cs="Times New Roman"/>
          <w:color w:val="auto"/>
          <w:kern w:val="0"/>
          <w:sz w:val="22"/>
          <w:szCs w:val="22"/>
          <w:highlight w:val="none"/>
          <w:lang w:bidi="ar"/>
        </w:rPr>
        <w:t>2024《电气电子产品型式认可试验指南》、IEC 60945、GB/T13607 等船用设备摇摆试验相关要求，在实验室条件复现船舶在海浪中的横摇、纵摇、艏摇、横荡、纵荡、垂荡六维耦合运动。</w:t>
      </w:r>
    </w:p>
    <w:p w14:paraId="5AA95D9E">
      <w:pPr>
        <w:widowControl/>
        <w:spacing w:line="360" w:lineRule="auto"/>
        <w:ind w:firstLine="440" w:firstLineChars="200"/>
        <w:jc w:val="left"/>
        <w:rPr>
          <w:rFonts w:hint="default" w:ascii="Times New Roman" w:hAnsi="Times New Roman" w:eastAsia="方正兰亭黑简体" w:cs="Times New Roman"/>
          <w:color w:val="auto"/>
          <w:kern w:val="0"/>
          <w:sz w:val="22"/>
          <w:szCs w:val="22"/>
          <w:highlight w:val="none"/>
          <w:lang w:bidi="ar"/>
        </w:rPr>
      </w:pPr>
      <w:r>
        <w:rPr>
          <w:rFonts w:hint="default" w:ascii="Times New Roman" w:hAnsi="Times New Roman" w:eastAsia="方正兰亭黑简体" w:cs="Times New Roman"/>
          <w:color w:val="auto"/>
          <w:kern w:val="0"/>
          <w:sz w:val="22"/>
          <w:szCs w:val="22"/>
          <w:highlight w:val="none"/>
          <w:lang w:bidi="ar"/>
        </w:rPr>
        <w:t>传统实海试验受海况、天气、海试周期制约，试验工况不可重复、试验成本高。本设备采购后，可在陆地实验室完成船用电气箱动态摇摆模拟测试，考核电气箱在不同等级海况下结构完整性、接线紧固性、电气功能稳定性，验证设备有无误动作、接线松动、绝缘失效、性能漂移等故障，满足船级社型式试验相关验证需求，支撑船用电气设备研发、型式验证、可靠性检测工作。</w:t>
      </w:r>
    </w:p>
    <w:p w14:paraId="3F9D9CB5">
      <w:pPr>
        <w:spacing w:line="360" w:lineRule="auto"/>
        <w:ind w:firstLine="440" w:firstLineChars="200"/>
        <w:rPr>
          <w:rFonts w:hint="default" w:ascii="Times New Roman" w:hAnsi="Times New Roman" w:eastAsia="方正兰亭黑简体" w:cs="Times New Roman"/>
          <w:color w:val="auto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方正兰亭黑简体" w:cs="Times New Roman"/>
          <w:color w:val="auto"/>
          <w:kern w:val="0"/>
          <w:sz w:val="22"/>
          <w:szCs w:val="22"/>
          <w:highlight w:val="none"/>
          <w:lang w:bidi="ar"/>
        </w:rPr>
        <w:t>本设备为实验室专用测试装备，放置于船舶实验室室内场地，供货范围包含机械本体、伺服驱动系统、运动控制软件、海浪仿真模块、安全防护系统、安装调试、培训及质保服务。</w:t>
      </w:r>
    </w:p>
    <w:p w14:paraId="27219A1B">
      <w:pPr>
        <w:spacing w:line="360" w:lineRule="auto"/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</w:p>
    <w:p w14:paraId="7DE6D34A">
      <w:pPr>
        <w:spacing w:line="360" w:lineRule="auto"/>
        <w:rPr>
          <w:rFonts w:hint="default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  <w:t>二、技术要求</w:t>
      </w:r>
    </w:p>
    <w:tbl>
      <w:tblPr>
        <w:tblStyle w:val="17"/>
        <w:tblW w:w="9449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810"/>
        <w:gridCol w:w="1560"/>
        <w:gridCol w:w="1860"/>
        <w:gridCol w:w="1830"/>
        <w:gridCol w:w="1994"/>
      </w:tblGrid>
      <w:tr w14:paraId="455D42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95" w:type="dxa"/>
            <w:vAlign w:val="center"/>
          </w:tcPr>
          <w:p w14:paraId="4B3242B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型号</w:t>
            </w:r>
          </w:p>
        </w:tc>
        <w:tc>
          <w:tcPr>
            <w:tcW w:w="8054" w:type="dxa"/>
            <w:gridSpan w:val="5"/>
            <w:vAlign w:val="center"/>
          </w:tcPr>
          <w:p w14:paraId="16B64D81">
            <w:pPr>
              <w:widowControl/>
              <w:spacing w:line="360" w:lineRule="auto"/>
              <w:ind w:firstLine="1100" w:firstLineChars="5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定制</w:t>
            </w:r>
          </w:p>
        </w:tc>
      </w:tr>
      <w:tr w14:paraId="6FBEC6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395" w:type="dxa"/>
            <w:vAlign w:val="center"/>
          </w:tcPr>
          <w:p w14:paraId="3515DEA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3B4587A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六轴平台</w:t>
            </w:r>
          </w:p>
        </w:tc>
        <w:tc>
          <w:tcPr>
            <w:tcW w:w="1560" w:type="dxa"/>
            <w:vAlign w:val="center"/>
          </w:tcPr>
          <w:p w14:paraId="3426EA4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载荷重量</w:t>
            </w:r>
          </w:p>
        </w:tc>
        <w:tc>
          <w:tcPr>
            <w:tcW w:w="5684" w:type="dxa"/>
            <w:gridSpan w:val="3"/>
            <w:noWrap/>
            <w:vAlign w:val="center"/>
          </w:tcPr>
          <w:p w14:paraId="5FC82733">
            <w:pPr>
              <w:widowControl/>
              <w:spacing w:line="360" w:lineRule="auto"/>
              <w:ind w:firstLine="1300" w:firstLineChars="6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500KG</w:t>
            </w:r>
          </w:p>
        </w:tc>
      </w:tr>
      <w:tr w14:paraId="5D8DE4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395" w:type="dxa"/>
            <w:vAlign w:val="center"/>
          </w:tcPr>
          <w:p w14:paraId="41C8BE94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810" w:type="dxa"/>
            <w:vMerge w:val="continue"/>
            <w:vAlign w:val="center"/>
          </w:tcPr>
          <w:p w14:paraId="5F691F52">
            <w:pPr>
              <w:widowControl/>
              <w:spacing w:line="360" w:lineRule="auto"/>
              <w:ind w:firstLine="300" w:firstLineChars="1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60" w:type="dxa"/>
            <w:vAlign w:val="center"/>
          </w:tcPr>
          <w:p w14:paraId="332F0B3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供电电压</w:t>
            </w:r>
          </w:p>
        </w:tc>
        <w:tc>
          <w:tcPr>
            <w:tcW w:w="5684" w:type="dxa"/>
            <w:gridSpan w:val="3"/>
            <w:vAlign w:val="center"/>
          </w:tcPr>
          <w:p w14:paraId="459B32A6">
            <w:pPr>
              <w:widowControl/>
              <w:spacing w:line="360" w:lineRule="auto"/>
              <w:ind w:firstLine="1100" w:firstLineChars="5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220V/380V</w:t>
            </w:r>
          </w:p>
        </w:tc>
      </w:tr>
      <w:tr w14:paraId="4B87BE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95" w:type="dxa"/>
            <w:vAlign w:val="center"/>
          </w:tcPr>
          <w:p w14:paraId="0EF1743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810" w:type="dxa"/>
            <w:vMerge w:val="continue"/>
            <w:vAlign w:val="center"/>
          </w:tcPr>
          <w:p w14:paraId="6B03F2BF">
            <w:pPr>
              <w:widowControl/>
              <w:spacing w:line="360" w:lineRule="auto"/>
              <w:ind w:firstLine="300" w:firstLineChars="1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666489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功能</w:t>
            </w:r>
          </w:p>
        </w:tc>
        <w:tc>
          <w:tcPr>
            <w:tcW w:w="5684" w:type="dxa"/>
            <w:gridSpan w:val="3"/>
            <w:vMerge w:val="restart"/>
            <w:vAlign w:val="center"/>
          </w:tcPr>
          <w:p w14:paraId="22FB6E6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具有俯仰、横滚、偏航、纵向平移、侧向平移、垂直位移6个功能。</w:t>
            </w:r>
          </w:p>
        </w:tc>
      </w:tr>
      <w:tr w14:paraId="328B6B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95" w:type="dxa"/>
            <w:vAlign w:val="center"/>
          </w:tcPr>
          <w:p w14:paraId="30BAB64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810" w:type="dxa"/>
            <w:vMerge w:val="continue"/>
            <w:vAlign w:val="center"/>
          </w:tcPr>
          <w:p w14:paraId="5DEBF8A9">
            <w:pPr>
              <w:widowControl/>
              <w:spacing w:line="360" w:lineRule="auto"/>
              <w:ind w:firstLine="300" w:firstLineChars="1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3D904CCE">
            <w:pPr>
              <w:widowControl/>
              <w:spacing w:line="360" w:lineRule="auto"/>
              <w:ind w:firstLine="300" w:firstLineChars="1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684" w:type="dxa"/>
            <w:gridSpan w:val="3"/>
            <w:vMerge w:val="continue"/>
            <w:vAlign w:val="center"/>
          </w:tcPr>
          <w:p w14:paraId="432C5268">
            <w:pPr>
              <w:widowControl/>
              <w:spacing w:line="360" w:lineRule="auto"/>
              <w:ind w:firstLine="300" w:firstLineChars="1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</w:p>
        </w:tc>
      </w:tr>
      <w:tr w14:paraId="739325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95" w:type="dxa"/>
            <w:vAlign w:val="center"/>
          </w:tcPr>
          <w:p w14:paraId="0CD575C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810" w:type="dxa"/>
            <w:vMerge w:val="continue"/>
            <w:vAlign w:val="center"/>
          </w:tcPr>
          <w:p w14:paraId="440DEAA6">
            <w:pPr>
              <w:widowControl/>
              <w:spacing w:line="360" w:lineRule="auto"/>
              <w:ind w:firstLine="300" w:firstLineChars="1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60" w:type="dxa"/>
            <w:vAlign w:val="center"/>
          </w:tcPr>
          <w:p w14:paraId="309D1C8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软件部分</w:t>
            </w:r>
          </w:p>
        </w:tc>
        <w:tc>
          <w:tcPr>
            <w:tcW w:w="5684" w:type="dxa"/>
            <w:gridSpan w:val="3"/>
            <w:vAlign w:val="center"/>
          </w:tcPr>
          <w:p w14:paraId="485BF422">
            <w:pPr>
              <w:widowControl/>
              <w:spacing w:line="360" w:lineRule="auto"/>
              <w:ind w:firstLine="300" w:firstLineChars="1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需要满足载入海浪谱以及指定要求。</w:t>
            </w:r>
          </w:p>
        </w:tc>
      </w:tr>
      <w:tr w14:paraId="0F4DE2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395" w:type="dxa"/>
            <w:vAlign w:val="center"/>
          </w:tcPr>
          <w:p w14:paraId="1D1B261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6</w:t>
            </w:r>
          </w:p>
        </w:tc>
        <w:tc>
          <w:tcPr>
            <w:tcW w:w="810" w:type="dxa"/>
            <w:vMerge w:val="continue"/>
            <w:vAlign w:val="center"/>
          </w:tcPr>
          <w:p w14:paraId="6B1CBF9E">
            <w:pPr>
              <w:widowControl/>
              <w:spacing w:line="360" w:lineRule="auto"/>
              <w:ind w:firstLine="300" w:firstLineChars="1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60" w:type="dxa"/>
            <w:vAlign w:val="center"/>
          </w:tcPr>
          <w:p w14:paraId="22C3FEE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安装位置</w:t>
            </w:r>
          </w:p>
        </w:tc>
        <w:tc>
          <w:tcPr>
            <w:tcW w:w="1860" w:type="dxa"/>
            <w:vAlign w:val="center"/>
          </w:tcPr>
          <w:p w14:paraId="20065B4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频率（Hz)</w:t>
            </w:r>
          </w:p>
        </w:tc>
        <w:tc>
          <w:tcPr>
            <w:tcW w:w="1830" w:type="dxa"/>
            <w:vAlign w:val="center"/>
          </w:tcPr>
          <w:p w14:paraId="1FCABC6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振幅（mm）</w:t>
            </w:r>
          </w:p>
        </w:tc>
        <w:tc>
          <w:tcPr>
            <w:tcW w:w="1994" w:type="dxa"/>
            <w:vAlign w:val="center"/>
          </w:tcPr>
          <w:p w14:paraId="0C789B0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加速度（m/s²）</w:t>
            </w:r>
          </w:p>
        </w:tc>
      </w:tr>
      <w:tr w14:paraId="3F184D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95" w:type="dxa"/>
            <w:vAlign w:val="center"/>
          </w:tcPr>
          <w:p w14:paraId="7D1872B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7</w:t>
            </w:r>
          </w:p>
        </w:tc>
        <w:tc>
          <w:tcPr>
            <w:tcW w:w="810" w:type="dxa"/>
            <w:vMerge w:val="continue"/>
            <w:vAlign w:val="center"/>
          </w:tcPr>
          <w:p w14:paraId="0526AF4C">
            <w:pPr>
              <w:widowControl/>
              <w:spacing w:line="360" w:lineRule="auto"/>
              <w:ind w:firstLine="300" w:firstLineChars="1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2F4F1B4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一般震动条件</w:t>
            </w:r>
          </w:p>
        </w:tc>
        <w:tc>
          <w:tcPr>
            <w:tcW w:w="1860" w:type="dxa"/>
            <w:vAlign w:val="center"/>
          </w:tcPr>
          <w:p w14:paraId="44CF0BF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2 ～13.2</w:t>
            </w:r>
          </w:p>
        </w:tc>
        <w:tc>
          <w:tcPr>
            <w:tcW w:w="1830" w:type="dxa"/>
            <w:vAlign w:val="center"/>
          </w:tcPr>
          <w:p w14:paraId="401C24CC">
            <w:pPr>
              <w:widowControl/>
              <w:spacing w:line="360" w:lineRule="auto"/>
              <w:ind w:firstLine="300" w:firstLineChars="15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±1</w:t>
            </w:r>
          </w:p>
        </w:tc>
        <w:tc>
          <w:tcPr>
            <w:tcW w:w="1994" w:type="dxa"/>
            <w:vAlign w:val="center"/>
          </w:tcPr>
          <w:p w14:paraId="1D7434BC">
            <w:pPr>
              <w:widowControl/>
              <w:spacing w:line="360" w:lineRule="auto"/>
              <w:ind w:firstLine="500" w:firstLineChars="25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/</w:t>
            </w:r>
          </w:p>
        </w:tc>
      </w:tr>
      <w:tr w14:paraId="595B75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395" w:type="dxa"/>
            <w:vAlign w:val="center"/>
          </w:tcPr>
          <w:p w14:paraId="34F4E91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810" w:type="dxa"/>
            <w:vMerge w:val="continue"/>
            <w:vAlign w:val="center"/>
          </w:tcPr>
          <w:p w14:paraId="0EAC88A5">
            <w:pPr>
              <w:widowControl/>
              <w:spacing w:line="360" w:lineRule="auto"/>
              <w:ind w:firstLine="300" w:firstLineChars="1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08103931">
            <w:pPr>
              <w:widowControl/>
              <w:spacing w:line="360" w:lineRule="auto"/>
              <w:ind w:firstLine="300" w:firstLineChars="1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860" w:type="dxa"/>
            <w:vAlign w:val="center"/>
          </w:tcPr>
          <w:p w14:paraId="5154EA0E">
            <w:pPr>
              <w:widowControl/>
              <w:spacing w:line="360" w:lineRule="auto"/>
              <w:ind w:firstLine="300" w:firstLineChars="15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13.2</w:t>
            </w:r>
          </w:p>
        </w:tc>
        <w:tc>
          <w:tcPr>
            <w:tcW w:w="1830" w:type="dxa"/>
            <w:vAlign w:val="center"/>
          </w:tcPr>
          <w:p w14:paraId="12A0B8F2">
            <w:pPr>
              <w:widowControl/>
              <w:spacing w:line="360" w:lineRule="auto"/>
              <w:ind w:firstLine="500" w:firstLineChars="25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/</w:t>
            </w:r>
          </w:p>
        </w:tc>
        <w:tc>
          <w:tcPr>
            <w:tcW w:w="1994" w:type="dxa"/>
            <w:vAlign w:val="center"/>
          </w:tcPr>
          <w:p w14:paraId="49147C5E">
            <w:pPr>
              <w:widowControl/>
              <w:spacing w:line="360" w:lineRule="auto"/>
              <w:ind w:firstLine="300" w:firstLineChars="15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0.7</w:t>
            </w:r>
          </w:p>
        </w:tc>
      </w:tr>
      <w:tr w14:paraId="11DBE8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95" w:type="dxa"/>
            <w:vAlign w:val="center"/>
          </w:tcPr>
          <w:p w14:paraId="039FD50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9</w:t>
            </w:r>
          </w:p>
        </w:tc>
        <w:tc>
          <w:tcPr>
            <w:tcW w:w="810" w:type="dxa"/>
            <w:vMerge w:val="continue"/>
            <w:vAlign w:val="center"/>
          </w:tcPr>
          <w:p w14:paraId="7D4CE823">
            <w:pPr>
              <w:widowControl/>
              <w:spacing w:line="360" w:lineRule="auto"/>
              <w:ind w:firstLine="300" w:firstLineChars="1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244" w:type="dxa"/>
            <w:gridSpan w:val="4"/>
            <w:vAlign w:val="center"/>
          </w:tcPr>
          <w:p w14:paraId="52E53BE9">
            <w:pPr>
              <w:widowControl/>
              <w:spacing w:line="360" w:lineRule="auto"/>
              <w:ind w:firstLine="1800" w:firstLineChars="90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运动参数</w:t>
            </w:r>
          </w:p>
        </w:tc>
      </w:tr>
      <w:tr w14:paraId="2BB198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95" w:type="dxa"/>
            <w:vAlign w:val="center"/>
          </w:tcPr>
          <w:p w14:paraId="2A736FB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10" w:type="dxa"/>
            <w:vMerge w:val="continue"/>
            <w:vAlign w:val="center"/>
          </w:tcPr>
          <w:p w14:paraId="00CFAE0D">
            <w:pPr>
              <w:widowControl/>
              <w:spacing w:line="360" w:lineRule="auto"/>
              <w:ind w:firstLine="300" w:firstLineChars="1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60" w:type="dxa"/>
          </w:tcPr>
          <w:p w14:paraId="27D344CC">
            <w:pPr>
              <w:widowControl/>
              <w:spacing w:line="360" w:lineRule="auto"/>
              <w:ind w:firstLine="300" w:firstLineChars="15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姿态</w:t>
            </w:r>
          </w:p>
        </w:tc>
        <w:tc>
          <w:tcPr>
            <w:tcW w:w="1860" w:type="dxa"/>
          </w:tcPr>
          <w:p w14:paraId="0B78775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位移/角度</w:t>
            </w:r>
          </w:p>
        </w:tc>
        <w:tc>
          <w:tcPr>
            <w:tcW w:w="1830" w:type="dxa"/>
          </w:tcPr>
          <w:p w14:paraId="3F06AD8A">
            <w:pPr>
              <w:widowControl/>
              <w:spacing w:line="360" w:lineRule="auto"/>
              <w:ind w:firstLine="400" w:firstLineChars="20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速度</w:t>
            </w:r>
          </w:p>
        </w:tc>
        <w:tc>
          <w:tcPr>
            <w:tcW w:w="1994" w:type="dxa"/>
          </w:tcPr>
          <w:p w14:paraId="26FEABE4">
            <w:pPr>
              <w:widowControl/>
              <w:spacing w:line="360" w:lineRule="auto"/>
              <w:ind w:firstLine="500" w:firstLineChars="25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加速度</w:t>
            </w:r>
          </w:p>
        </w:tc>
      </w:tr>
      <w:tr w14:paraId="41EB7F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395" w:type="dxa"/>
            <w:vAlign w:val="center"/>
          </w:tcPr>
          <w:p w14:paraId="05E6C1C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810" w:type="dxa"/>
            <w:vMerge w:val="continue"/>
            <w:vAlign w:val="center"/>
          </w:tcPr>
          <w:p w14:paraId="333FE8B1">
            <w:pPr>
              <w:widowControl/>
              <w:spacing w:line="360" w:lineRule="auto"/>
              <w:ind w:firstLine="300" w:firstLineChars="1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60" w:type="dxa"/>
          </w:tcPr>
          <w:p w14:paraId="0FA00B4D">
            <w:pPr>
              <w:widowControl/>
              <w:spacing w:line="360" w:lineRule="auto"/>
              <w:ind w:firstLine="300" w:firstLineChars="15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俯仰</w:t>
            </w:r>
          </w:p>
        </w:tc>
        <w:tc>
          <w:tcPr>
            <w:tcW w:w="1860" w:type="dxa"/>
          </w:tcPr>
          <w:p w14:paraId="7D72BAA5">
            <w:pPr>
              <w:widowControl/>
              <w:spacing w:line="360" w:lineRule="auto"/>
              <w:ind w:firstLine="200" w:firstLineChars="10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±30°</w:t>
            </w:r>
          </w:p>
        </w:tc>
        <w:tc>
          <w:tcPr>
            <w:tcW w:w="1830" w:type="dxa"/>
          </w:tcPr>
          <w:p w14:paraId="10709BDC">
            <w:pPr>
              <w:widowControl/>
              <w:spacing w:line="360" w:lineRule="auto"/>
              <w:ind w:firstLine="300" w:firstLineChars="15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50°/s</w:t>
            </w:r>
          </w:p>
        </w:tc>
        <w:tc>
          <w:tcPr>
            <w:tcW w:w="1994" w:type="dxa"/>
          </w:tcPr>
          <w:p w14:paraId="6A7527DA">
            <w:pPr>
              <w:widowControl/>
              <w:spacing w:line="360" w:lineRule="auto"/>
              <w:ind w:firstLine="300" w:firstLineChars="15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150°/S²</w:t>
            </w:r>
          </w:p>
        </w:tc>
      </w:tr>
      <w:tr w14:paraId="4E9B2A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95" w:type="dxa"/>
            <w:vAlign w:val="center"/>
          </w:tcPr>
          <w:p w14:paraId="6693915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12</w:t>
            </w:r>
          </w:p>
        </w:tc>
        <w:tc>
          <w:tcPr>
            <w:tcW w:w="810" w:type="dxa"/>
            <w:vMerge w:val="continue"/>
            <w:vAlign w:val="center"/>
          </w:tcPr>
          <w:p w14:paraId="57114338">
            <w:pPr>
              <w:widowControl/>
              <w:spacing w:line="360" w:lineRule="auto"/>
              <w:ind w:firstLine="300" w:firstLineChars="1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60" w:type="dxa"/>
          </w:tcPr>
          <w:p w14:paraId="79992B20">
            <w:pPr>
              <w:widowControl/>
              <w:spacing w:line="360" w:lineRule="auto"/>
              <w:ind w:firstLine="300" w:firstLineChars="15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滚转</w:t>
            </w:r>
          </w:p>
        </w:tc>
        <w:tc>
          <w:tcPr>
            <w:tcW w:w="1860" w:type="dxa"/>
          </w:tcPr>
          <w:p w14:paraId="73236BB8">
            <w:pPr>
              <w:widowControl/>
              <w:spacing w:line="360" w:lineRule="auto"/>
              <w:ind w:firstLine="200" w:firstLineChars="10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±30°</w:t>
            </w:r>
          </w:p>
        </w:tc>
        <w:tc>
          <w:tcPr>
            <w:tcW w:w="1830" w:type="dxa"/>
          </w:tcPr>
          <w:p w14:paraId="32FE891C">
            <w:pPr>
              <w:widowControl/>
              <w:spacing w:line="360" w:lineRule="auto"/>
              <w:ind w:firstLine="300" w:firstLineChars="15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50°/s</w:t>
            </w:r>
          </w:p>
        </w:tc>
        <w:tc>
          <w:tcPr>
            <w:tcW w:w="1994" w:type="dxa"/>
          </w:tcPr>
          <w:p w14:paraId="0F1A42AE">
            <w:pPr>
              <w:widowControl/>
              <w:spacing w:line="360" w:lineRule="auto"/>
              <w:ind w:firstLine="300" w:firstLineChars="15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150°/S²</w:t>
            </w:r>
          </w:p>
        </w:tc>
      </w:tr>
      <w:tr w14:paraId="1F5B9E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95" w:type="dxa"/>
            <w:vAlign w:val="center"/>
          </w:tcPr>
          <w:p w14:paraId="15B3EE8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13</w:t>
            </w:r>
          </w:p>
        </w:tc>
        <w:tc>
          <w:tcPr>
            <w:tcW w:w="810" w:type="dxa"/>
            <w:vMerge w:val="continue"/>
            <w:vAlign w:val="center"/>
          </w:tcPr>
          <w:p w14:paraId="293A16C7">
            <w:pPr>
              <w:widowControl/>
              <w:spacing w:line="360" w:lineRule="auto"/>
              <w:ind w:firstLine="300" w:firstLineChars="1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60" w:type="dxa"/>
          </w:tcPr>
          <w:p w14:paraId="48352D55">
            <w:pPr>
              <w:widowControl/>
              <w:spacing w:line="360" w:lineRule="auto"/>
              <w:ind w:firstLine="300" w:firstLineChars="15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偏航</w:t>
            </w:r>
          </w:p>
        </w:tc>
        <w:tc>
          <w:tcPr>
            <w:tcW w:w="1860" w:type="dxa"/>
          </w:tcPr>
          <w:p w14:paraId="1E343B3A">
            <w:pPr>
              <w:widowControl/>
              <w:spacing w:line="360" w:lineRule="auto"/>
              <w:ind w:firstLine="200" w:firstLineChars="10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±30°</w:t>
            </w:r>
          </w:p>
        </w:tc>
        <w:tc>
          <w:tcPr>
            <w:tcW w:w="1830" w:type="dxa"/>
          </w:tcPr>
          <w:p w14:paraId="2E0EE4BC">
            <w:pPr>
              <w:widowControl/>
              <w:spacing w:line="360" w:lineRule="auto"/>
              <w:ind w:firstLine="300" w:firstLineChars="15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50°/s</w:t>
            </w:r>
          </w:p>
        </w:tc>
        <w:tc>
          <w:tcPr>
            <w:tcW w:w="1994" w:type="dxa"/>
          </w:tcPr>
          <w:p w14:paraId="02C46DC2">
            <w:pPr>
              <w:widowControl/>
              <w:spacing w:line="360" w:lineRule="auto"/>
              <w:ind w:firstLine="300" w:firstLineChars="15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150°/S²</w:t>
            </w:r>
          </w:p>
        </w:tc>
      </w:tr>
      <w:tr w14:paraId="6977AB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95" w:type="dxa"/>
            <w:vAlign w:val="center"/>
          </w:tcPr>
          <w:p w14:paraId="6EA6813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14</w:t>
            </w:r>
          </w:p>
        </w:tc>
        <w:tc>
          <w:tcPr>
            <w:tcW w:w="810" w:type="dxa"/>
            <w:vMerge w:val="continue"/>
            <w:vAlign w:val="center"/>
          </w:tcPr>
          <w:p w14:paraId="593EC875">
            <w:pPr>
              <w:widowControl/>
              <w:spacing w:line="360" w:lineRule="auto"/>
              <w:ind w:firstLine="300" w:firstLineChars="150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60" w:type="dxa"/>
          </w:tcPr>
          <w:p w14:paraId="2AFC4623">
            <w:pPr>
              <w:widowControl/>
              <w:spacing w:line="360" w:lineRule="auto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Z垂直升降</w:t>
            </w:r>
          </w:p>
        </w:tc>
        <w:tc>
          <w:tcPr>
            <w:tcW w:w="1860" w:type="dxa"/>
          </w:tcPr>
          <w:p w14:paraId="17749C56">
            <w:pPr>
              <w:widowControl/>
              <w:spacing w:line="360" w:lineRule="auto"/>
              <w:ind w:firstLine="200" w:firstLineChars="10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±200mm</w:t>
            </w:r>
          </w:p>
        </w:tc>
        <w:tc>
          <w:tcPr>
            <w:tcW w:w="1830" w:type="dxa"/>
          </w:tcPr>
          <w:p w14:paraId="37FDD42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300mm/s</w:t>
            </w:r>
          </w:p>
        </w:tc>
        <w:tc>
          <w:tcPr>
            <w:tcW w:w="1994" w:type="dxa"/>
          </w:tcPr>
          <w:p w14:paraId="4F1B3925">
            <w:pPr>
              <w:widowControl/>
              <w:spacing w:line="360" w:lineRule="auto"/>
              <w:ind w:firstLine="500" w:firstLineChars="250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0.7G</w:t>
            </w:r>
          </w:p>
        </w:tc>
      </w:tr>
    </w:tbl>
    <w:p w14:paraId="503C6C16">
      <w:pPr>
        <w:spacing w:line="360" w:lineRule="auto"/>
        <w:rPr>
          <w:rFonts w:hint="default" w:ascii="Times New Roman" w:hAnsi="Times New Roman" w:eastAsia="方正兰亭黑简体" w:cs="Times New Roman"/>
          <w:color w:val="auto"/>
          <w:sz w:val="22"/>
          <w:szCs w:val="28"/>
          <w:highlight w:val="none"/>
        </w:rPr>
      </w:pPr>
      <w:r>
        <w:rPr>
          <w:rFonts w:hint="default" w:ascii="Times New Roman" w:hAnsi="Times New Roman" w:eastAsia="方正兰亭黑简体" w:cs="Times New Roman"/>
          <w:color w:val="auto"/>
          <w:sz w:val="22"/>
          <w:szCs w:val="28"/>
          <w:highlight w:val="none"/>
        </w:rPr>
        <w:t>1.具备完整六自由度运动输出，可独立或耦合输出横摇、纵摇、艏摇，横荡、纵荡、垂荡，支持单自由度正弦摇摆、多自由度复合摇摆、不规则海浪随机运动模拟，满足船级社摇摆试验、倾斜试验工况要求。</w:t>
      </w:r>
    </w:p>
    <w:p w14:paraId="2298D7CA">
      <w:pPr>
        <w:spacing w:line="360" w:lineRule="auto"/>
        <w:rPr>
          <w:rFonts w:hint="default" w:ascii="Times New Roman" w:hAnsi="Times New Roman" w:eastAsia="方正兰亭黑简体" w:cs="Times New Roman"/>
          <w:color w:val="auto"/>
          <w:sz w:val="22"/>
          <w:szCs w:val="28"/>
          <w:highlight w:val="none"/>
        </w:rPr>
      </w:pPr>
      <w:r>
        <w:rPr>
          <w:rFonts w:hint="eastAsia" w:ascii="Times New Roman" w:hAnsi="Times New Roman" w:eastAsia="方正兰亭黑简体" w:cs="Times New Roman"/>
          <w:color w:val="auto"/>
          <w:sz w:val="22"/>
          <w:szCs w:val="28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兰亭黑简体" w:cs="Times New Roman"/>
          <w:color w:val="auto"/>
          <w:sz w:val="22"/>
          <w:szCs w:val="28"/>
          <w:highlight w:val="none"/>
        </w:rPr>
        <w:t>可设置不同海况等级，生成不规则海浪运动轨迹；支持导入实船海浪谱数据复现真实船舶海上的姿态。</w:t>
      </w:r>
    </w:p>
    <w:p w14:paraId="199A1A45">
      <w:pPr>
        <w:spacing w:line="360" w:lineRule="auto"/>
        <w:rPr>
          <w:rFonts w:hint="default" w:ascii="Times New Roman" w:hAnsi="Times New Roman" w:eastAsia="方正兰亭黑简体" w:cs="Times New Roman"/>
          <w:color w:val="auto"/>
          <w:sz w:val="22"/>
          <w:szCs w:val="28"/>
          <w:highlight w:val="none"/>
        </w:rPr>
      </w:pPr>
      <w:r>
        <w:rPr>
          <w:rFonts w:hint="eastAsia" w:ascii="Times New Roman" w:hAnsi="Times New Roman" w:eastAsia="方正兰亭黑简体" w:cs="Times New Roman"/>
          <w:color w:val="auto"/>
          <w:sz w:val="22"/>
          <w:szCs w:val="28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兰亭黑简体" w:cs="Times New Roman"/>
          <w:color w:val="auto"/>
          <w:sz w:val="22"/>
          <w:szCs w:val="28"/>
          <w:highlight w:val="none"/>
        </w:rPr>
        <w:t>支持规则正弦摇摆试验，可设置摇摆角度、周期、试验时长，可长时间连续运行，适配船用电气箱耐久性摇摆测试。</w:t>
      </w:r>
    </w:p>
    <w:p w14:paraId="2619A628">
      <w:pPr>
        <w:spacing w:line="360" w:lineRule="auto"/>
        <w:rPr>
          <w:rFonts w:hint="default" w:ascii="Times New Roman" w:hAnsi="Times New Roman" w:eastAsia="方正兰亭黑简体" w:cs="Times New Roman"/>
          <w:color w:val="auto"/>
          <w:sz w:val="22"/>
          <w:szCs w:val="28"/>
          <w:highlight w:val="none"/>
        </w:rPr>
      </w:pPr>
      <w:r>
        <w:rPr>
          <w:rFonts w:hint="eastAsia" w:ascii="Times New Roman" w:hAnsi="Times New Roman" w:eastAsia="方正兰亭黑简体" w:cs="Times New Roman"/>
          <w:color w:val="auto"/>
          <w:sz w:val="22"/>
          <w:szCs w:val="28"/>
          <w:highlight w:val="none"/>
          <w:lang w:val="en-US" w:eastAsia="zh-CN"/>
        </w:rPr>
        <w:t>4.</w:t>
      </w:r>
      <w:r>
        <w:rPr>
          <w:rFonts w:hint="default" w:ascii="Times New Roman" w:hAnsi="Times New Roman" w:eastAsia="方正兰亭黑简体" w:cs="Times New Roman"/>
          <w:color w:val="auto"/>
          <w:sz w:val="22"/>
          <w:szCs w:val="28"/>
          <w:highlight w:val="none"/>
        </w:rPr>
        <w:t>在机械行程约束下实现海浪运动模拟，防止超程损坏设备；具备零位标定、位置锁定、单轴手动调试、运动轨迹回放功能。</w:t>
      </w:r>
    </w:p>
    <w:p w14:paraId="75C54550">
      <w:pPr>
        <w:spacing w:line="360" w:lineRule="auto"/>
        <w:rPr>
          <w:rFonts w:hint="default" w:ascii="Times New Roman" w:hAnsi="Times New Roman" w:eastAsia="方正兰亭黑简体" w:cs="Times New Roman"/>
          <w:color w:val="auto"/>
          <w:sz w:val="22"/>
          <w:szCs w:val="28"/>
          <w:highlight w:val="none"/>
        </w:rPr>
      </w:pPr>
      <w:r>
        <w:rPr>
          <w:rFonts w:hint="eastAsia" w:ascii="Times New Roman" w:hAnsi="Times New Roman" w:eastAsia="方正兰亭黑简体" w:cs="Times New Roman"/>
          <w:color w:val="auto"/>
          <w:sz w:val="22"/>
          <w:szCs w:val="28"/>
          <w:highlight w:val="none"/>
          <w:lang w:val="en-US" w:eastAsia="zh-CN"/>
        </w:rPr>
        <w:t>5.</w:t>
      </w:r>
      <w:r>
        <w:rPr>
          <w:rFonts w:hint="default" w:ascii="Times New Roman" w:hAnsi="Times New Roman" w:eastAsia="方正兰亭黑简体" w:cs="Times New Roman"/>
          <w:color w:val="auto"/>
          <w:sz w:val="22"/>
          <w:szCs w:val="28"/>
          <w:highlight w:val="none"/>
        </w:rPr>
        <w:t>开放数据接口（SDK/API），可对外输出平台实时姿态、位移、时间戳数据，便于对接外部数据采集系统，同步记录被测电气箱试验过程数据，便于出具试验报告。</w:t>
      </w:r>
    </w:p>
    <w:p w14:paraId="34121BDA">
      <w:pPr>
        <w:spacing w:line="360" w:lineRule="auto"/>
        <w:rPr>
          <w:rFonts w:hint="default" w:ascii="Times New Roman" w:hAnsi="Times New Roman" w:eastAsia="方正兰亭黑简体" w:cs="Times New Roman"/>
          <w:color w:val="auto"/>
          <w:sz w:val="22"/>
          <w:szCs w:val="28"/>
          <w:highlight w:val="none"/>
        </w:rPr>
      </w:pPr>
      <w:r>
        <w:rPr>
          <w:rFonts w:hint="eastAsia" w:ascii="Times New Roman" w:hAnsi="Times New Roman" w:eastAsia="方正兰亭黑简体" w:cs="Times New Roman"/>
          <w:color w:val="auto"/>
          <w:sz w:val="22"/>
          <w:szCs w:val="28"/>
          <w:highlight w:val="none"/>
          <w:lang w:val="en-US" w:eastAsia="zh-CN"/>
        </w:rPr>
        <w:t>6.</w:t>
      </w:r>
      <w:r>
        <w:rPr>
          <w:rFonts w:hint="default" w:ascii="Times New Roman" w:hAnsi="Times New Roman" w:eastAsia="方正兰亭黑简体" w:cs="Times New Roman"/>
          <w:color w:val="auto"/>
          <w:sz w:val="22"/>
          <w:szCs w:val="28"/>
          <w:highlight w:val="none"/>
        </w:rPr>
        <w:t>具备完善安全联锁：电子软限位、机械硬限位、伺服过载保护、断电抱闸、急停，可选 UPS 断电保护，保障长时间无人值守试验安全要求。</w:t>
      </w:r>
    </w:p>
    <w:p w14:paraId="1B276A2E">
      <w:pPr>
        <w:spacing w:line="360" w:lineRule="auto"/>
        <w:rPr>
          <w:rFonts w:hint="default" w:ascii="Times New Roman" w:hAnsi="Times New Roman" w:eastAsia="方正兰亭黑简体" w:cs="Times New Roman"/>
          <w:color w:val="auto"/>
          <w:sz w:val="22"/>
          <w:szCs w:val="28"/>
          <w:highlight w:val="none"/>
        </w:rPr>
      </w:pPr>
      <w:r>
        <w:rPr>
          <w:rFonts w:hint="eastAsia" w:ascii="Times New Roman" w:hAnsi="Times New Roman" w:eastAsia="方正兰亭黑简体" w:cs="Times New Roman"/>
          <w:color w:val="auto"/>
          <w:sz w:val="22"/>
          <w:szCs w:val="28"/>
          <w:highlight w:val="none"/>
          <w:lang w:val="en-US" w:eastAsia="zh-CN"/>
        </w:rPr>
        <w:t>7.</w:t>
      </w:r>
      <w:r>
        <w:rPr>
          <w:rFonts w:hint="default" w:ascii="Times New Roman" w:hAnsi="Times New Roman" w:eastAsia="方正兰亭黑简体" w:cs="Times New Roman"/>
          <w:color w:val="auto"/>
          <w:sz w:val="22"/>
          <w:szCs w:val="28"/>
          <w:highlight w:val="none"/>
        </w:rPr>
        <w:t>整体平台设计美观合理，上下台面选用铝板，采用一体化设计现场安装调试以及运输。</w:t>
      </w:r>
    </w:p>
    <w:p w14:paraId="47D79F3C">
      <w:pPr>
        <w:spacing w:line="360" w:lineRule="auto"/>
        <w:rPr>
          <w:rFonts w:hint="default" w:ascii="Times New Roman" w:hAnsi="Times New Roman" w:eastAsia="方正兰亭黑简体" w:cs="Times New Roman"/>
          <w:color w:val="auto"/>
          <w:sz w:val="22"/>
          <w:szCs w:val="28"/>
          <w:highlight w:val="none"/>
        </w:rPr>
      </w:pPr>
      <w:r>
        <w:rPr>
          <w:rFonts w:hint="eastAsia" w:ascii="Times New Roman" w:hAnsi="Times New Roman" w:eastAsia="方正兰亭黑简体" w:cs="Times New Roman"/>
          <w:color w:val="auto"/>
          <w:sz w:val="22"/>
          <w:szCs w:val="28"/>
          <w:highlight w:val="none"/>
          <w:lang w:val="en-US" w:eastAsia="zh-CN"/>
        </w:rPr>
        <w:t>8.</w:t>
      </w:r>
      <w:r>
        <w:rPr>
          <w:rFonts w:hint="default" w:ascii="Times New Roman" w:hAnsi="Times New Roman" w:eastAsia="方正兰亭黑简体" w:cs="Times New Roman"/>
          <w:color w:val="auto"/>
          <w:sz w:val="22"/>
          <w:szCs w:val="28"/>
          <w:highlight w:val="none"/>
        </w:rPr>
        <w:t>台面预留工装安装接口，方便安装固定不同规格船用电气箱，便于试样装夹。</w:t>
      </w:r>
    </w:p>
    <w:p w14:paraId="34E97200">
      <w:pPr>
        <w:widowControl/>
        <w:shd w:val="clear" w:color="auto" w:fill="FFFFFF"/>
        <w:spacing w:line="360" w:lineRule="auto"/>
        <w:jc w:val="left"/>
        <w:rPr>
          <w:rFonts w:hint="eastAsia" w:ascii="方正兰亭黑简体" w:hAnsi="方正兰亭黑简体" w:eastAsia="方正兰亭黑简体" w:cs="方正兰亭黑简体"/>
          <w:color w:val="auto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三</w:t>
      </w:r>
      <w:r>
        <w:rPr>
          <w:rFonts w:hint="default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、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其他要求</w:t>
      </w:r>
    </w:p>
    <w:p w14:paraId="11A3F1E2">
      <w:pPr>
        <w:ind w:left="0" w:leftChars="0" w:firstLine="0" w:firstLineChars="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1.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报价供应商应当提供物资生命周期内所需零备件和消耗品清单，并明确供应周期和价格等优惠条件。</w:t>
      </w:r>
    </w:p>
    <w:p w14:paraId="5983229F">
      <w:pPr>
        <w:ind w:left="0" w:leftChars="0" w:firstLine="0" w:firstLineChars="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2.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报价供应商应当承诺，对售后服务需求提供4小时响应，24小时内到达现场实施维修排除故障，如需更换故障配件(质保期内或质保期外)的，零配件供应最长不得超过2周。还需提供完善的售后维修保障，定期巡检，每年不少于一次。</w:t>
      </w:r>
    </w:p>
    <w:p w14:paraId="27935752">
      <w:pPr>
        <w:ind w:left="0" w:leftChars="0" w:firstLine="0" w:firstLineChars="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3.履约验收：采购人使用人员为验收主体，按照技术要求对设备进行验收。</w:t>
      </w:r>
    </w:p>
    <w:p w14:paraId="104324FB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6F08D74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第三章 评审办法</w:t>
      </w:r>
    </w:p>
    <w:p w14:paraId="69EFEE19">
      <w:pPr>
        <w:ind w:firstLine="440" w:firstLineChars="20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综合本项目的特点，根据相关法律法规的规定，本着保护竞争，维护采购工作公开、公平、公正原则，特制定本评审办法，作为选定本次采购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中标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人的依据。</w:t>
      </w:r>
    </w:p>
    <w:p w14:paraId="117C4525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1、成立比选评审小组</w:t>
      </w:r>
    </w:p>
    <w:p w14:paraId="49C58FD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采购人将根据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货物与服务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的特点，依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规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组建比选小组，比选小组由3人或以上的单数组成。</w:t>
      </w:r>
    </w:p>
    <w:p w14:paraId="123C9161">
      <w:pPr>
        <w:numPr>
          <w:ilvl w:val="0"/>
          <w:numId w:val="0"/>
        </w:num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2、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具体评分细则如下：</w:t>
      </w:r>
    </w:p>
    <w:tbl>
      <w:tblPr>
        <w:tblStyle w:val="17"/>
        <w:tblW w:w="49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734"/>
        <w:gridCol w:w="713"/>
        <w:gridCol w:w="6830"/>
      </w:tblGrid>
      <w:tr w14:paraId="64002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742FB55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873" w:type="pct"/>
            <w:noWrap w:val="0"/>
            <w:vAlign w:val="center"/>
          </w:tcPr>
          <w:p w14:paraId="5F54B63A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评审因素</w:t>
            </w:r>
          </w:p>
        </w:tc>
        <w:tc>
          <w:tcPr>
            <w:tcW w:w="359" w:type="pct"/>
            <w:noWrap w:val="0"/>
            <w:vAlign w:val="center"/>
          </w:tcPr>
          <w:p w14:paraId="25FE165D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3436" w:type="pct"/>
            <w:noWrap w:val="0"/>
            <w:vAlign w:val="center"/>
          </w:tcPr>
          <w:p w14:paraId="1A73747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评分说明</w:t>
            </w:r>
          </w:p>
        </w:tc>
      </w:tr>
      <w:tr w14:paraId="41C4C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3FFFCA77">
            <w:pPr>
              <w:spacing w:line="36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一、价格部分</w:t>
            </w:r>
          </w:p>
        </w:tc>
      </w:tr>
      <w:tr w14:paraId="7E29D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10CE2961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873" w:type="pct"/>
            <w:noWrap w:val="0"/>
            <w:vAlign w:val="center"/>
          </w:tcPr>
          <w:p w14:paraId="69DFDD8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价格得分</w:t>
            </w:r>
          </w:p>
          <w:p w14:paraId="5224EE0B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4CB6FE52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3436" w:type="pct"/>
            <w:noWrap w:val="0"/>
            <w:vAlign w:val="center"/>
          </w:tcPr>
          <w:p w14:paraId="7EE17ECD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采用低价优先法计算，即满足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比选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文件要求且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最低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的报价为基准价，其价格分为满分30分。其他报价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单位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的报价得分计算公式如下：</w:t>
            </w:r>
          </w:p>
          <w:p w14:paraId="00A2DA11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报价得分＝30×（评标基准价/投标报价）。</w:t>
            </w:r>
          </w:p>
        </w:tc>
      </w:tr>
      <w:tr w14:paraId="1CE6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14AC1211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二、商务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技术部分</w:t>
            </w:r>
          </w:p>
        </w:tc>
      </w:tr>
      <w:tr w14:paraId="603C3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69B4451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pct"/>
            <w:noWrap w:val="0"/>
            <w:vAlign w:val="center"/>
          </w:tcPr>
          <w:p w14:paraId="4BAF2162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经验业绩</w:t>
            </w:r>
          </w:p>
          <w:p w14:paraId="654A2B2C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C2DAE4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3436" w:type="pct"/>
            <w:noWrap w:val="0"/>
            <w:vAlign w:val="center"/>
          </w:tcPr>
          <w:p w14:paraId="4A5A3383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提供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近3年（合同签订日期自202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月起至今）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业绩案例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。（每提供1个得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分；最高得1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分）注：需提供相关业绩的合同复印件，否则将不予认可。</w:t>
            </w:r>
          </w:p>
        </w:tc>
      </w:tr>
      <w:tr w14:paraId="4674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147D3766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pct"/>
            <w:noWrap w:val="0"/>
            <w:vAlign w:val="center"/>
          </w:tcPr>
          <w:p w14:paraId="069DEA5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技术响应程度</w:t>
            </w:r>
          </w:p>
          <w:p w14:paraId="1793C67A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0332D36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3436" w:type="pct"/>
            <w:shd w:val="clear" w:color="auto" w:fill="auto"/>
            <w:noWrap w:val="0"/>
            <w:vAlign w:val="center"/>
          </w:tcPr>
          <w:p w14:paraId="7461B042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针对第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二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章中的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采购需求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：不满足技术条款的，每项扣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分；扣完为止。</w:t>
            </w:r>
          </w:p>
        </w:tc>
      </w:tr>
      <w:tr w14:paraId="32155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67884245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7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83A718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产品性能介绍</w:t>
            </w:r>
          </w:p>
          <w:p w14:paraId="1A5865D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主观分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3662F0A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3436" w:type="pct"/>
            <w:noWrap w:val="0"/>
            <w:vAlign w:val="center"/>
          </w:tcPr>
          <w:p w14:paraId="37F6985E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优秀（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8～10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分）：详细介绍了产品的各项性能参数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。</w:t>
            </w:r>
          </w:p>
          <w:p w14:paraId="62A7189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良好（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5～7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分）：较全面地介绍了产品的性能参数。</w:t>
            </w:r>
          </w:p>
          <w:p w14:paraId="70A493C7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一般（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2～4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分）：介绍了部分性能参数，但不够全面或详细。</w:t>
            </w:r>
          </w:p>
          <w:p w14:paraId="0BEE09A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较差（0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～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分）：性能参数介绍不完整或存在明显错误。</w:t>
            </w:r>
          </w:p>
        </w:tc>
      </w:tr>
      <w:tr w14:paraId="261A6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063649C8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pct"/>
            <w:noWrap w:val="0"/>
            <w:vAlign w:val="center"/>
          </w:tcPr>
          <w:p w14:paraId="555CFAE5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技术支持与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售后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服务</w:t>
            </w:r>
          </w:p>
          <w:p w14:paraId="1F53F634">
            <w:pPr>
              <w:pStyle w:val="16"/>
              <w:spacing w:line="360" w:lineRule="auto"/>
              <w:ind w:firstLine="200" w:firstLineChars="100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主观分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D75325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3436" w:type="pct"/>
            <w:noWrap w:val="0"/>
            <w:vAlign w:val="center"/>
          </w:tcPr>
          <w:p w14:paraId="566D5B29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优秀（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12～15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分）：提供了详尽的技术支持方案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以及售后服务方案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，包括快速响应机制、服务承诺等。</w:t>
            </w:r>
          </w:p>
          <w:p w14:paraId="1B650857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良好（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8～11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分）：提供了较为全面的技术支持方案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和售后服务方案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，但计划不够详细。</w:t>
            </w:r>
          </w:p>
          <w:p w14:paraId="2E6A021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一般（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4～7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分）：方案较为简单，缺乏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具体的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计划。</w:t>
            </w:r>
          </w:p>
          <w:p w14:paraId="4BA27702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较差（0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～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分）：未提供技术支持方案或售后服务承诺。</w:t>
            </w:r>
          </w:p>
        </w:tc>
      </w:tr>
    </w:tbl>
    <w:p w14:paraId="71E5B026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sectPr>
          <w:footerReference r:id="rId3" w:type="default"/>
          <w:type w:val="continuous"/>
          <w:pgSz w:w="11906" w:h="16838"/>
          <w:pgMar w:top="1440" w:right="1080" w:bottom="1440" w:left="1080" w:header="851" w:footer="992" w:gutter="0"/>
          <w:pgNumType w:fmt="decimal"/>
          <w:cols w:space="425" w:num="1"/>
          <w:docGrid w:type="lines" w:linePitch="312" w:charSpace="0"/>
        </w:sectPr>
      </w:pPr>
    </w:p>
    <w:p w14:paraId="3E74C2B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第四章 格式附件</w:t>
      </w:r>
    </w:p>
    <w:p w14:paraId="636BB61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附件1：报价单</w:t>
      </w:r>
    </w:p>
    <w:p w14:paraId="52D9A168">
      <w:pPr>
        <w:spacing w:line="440" w:lineRule="exact"/>
        <w:jc w:val="center"/>
        <w:rPr>
          <w:rFonts w:hint="default" w:ascii="宋体" w:hAnsi="宋体" w:eastAsia="宋体"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>报   价   单</w:t>
      </w:r>
    </w:p>
    <w:p w14:paraId="50E6B72B">
      <w:pPr>
        <w:spacing w:line="440" w:lineRule="exact"/>
        <w:jc w:val="left"/>
        <w:rPr>
          <w:rFonts w:hint="default" w:ascii="黑体" w:hAnsi="华文楷体" w:eastAsia="黑体"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 xml:space="preserve">TO: </w:t>
      </w:r>
      <w:r>
        <w:rPr>
          <w:rFonts w:hint="eastAsia" w:ascii="黑体" w:hAnsi="华文楷体" w:eastAsia="黑体"/>
          <w:color w:val="auto"/>
          <w:sz w:val="24"/>
          <w:highlight w:val="none"/>
        </w:rPr>
        <w:t xml:space="preserve"> 上海海事大学 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>采购与招投标管理中心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 xml:space="preserve">   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  <w:lang w:val="en-US" w:eastAsia="zh-CN"/>
        </w:rPr>
        <w:t xml:space="preserve">          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>项目编号：HFBX2026073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 xml:space="preserve">               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  <w:lang w:val="en-US" w:eastAsia="zh-CN"/>
        </w:rPr>
        <w:t xml:space="preserve">                    </w:t>
      </w:r>
    </w:p>
    <w:p w14:paraId="192C9FAF">
      <w:pPr>
        <w:spacing w:line="440" w:lineRule="exact"/>
        <w:rPr>
          <w:rFonts w:hint="eastAsia" w:ascii="方正仿宋_GB2312" w:hAnsi="方正仿宋_GB2312" w:eastAsia="方正仿宋_GB2312" w:cs="方正仿宋_GB2312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电子邮箱：</w: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begin"/>
      </w:r>
      <w:r>
        <w:rPr>
          <w:rFonts w:ascii="黑体" w:hAnsi="华文楷体" w:eastAsia="黑体"/>
          <w:b/>
          <w:color w:val="auto"/>
          <w:sz w:val="24"/>
          <w:highlight w:val="none"/>
        </w:rPr>
        <w:instrText xml:space="preserve"> HYPERLINK "mailto:quotation@shmtu.edu.cn" </w:instrTex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separate"/>
      </w:r>
      <w:r>
        <w:rPr>
          <w:rStyle w:val="21"/>
          <w:rFonts w:ascii="黑体" w:hAnsi="华文楷体" w:eastAsia="黑体"/>
          <w:b/>
          <w:color w:val="auto"/>
          <w:sz w:val="24"/>
          <w:highlight w:val="none"/>
        </w:rPr>
        <w:t>quotation@shmtu.edu.cn</w: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end"/>
      </w:r>
    </w:p>
    <w:p w14:paraId="1D25A65B">
      <w:pPr>
        <w:spacing w:line="440" w:lineRule="exact"/>
        <w:rPr>
          <w:rFonts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公司名称：</w:t>
      </w:r>
      <w:r>
        <w:rPr>
          <w:rFonts w:hint="eastAsia" w:ascii="黑体" w:hAnsi="华文楷体" w:eastAsia="黑体"/>
          <w:color w:val="auto"/>
          <w:sz w:val="24"/>
          <w:highlight w:val="none"/>
        </w:rPr>
        <w:t xml:space="preserve">                                                </w:t>
      </w:r>
      <w:r>
        <w:rPr>
          <w:rFonts w:hint="eastAsia" w:ascii="黑体" w:hAnsi="华文楷体" w:eastAsia="黑体"/>
          <w:b/>
          <w:color w:val="auto"/>
          <w:sz w:val="24"/>
          <w:highlight w:val="none"/>
        </w:rPr>
        <w:t>联系人：</w:t>
      </w:r>
    </w:p>
    <w:p w14:paraId="0416696A">
      <w:pPr>
        <w:spacing w:line="440" w:lineRule="exact"/>
        <w:rPr>
          <w:rFonts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电子邮箱：                                                公司地址：</w:t>
      </w:r>
    </w:p>
    <w:p w14:paraId="096E10B9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电话：                                                    联系人手机：</w:t>
      </w:r>
    </w:p>
    <w:p w14:paraId="35F2988C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tbl>
      <w:tblPr>
        <w:tblStyle w:val="1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2062"/>
        <w:gridCol w:w="971"/>
        <w:gridCol w:w="1463"/>
        <w:gridCol w:w="581"/>
        <w:gridCol w:w="876"/>
        <w:gridCol w:w="876"/>
        <w:gridCol w:w="1230"/>
        <w:gridCol w:w="1397"/>
      </w:tblGrid>
      <w:tr w14:paraId="48147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top w:val="single" w:color="auto" w:sz="12" w:space="0"/>
              <w:left w:val="single" w:color="auto" w:sz="12" w:space="0"/>
              <w:bottom w:val="double" w:color="auto" w:sz="4" w:space="0"/>
            </w:tcBorders>
            <w:noWrap w:val="0"/>
            <w:vAlign w:val="center"/>
          </w:tcPr>
          <w:p w14:paraId="67E9217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036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5FFC86E8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产品名称</w:t>
            </w:r>
          </w:p>
        </w:tc>
        <w:tc>
          <w:tcPr>
            <w:tcW w:w="488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5F8969CF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品牌</w:t>
            </w:r>
          </w:p>
        </w:tc>
        <w:tc>
          <w:tcPr>
            <w:tcW w:w="733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16AB36D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型号规格</w:t>
            </w:r>
          </w:p>
        </w:tc>
        <w:tc>
          <w:tcPr>
            <w:tcW w:w="292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7A41A9BF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数量</w:t>
            </w:r>
          </w:p>
        </w:tc>
        <w:tc>
          <w:tcPr>
            <w:tcW w:w="440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22044959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单价</w:t>
            </w:r>
          </w:p>
        </w:tc>
        <w:tc>
          <w:tcPr>
            <w:tcW w:w="440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61A1F83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金额</w:t>
            </w:r>
          </w:p>
        </w:tc>
        <w:tc>
          <w:tcPr>
            <w:tcW w:w="618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2F9A1E62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质保时间</w:t>
            </w:r>
          </w:p>
        </w:tc>
        <w:tc>
          <w:tcPr>
            <w:tcW w:w="700" w:type="pct"/>
            <w:tcBorders>
              <w:top w:val="single" w:color="auto" w:sz="12" w:space="0"/>
              <w:bottom w:val="double" w:color="auto" w:sz="4" w:space="0"/>
              <w:right w:val="single" w:color="auto" w:sz="12" w:space="0"/>
            </w:tcBorders>
            <w:noWrap w:val="0"/>
            <w:vAlign w:val="center"/>
          </w:tcPr>
          <w:p w14:paraId="09E42E8D">
            <w:pPr>
              <w:spacing w:line="440" w:lineRule="exact"/>
              <w:jc w:val="center"/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  <w:t>最快供货</w:t>
            </w: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  <w:lang w:val="en-US" w:eastAsia="zh-CN"/>
              </w:rPr>
              <w:t>时间</w:t>
            </w:r>
          </w:p>
        </w:tc>
      </w:tr>
      <w:tr w14:paraId="6076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top w:val="double" w:color="auto" w:sz="4" w:space="0"/>
              <w:left w:val="single" w:color="auto" w:sz="12" w:space="0"/>
            </w:tcBorders>
            <w:noWrap w:val="0"/>
            <w:vAlign w:val="top"/>
          </w:tcPr>
          <w:p w14:paraId="6904F50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036" w:type="pct"/>
            <w:tcBorders>
              <w:top w:val="double" w:color="auto" w:sz="4" w:space="0"/>
            </w:tcBorders>
            <w:noWrap w:val="0"/>
            <w:vAlign w:val="center"/>
          </w:tcPr>
          <w:p w14:paraId="2716FB82">
            <w:pPr>
              <w:ind w:left="-63" w:leftChars="-30" w:right="-63" w:rightChars="-3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tcBorders>
              <w:top w:val="double" w:color="auto" w:sz="4" w:space="0"/>
            </w:tcBorders>
            <w:noWrap w:val="0"/>
            <w:vAlign w:val="top"/>
          </w:tcPr>
          <w:p w14:paraId="68C63CC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top w:val="double" w:color="auto" w:sz="4" w:space="0"/>
            </w:tcBorders>
            <w:noWrap w:val="0"/>
            <w:vAlign w:val="top"/>
          </w:tcPr>
          <w:p w14:paraId="2062DBE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top w:val="double" w:color="auto" w:sz="4" w:space="0"/>
            </w:tcBorders>
            <w:noWrap w:val="0"/>
            <w:vAlign w:val="top"/>
          </w:tcPr>
          <w:p w14:paraId="5576A53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top w:val="double" w:color="auto" w:sz="4" w:space="0"/>
            </w:tcBorders>
            <w:noWrap w:val="0"/>
            <w:vAlign w:val="top"/>
          </w:tcPr>
          <w:p w14:paraId="3366DAB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top w:val="double" w:color="auto" w:sz="4" w:space="0"/>
            </w:tcBorders>
            <w:noWrap w:val="0"/>
            <w:vAlign w:val="top"/>
          </w:tcPr>
          <w:p w14:paraId="45D03D7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top w:val="double" w:color="auto" w:sz="4" w:space="0"/>
            </w:tcBorders>
            <w:noWrap w:val="0"/>
            <w:vAlign w:val="top"/>
          </w:tcPr>
          <w:p w14:paraId="014679F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top w:val="double" w:color="auto" w:sz="4" w:space="0"/>
              <w:right w:val="single" w:color="auto" w:sz="12" w:space="0"/>
            </w:tcBorders>
            <w:noWrap w:val="0"/>
            <w:vAlign w:val="top"/>
          </w:tcPr>
          <w:p w14:paraId="605E89B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3238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</w:tcBorders>
            <w:noWrap w:val="0"/>
            <w:vAlign w:val="top"/>
          </w:tcPr>
          <w:p w14:paraId="29977C7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1036" w:type="pct"/>
            <w:noWrap w:val="0"/>
            <w:vAlign w:val="center"/>
          </w:tcPr>
          <w:p w14:paraId="2866E2D0">
            <w:pPr>
              <w:ind w:left="-63" w:leftChars="-30" w:right="-63" w:rightChars="-3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noWrap w:val="0"/>
            <w:vAlign w:val="top"/>
          </w:tcPr>
          <w:p w14:paraId="0669C2F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noWrap w:val="0"/>
            <w:vAlign w:val="top"/>
          </w:tcPr>
          <w:p w14:paraId="4D504156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noWrap w:val="0"/>
            <w:vAlign w:val="top"/>
          </w:tcPr>
          <w:p w14:paraId="74F4D8E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noWrap w:val="0"/>
            <w:vAlign w:val="top"/>
          </w:tcPr>
          <w:p w14:paraId="2757136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noWrap w:val="0"/>
            <w:vAlign w:val="top"/>
          </w:tcPr>
          <w:p w14:paraId="45E1288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noWrap w:val="0"/>
            <w:vAlign w:val="top"/>
          </w:tcPr>
          <w:p w14:paraId="5DDB1CC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right w:val="single" w:color="auto" w:sz="12" w:space="0"/>
            </w:tcBorders>
            <w:noWrap w:val="0"/>
            <w:vAlign w:val="top"/>
          </w:tcPr>
          <w:p w14:paraId="6BB70514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6692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5E49ACAD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center"/>
          </w:tcPr>
          <w:p w14:paraId="2D958EE1">
            <w:pPr>
              <w:ind w:left="-42" w:leftChars="-20" w:right="-42" w:rightChars="-2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6B0A81D6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58841A2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26802B6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2ECBBA3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747E5F9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5140F71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F3F6EF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5A9D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22131CE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4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top"/>
          </w:tcPr>
          <w:p w14:paraId="6938BE08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4CD1A54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337FC11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3C03B4F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47DA722A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76A33D3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751F0F0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0B4D1DA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72A11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6A9F333C">
            <w:pPr>
              <w:spacing w:line="440" w:lineRule="exact"/>
              <w:jc w:val="center"/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5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top"/>
          </w:tcPr>
          <w:p w14:paraId="5ED63A4B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49A78B8A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2EEE306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270F8717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2A4C7C0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6028EA0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7530FD9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CF8882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512FF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pct"/>
            <w:gridSpan w:val="4"/>
            <w:tcBorders>
              <w:top w:val="double" w:color="auto" w:sz="4" w:space="0"/>
              <w:left w:val="single" w:color="auto" w:sz="12" w:space="0"/>
              <w:bottom w:val="single" w:color="auto" w:sz="12" w:space="0"/>
            </w:tcBorders>
            <w:noWrap w:val="0"/>
            <w:vAlign w:val="top"/>
          </w:tcPr>
          <w:p w14:paraId="57ECA68A">
            <w:pPr>
              <w:spacing w:line="440" w:lineRule="exact"/>
              <w:jc w:val="center"/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  <w:t>合计金额（人民币）</w:t>
            </w:r>
          </w:p>
        </w:tc>
        <w:tc>
          <w:tcPr>
            <w:tcW w:w="2492" w:type="pct"/>
            <w:gridSpan w:val="5"/>
            <w:tcBorders>
              <w:top w:val="doub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5C538379">
            <w:pPr>
              <w:spacing w:line="440" w:lineRule="exact"/>
              <w:jc w:val="center"/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  <w:t xml:space="preserve">￥           （大写）：                               </w:t>
            </w:r>
          </w:p>
        </w:tc>
      </w:tr>
    </w:tbl>
    <w:p w14:paraId="655247D5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p w14:paraId="2181F384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p w14:paraId="5E23D6EF">
      <w:pPr>
        <w:pStyle w:val="16"/>
        <w:ind w:left="0" w:leftChars="0" w:firstLine="0" w:firstLineChars="0"/>
        <w:rPr>
          <w:rFonts w:hint="eastAsia"/>
          <w:color w:val="auto"/>
          <w:highlight w:val="none"/>
        </w:rPr>
      </w:pPr>
    </w:p>
    <w:p w14:paraId="296AA70E">
      <w:pPr>
        <w:spacing w:line="440" w:lineRule="exact"/>
        <w:rPr>
          <w:rFonts w:ascii="黑体" w:hAnsi="华文楷体" w:eastAsia="黑体"/>
          <w:color w:val="auto"/>
          <w:sz w:val="24"/>
          <w:highlight w:val="none"/>
        </w:rPr>
      </w:pPr>
      <w:r>
        <w:rPr>
          <w:rFonts w:hint="eastAsia" w:ascii="黑体" w:hAnsi="华文楷体" w:eastAsia="黑体"/>
          <w:color w:val="auto"/>
          <w:sz w:val="24"/>
          <w:highlight w:val="none"/>
        </w:rPr>
        <w:t>公司名称（盖章）：          委托代理人（签字）：        报价日期：      年    月   日</w:t>
      </w:r>
    </w:p>
    <w:p w14:paraId="345567A0">
      <w:pPr>
        <w:rPr>
          <w:rFonts w:hint="eastAsia" w:ascii="黑体" w:hAnsi="华文楷体" w:eastAsia="黑体"/>
          <w:color w:val="auto"/>
          <w:szCs w:val="21"/>
          <w:highlight w:val="none"/>
        </w:rPr>
      </w:pPr>
    </w:p>
    <w:p w14:paraId="24F3C11F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>报价说明：1、报价公司提供的上述产品，应完全满足或者优于我校提出的需求。</w:t>
      </w:r>
    </w:p>
    <w:p w14:paraId="6C546935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2、如属非标配产品，其技术指标（特别是优于我校需求的部分）请另行附页说明。</w:t>
      </w:r>
    </w:p>
    <w:p w14:paraId="360E75B8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3、特殊的售后服务措施、代理证明情况等需要说明的，请另行附页说明。</w:t>
      </w:r>
    </w:p>
    <w:p w14:paraId="4A21681F">
      <w:pPr>
        <w:rPr>
          <w:rFonts w:hint="eastAsia"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4、报价单附页（如有）共</w:t>
      </w:r>
      <w:r>
        <w:rPr>
          <w:rFonts w:hint="eastAsia" w:ascii="黑体" w:hAnsi="华文楷体" w:eastAsia="黑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黑体" w:hAnsi="华文楷体" w:eastAsia="黑体"/>
          <w:color w:val="auto"/>
          <w:szCs w:val="21"/>
          <w:highlight w:val="none"/>
        </w:rPr>
        <w:t>页。</w:t>
      </w:r>
    </w:p>
    <w:p w14:paraId="4403A77C">
      <w:pP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  <w:br w:type="page"/>
      </w:r>
    </w:p>
    <w:p w14:paraId="0D7FB27B">
      <w:pPr>
        <w:spacing w:after="120" w:afterLines="50" w:line="240" w:lineRule="auto"/>
        <w:ind w:left="0" w:leftChars="0" w:firstLine="0" w:firstLineChars="0"/>
        <w:jc w:val="center"/>
        <w:rPr>
          <w:rFonts w:ascii="仿宋" w:hAnsi="仿宋" w:eastAsia="仿宋"/>
          <w:b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  <w:t>报价</w:t>
      </w: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</w:rPr>
        <w:t>承诺函</w:t>
      </w:r>
    </w:p>
    <w:p w14:paraId="154139ED">
      <w:pPr>
        <w:spacing w:after="120" w:afterLines="50" w:line="240" w:lineRule="auto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致：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上海海事大学</w:t>
      </w:r>
    </w:p>
    <w:p w14:paraId="37C42137">
      <w:pPr>
        <w:spacing w:after="120" w:afterLines="50" w:line="240" w:lineRule="auto"/>
        <w:ind w:left="0" w:leftChars="0" w:firstLine="480" w:firstLineChars="20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我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公司在参加本次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比选采购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活动中，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作出如下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承诺：</w:t>
      </w:r>
    </w:p>
    <w:p w14:paraId="46C0BB39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一、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具备独立法人资格，能够独立承担民事责任。</w:t>
      </w:r>
    </w:p>
    <w:p w14:paraId="50EE2300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二、我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财务状况良好，具备履行合同所需资金实力。</w:t>
      </w:r>
    </w:p>
    <w:p w14:paraId="3F8FCAE5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三、我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拥有履行项目所需的专业技术人员和先进的生产设备。</w:t>
      </w:r>
    </w:p>
    <w:p w14:paraId="45943AA8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四、我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依法纳税，并按时缴纳社会保险费。</w:t>
      </w:r>
    </w:p>
    <w:p w14:paraId="0F0C6E90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五、我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在最近三年内无任何违法违规行为，信誉良好。</w:t>
      </w:r>
    </w:p>
    <w:p w14:paraId="3EF4200C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六、我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完全符合政府采购法及其他相关法律法规的规定。</w:t>
      </w:r>
    </w:p>
    <w:p w14:paraId="072F3ABB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公司提供的相关文件均真实、有效。</w:t>
      </w:r>
    </w:p>
    <w:p w14:paraId="1E86BCEA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八、我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公司未挂靠、借用资质进行投标等违法违规行为。</w:t>
      </w:r>
    </w:p>
    <w:p w14:paraId="1961C25F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九、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我公司承诺在参加本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采购活动中，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不存在串标围标行为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不存在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损害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校方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或者其他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报价单位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利益的行为。</w:t>
      </w:r>
    </w:p>
    <w:p w14:paraId="1B3C8AA7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十、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公司管理层中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没有从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贵校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离职或退休3年以内的人员担任控股股东或实际控股人、董事、监事，也没有聘用从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贵校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离职或退休3年以内的人员。</w:t>
      </w:r>
    </w:p>
    <w:p w14:paraId="3FE2B1FA">
      <w:pPr>
        <w:spacing w:after="120" w:afterLines="50" w:line="240" w:lineRule="auto"/>
        <w:ind w:left="0" w:leftChars="0" w:firstLine="480" w:firstLineChars="20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我公司保证上述声明真实无误，如有不实，愿承担相应法律责任。</w:t>
      </w:r>
    </w:p>
    <w:p w14:paraId="2C38F8B9">
      <w:pPr>
        <w:spacing w:after="120" w:afterLines="50" w:line="240" w:lineRule="auto"/>
        <w:ind w:left="0" w:leftChars="0" w:firstLine="0" w:firstLineChars="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</w:p>
    <w:p w14:paraId="4A13A388">
      <w:pPr>
        <w:spacing w:after="120" w:afterLines="50" w:line="240" w:lineRule="auto"/>
        <w:ind w:left="0" w:leftChars="0" w:firstLine="0" w:firstLineChars="0"/>
        <w:rPr>
          <w:rFonts w:ascii="黑体" w:hAnsi="华文楷体" w:eastAsia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华文楷体" w:eastAsia="黑体"/>
          <w:color w:val="auto"/>
          <w:sz w:val="24"/>
          <w:szCs w:val="24"/>
          <w:highlight w:val="none"/>
        </w:rPr>
        <w:t>公司名称（盖章）：                              委托代理人（签字）：</w:t>
      </w:r>
    </w:p>
    <w:p w14:paraId="476D3484">
      <w:pPr>
        <w:pStyle w:val="1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</w:p>
    <w:p w14:paraId="3F5F1DB4">
      <w:pPr>
        <w:pStyle w:val="1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</w:p>
    <w:p w14:paraId="086B01F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sectPr>
          <w:pgSz w:w="11906" w:h="16838"/>
          <w:pgMar w:top="1440" w:right="1083" w:bottom="1440" w:left="1083" w:header="851" w:footer="992" w:gutter="0"/>
          <w:pgNumType w:fmt="decimal"/>
          <w:cols w:space="0" w:num="1"/>
          <w:rtlGutter w:val="0"/>
          <w:docGrid w:type="lines" w:linePitch="314" w:charSpace="0"/>
        </w:sectPr>
      </w:pPr>
    </w:p>
    <w:p w14:paraId="7CDE4BA2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附件2：其他材料</w:t>
      </w:r>
    </w:p>
    <w:p w14:paraId="7D103AD2">
      <w:pPr>
        <w:pStyle w:val="9"/>
        <w:ind w:left="0" w:leftChars="0" w:firstLine="0" w:firstLineChars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包括但不限于：</w:t>
      </w:r>
    </w:p>
    <w:p w14:paraId="6163A2E2">
      <w:pPr>
        <w:pStyle w:val="9"/>
        <w:numPr>
          <w:ilvl w:val="0"/>
          <w:numId w:val="0"/>
        </w:numPr>
        <w:ind w:left="0" w:leftChars="0" w:firstLine="0" w:firstLine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1、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营业执照扫描件</w:t>
      </w:r>
    </w:p>
    <w:p w14:paraId="75BA9CDB">
      <w:pPr>
        <w:pStyle w:val="9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2、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产品资料（产品参数及性能）</w:t>
      </w:r>
    </w:p>
    <w:p w14:paraId="1BB2A8EF">
      <w:pPr>
        <w:pStyle w:val="9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3、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实施计划</w:t>
      </w:r>
    </w:p>
    <w:p w14:paraId="32423874">
      <w:pPr>
        <w:pStyle w:val="9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4、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售后方案</w:t>
      </w:r>
    </w:p>
    <w:p w14:paraId="47143B82">
      <w:pPr>
        <w:pStyle w:val="9"/>
        <w:numPr>
          <w:ilvl w:val="0"/>
          <w:numId w:val="0"/>
        </w:numPr>
        <w:ind w:left="0" w:leftChars="0" w:firstLine="0" w:firstLine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5、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业绩案例</w:t>
      </w:r>
    </w:p>
    <w:p w14:paraId="3644FF0B">
      <w:pPr>
        <w:pStyle w:val="9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6、其他所必需的相关材料</w:t>
      </w:r>
    </w:p>
    <w:sectPr>
      <w:pgSz w:w="11906" w:h="16838"/>
      <w:pgMar w:top="1440" w:right="1083" w:bottom="1440" w:left="1083" w:header="851" w:footer="992" w:gutter="0"/>
      <w:pgNumType w:fmt="decimal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14F484-A22B-4AC7-B7A8-A308AE0C0D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Times NR MT Pro Medium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宋?">
    <w:altName w:val="Malgun Gothic"/>
    <w:panose1 w:val="00000000000000000000"/>
    <w:charset w:val="81"/>
    <w:family w:val="roman"/>
    <w:pitch w:val="default"/>
    <w:sig w:usb0="00000000" w:usb1="00000000" w:usb2="0000000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兰亭黑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1E10B8E-2F01-47FD-8ABF-54D6A8107E93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A8EE960A-47D1-460E-AD0E-408CFBB0F1D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406004C-4893-40A6-B00B-41C2688B612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904F513-007C-46D7-9E01-4D8716B5DA8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04925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62FB9A">
                          <w:pPr>
                            <w:pStyle w:val="11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62FB9A">
                    <w:pPr>
                      <w:pStyle w:val="11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722401"/>
    <w:multiLevelType w:val="multilevel"/>
    <w:tmpl w:val="17722401"/>
    <w:lvl w:ilvl="0" w:tentative="0">
      <w:start w:val="1"/>
      <w:numFmt w:val="japaneseCounting"/>
      <w:pStyle w:val="5"/>
      <w:lvlText w:val="%1、"/>
      <w:lvlJc w:val="left"/>
      <w:pPr>
        <w:ind w:left="464" w:hanging="720"/>
      </w:pPr>
      <w:rPr>
        <w:rFonts w:hint="default"/>
      </w:rPr>
    </w:lvl>
    <w:lvl w:ilvl="1" w:tentative="0">
      <w:start w:val="1"/>
      <w:numFmt w:val="decimalEnclosedCircle"/>
      <w:lvlText w:val="%2"/>
      <w:lvlJc w:val="left"/>
      <w:pPr>
        <w:ind w:left="544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064" w:hanging="440"/>
      </w:pPr>
    </w:lvl>
    <w:lvl w:ilvl="3" w:tentative="0">
      <w:start w:val="1"/>
      <w:numFmt w:val="decimal"/>
      <w:lvlText w:val="%4."/>
      <w:lvlJc w:val="left"/>
      <w:pPr>
        <w:ind w:left="1504" w:hanging="440"/>
      </w:pPr>
    </w:lvl>
    <w:lvl w:ilvl="4" w:tentative="0">
      <w:start w:val="1"/>
      <w:numFmt w:val="lowerLetter"/>
      <w:lvlText w:val="%5)"/>
      <w:lvlJc w:val="left"/>
      <w:pPr>
        <w:ind w:left="1944" w:hanging="440"/>
      </w:pPr>
    </w:lvl>
    <w:lvl w:ilvl="5" w:tentative="0">
      <w:start w:val="1"/>
      <w:numFmt w:val="lowerRoman"/>
      <w:lvlText w:val="%6."/>
      <w:lvlJc w:val="right"/>
      <w:pPr>
        <w:ind w:left="2384" w:hanging="440"/>
      </w:pPr>
    </w:lvl>
    <w:lvl w:ilvl="6" w:tentative="0">
      <w:start w:val="1"/>
      <w:numFmt w:val="decimal"/>
      <w:lvlText w:val="%7."/>
      <w:lvlJc w:val="left"/>
      <w:pPr>
        <w:ind w:left="2824" w:hanging="440"/>
      </w:pPr>
    </w:lvl>
    <w:lvl w:ilvl="7" w:tentative="0">
      <w:start w:val="1"/>
      <w:numFmt w:val="lowerLetter"/>
      <w:lvlText w:val="%8)"/>
      <w:lvlJc w:val="left"/>
      <w:pPr>
        <w:ind w:left="3264" w:hanging="440"/>
      </w:pPr>
    </w:lvl>
    <w:lvl w:ilvl="8" w:tentative="0">
      <w:start w:val="1"/>
      <w:numFmt w:val="lowerRoman"/>
      <w:lvlText w:val="%9."/>
      <w:lvlJc w:val="right"/>
      <w:pPr>
        <w:ind w:left="3704" w:hanging="440"/>
      </w:pPr>
    </w:lvl>
  </w:abstractNum>
  <w:abstractNum w:abstractNumId="1">
    <w:nsid w:val="6EE46474"/>
    <w:multiLevelType w:val="multilevel"/>
    <w:tmpl w:val="6EE46474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6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75436"/>
    <w:rsid w:val="029C08D4"/>
    <w:rsid w:val="035A42B0"/>
    <w:rsid w:val="0875321F"/>
    <w:rsid w:val="09642E33"/>
    <w:rsid w:val="0AAB1FDD"/>
    <w:rsid w:val="0B7B6E53"/>
    <w:rsid w:val="100D024F"/>
    <w:rsid w:val="146C6B60"/>
    <w:rsid w:val="15285D7F"/>
    <w:rsid w:val="157E6317"/>
    <w:rsid w:val="15D04D45"/>
    <w:rsid w:val="1B307278"/>
    <w:rsid w:val="1D2B42FB"/>
    <w:rsid w:val="1DF9272E"/>
    <w:rsid w:val="22AA0589"/>
    <w:rsid w:val="24050543"/>
    <w:rsid w:val="244605D8"/>
    <w:rsid w:val="26C52776"/>
    <w:rsid w:val="2DAA3F84"/>
    <w:rsid w:val="2E691D1D"/>
    <w:rsid w:val="2FB07FD7"/>
    <w:rsid w:val="3A774F92"/>
    <w:rsid w:val="3CFB52B6"/>
    <w:rsid w:val="3D6469F5"/>
    <w:rsid w:val="3DBA1AA2"/>
    <w:rsid w:val="3E5C4869"/>
    <w:rsid w:val="3FCC680A"/>
    <w:rsid w:val="41007DAA"/>
    <w:rsid w:val="45DB0FAA"/>
    <w:rsid w:val="480A63EB"/>
    <w:rsid w:val="4A2362AE"/>
    <w:rsid w:val="4AFC4A60"/>
    <w:rsid w:val="4C115AA2"/>
    <w:rsid w:val="4CC21E26"/>
    <w:rsid w:val="4EFD134C"/>
    <w:rsid w:val="55CF5109"/>
    <w:rsid w:val="55ED3C3E"/>
    <w:rsid w:val="57117CB6"/>
    <w:rsid w:val="573107A3"/>
    <w:rsid w:val="5AEA704B"/>
    <w:rsid w:val="5B003C94"/>
    <w:rsid w:val="5CB31D19"/>
    <w:rsid w:val="5D66061F"/>
    <w:rsid w:val="5E8720EC"/>
    <w:rsid w:val="5EE9209B"/>
    <w:rsid w:val="62DD78C6"/>
    <w:rsid w:val="63DF4A20"/>
    <w:rsid w:val="6836555A"/>
    <w:rsid w:val="684F045C"/>
    <w:rsid w:val="699E1F48"/>
    <w:rsid w:val="6C3138A4"/>
    <w:rsid w:val="6E3767B2"/>
    <w:rsid w:val="6FC06751"/>
    <w:rsid w:val="73793F12"/>
    <w:rsid w:val="769D2894"/>
    <w:rsid w:val="794117F3"/>
    <w:rsid w:val="7BF21EE1"/>
    <w:rsid w:val="7C2C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9"/>
    <w:pPr>
      <w:numPr>
        <w:ilvl w:val="0"/>
        <w:numId w:val="1"/>
      </w:numPr>
      <w:spacing w:before="120" w:after="80"/>
      <w:ind w:firstLineChars="0"/>
      <w:outlineLvl w:val="0"/>
    </w:pPr>
    <w:rPr>
      <w:rFonts w:cs="Times NR MT Pro Medium" w:asciiTheme="majorHAnsi" w:hAnsiTheme="majorHAnsi"/>
      <w:b/>
      <w:bCs/>
      <w:sz w:val="28"/>
      <w:szCs w:val="48"/>
    </w:rPr>
  </w:style>
  <w:style w:type="paragraph" w:styleId="6">
    <w:name w:val="heading 2"/>
    <w:basedOn w:val="1"/>
    <w:next w:val="1"/>
    <w:unhideWhenUsed/>
    <w:qFormat/>
    <w:uiPriority w:val="9"/>
    <w:pPr>
      <w:numPr>
        <w:ilvl w:val="1"/>
        <w:numId w:val="2"/>
      </w:numPr>
      <w:spacing w:before="80" w:after="80"/>
      <w:ind w:firstLineChars="0"/>
      <w:outlineLvl w:val="1"/>
    </w:pPr>
    <w:rPr>
      <w:rFonts w:cs="Times NR MT Pro Medium" w:asciiTheme="majorHAnsi" w:hAnsiTheme="majorHAnsi"/>
      <w:b/>
      <w:bCs/>
      <w:color w:val="000000" w:themeColor="text1"/>
      <w:sz w:val="24"/>
      <w:szCs w:val="40"/>
      <w14:textFill>
        <w14:solidFill>
          <w14:schemeClr w14:val="tx1"/>
        </w14:solidFill>
      </w14:textFill>
    </w:rPr>
  </w:style>
  <w:style w:type="paragraph" w:styleId="7">
    <w:name w:val="heading 3"/>
    <w:basedOn w:val="1"/>
    <w:next w:val="1"/>
    <w:unhideWhenUsed/>
    <w:qFormat/>
    <w:uiPriority w:val="9"/>
    <w:pPr>
      <w:spacing w:before="160" w:after="80"/>
      <w:ind w:left="737" w:firstLine="0" w:firstLineChars="0"/>
      <w:outlineLvl w:val="2"/>
    </w:pPr>
    <w:rPr>
      <w:rFonts w:cs="Times NR MT Pro Medium" w:asciiTheme="majorHAnsi" w:hAnsiTheme="majorHAnsi"/>
      <w:sz w:val="24"/>
      <w:szCs w:val="32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autoRedefine/>
    <w:qFormat/>
    <w:uiPriority w:val="0"/>
    <w:pPr>
      <w:ind w:left="420" w:firstLine="420" w:firstLineChars="200"/>
    </w:pPr>
    <w:rPr>
      <w:rFonts w:eastAsia="宋?"/>
    </w:rPr>
  </w:style>
  <w:style w:type="paragraph" w:customStyle="1" w:styleId="3">
    <w:name w:val="Body Text Indent1"/>
    <w:basedOn w:val="1"/>
    <w:next w:val="4"/>
    <w:autoRedefine/>
    <w:qFormat/>
    <w:uiPriority w:val="0"/>
    <w:pPr>
      <w:ind w:left="200" w:leftChars="200"/>
    </w:pPr>
    <w:rPr>
      <w:rFonts w:ascii="Calibri" w:hAnsi="Calibri"/>
    </w:rPr>
  </w:style>
  <w:style w:type="paragraph" w:customStyle="1" w:styleId="4">
    <w:name w:val="envelope return1"/>
    <w:basedOn w:val="1"/>
    <w:autoRedefine/>
    <w:qFormat/>
    <w:uiPriority w:val="0"/>
    <w:rPr>
      <w:rFonts w:ascii="Arial" w:hAnsi="Arial"/>
    </w:rPr>
  </w:style>
  <w:style w:type="paragraph" w:styleId="8">
    <w:name w:val="Body Text"/>
    <w:basedOn w:val="1"/>
    <w:qFormat/>
    <w:uiPriority w:val="0"/>
    <w:pPr>
      <w:spacing w:after="120"/>
    </w:pPr>
  </w:style>
  <w:style w:type="paragraph" w:styleId="9">
    <w:name w:val="Body Text Indent"/>
    <w:basedOn w:val="1"/>
    <w:qFormat/>
    <w:uiPriority w:val="0"/>
    <w:pPr>
      <w:ind w:left="420" w:leftChars="200"/>
    </w:pPr>
  </w:style>
  <w:style w:type="paragraph" w:styleId="10">
    <w:name w:val="Plain Text"/>
    <w:basedOn w:val="1"/>
    <w:qFormat/>
    <w:uiPriority w:val="0"/>
    <w:rPr>
      <w:rFonts w:ascii="宋体" w:hAnsi="Courier New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1"/>
    <w:basedOn w:val="1"/>
    <w:next w:val="1"/>
    <w:unhideWhenUsed/>
    <w:qFormat/>
    <w:uiPriority w:val="39"/>
    <w:rPr>
      <w:rFonts w:ascii="Calibri" w:hAnsi="Calibri" w:eastAsia="宋体" w:cs="Times New Roman"/>
    </w:rPr>
  </w:style>
  <w:style w:type="paragraph" w:styleId="14">
    <w:name w:val="Body Text Indent 3"/>
    <w:basedOn w:val="1"/>
    <w:qFormat/>
    <w:uiPriority w:val="0"/>
    <w:pPr>
      <w:ind w:firstLine="600" w:firstLineChars="200"/>
    </w:pPr>
    <w:rPr>
      <w:color w:val="FF0000"/>
      <w:sz w:val="30"/>
      <w:szCs w:val="20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Body Text First Indent"/>
    <w:basedOn w:val="8"/>
    <w:qFormat/>
    <w:uiPriority w:val="0"/>
    <w:pPr>
      <w:widowControl/>
      <w:spacing w:after="120"/>
      <w:ind w:firstLine="420" w:firstLineChars="100"/>
      <w:jc w:val="left"/>
    </w:pPr>
    <w:rPr>
      <w:rFonts w:ascii="Times New Roman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Hyperlink"/>
    <w:basedOn w:val="19"/>
    <w:unhideWhenUsed/>
    <w:qFormat/>
    <w:uiPriority w:val="99"/>
    <w:rPr>
      <w:color w:val="0000FF"/>
      <w:u w:val="single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hAnsi="Times New Roman" w:eastAsia="楷体" w:cs="楷体"/>
      <w:color w:val="000000"/>
      <w:sz w:val="24"/>
      <w:szCs w:val="24"/>
      <w:lang w:val="en-US" w:eastAsia="zh-CN" w:bidi="ar-SA"/>
    </w:rPr>
  </w:style>
  <w:style w:type="paragraph" w:customStyle="1" w:styleId="23">
    <w:name w:val="列表段落1"/>
    <w:basedOn w:val="1"/>
    <w:qFormat/>
    <w:uiPriority w:val="0"/>
    <w:pPr>
      <w:ind w:firstLine="420" w:firstLineChars="200"/>
    </w:pPr>
  </w:style>
  <w:style w:type="character" w:customStyle="1" w:styleId="24">
    <w:name w:val="15"/>
    <w:basedOn w:val="19"/>
    <w:qFormat/>
    <w:uiPriority w:val="0"/>
    <w:rPr>
      <w:rFonts w:hint="default" w:ascii="Calibri" w:hAnsi="Calibri" w:cs="Calibri"/>
      <w:b/>
      <w:bCs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customStyle="1" w:styleId="26">
    <w:name w:val="楷体 (中文) 楷体"/>
    <w:qFormat/>
    <w:uiPriority w:val="0"/>
    <w:rPr>
      <w:rFonts w:ascii="楷体" w:hAnsi="楷体" w:eastAsia="楷体"/>
      <w:kern w:val="1"/>
      <w:sz w:val="28"/>
    </w:rPr>
  </w:style>
  <w:style w:type="paragraph" w:customStyle="1" w:styleId="27">
    <w:name w:val="正文11"/>
    <w:basedOn w:val="1"/>
    <w:qFormat/>
    <w:uiPriority w:val="0"/>
    <w:pPr>
      <w:ind w:firstLine="560" w:firstLineChars="200"/>
    </w:pPr>
    <w:rPr>
      <w:rFonts w:ascii="宋体" w:hAnsi="宋体" w:eastAsia="宋体" w:cs="Times New Roman"/>
      <w:sz w:val="28"/>
      <w:szCs w:val="28"/>
    </w:rPr>
  </w:style>
  <w:style w:type="paragraph" w:customStyle="1" w:styleId="28">
    <w:name w:val="0正文"/>
    <w:qFormat/>
    <w:uiPriority w:val="0"/>
    <w:pPr>
      <w:spacing w:line="360" w:lineRule="exact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982de89b-1713-4cf2-b15a-0936f1d08aab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22E8766</paraID>
      <start>0</start>
      <end>2</end>
      <status>unmodified</status>
      <modifiedWord/>
      <trackRevisions>false</trackRevisions>
    </reviewItem>
    <reviewItem>
      <errorID>6e6f408e-7b1c-4a54-903c-7ef3e7e0fc89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6441606B</paraID>
      <start>0</start>
      <end>2</end>
      <status>unmodified</status>
      <modifiedWord/>
      <trackRevisions>false</trackRevisions>
    </reviewItem>
    <reviewItem>
      <errorID>4367791a-001a-4901-8ad9-ee606367275a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3A3BF07A</paraID>
      <start>0</start>
      <end>2</end>
      <status>unmodified</status>
      <modifiedWord/>
      <trackRevisions>false</trackRevisions>
    </reviewItem>
    <reviewItem>
      <errorID>08beaf9c-bb8c-4076-955c-69072b362545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4139060B</paraID>
      <start>104</start>
      <end>105</end>
      <status>unmodified</status>
      <modifiedWord/>
      <trackRevisions>false</trackRevisions>
    </reviewItem>
    <reviewItem>
      <errorID>d5407e11-114b-4fdb-b6a3-863c4eef9f7d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4139060B</paraID>
      <start>113</start>
      <end>114</end>
      <status>unmodified</status>
      <modifiedWord/>
      <trackRevisions>false</trackRevisions>
    </reviewItem>
    <reviewItem>
      <errorID>1dea9e55-c9ce-46e3-8883-7e4e1c062920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20065B4B</paraID>
      <start>5</start>
      <end>6</end>
      <status>unmodified</status>
      <modifiedWord/>
      <trackRevisions>false</trackRevisions>
    </reviewItem>
    <reviewItem>
      <errorID>d226fc0f-e3ae-4f78-a1f6-68d7ab9e1dcc</errorID>
      <errorWord>震动</errorWord>
      <group>L1_Word</group>
      <groupName>字词问题</groupName>
      <ability>L2_Typo</ability>
      <abilityName>字词错误</abilityName>
      <candidateList>
        <item>振动</item>
      </candidateList>
      <explain>存在发音相同字词的误用。</explain>
      <paraID>2F4F1B47</paraID>
      <start>2</start>
      <end>4</end>
      <status>unmodified</status>
      <modifiedWord/>
      <trackRevisions>false</trackRevisions>
    </reviewItem>
    <reviewItem>
      <errorID>b9139fee-8f4b-4f63-a989-c115ae15314e</errorID>
      <errorWord>～</errorWord>
      <group>L1_Format</group>
      <groupName>格式问题</groupName>
      <ability>L2_HalfPunc_CN</ability>
      <abilityName>全半角问题</abilityName>
      <candidateList>
        <item>~</item>
      </candidateList>
      <explain>文本全半角错误。</explain>
      <paraID>44CF0BF7</paraID>
      <start>2</start>
      <end>3</end>
      <status>unmodified</status>
      <modifiedWord/>
      <trackRevisions>false</trackRevisions>
    </reviewItem>
    <reviewItem>
      <errorID>93a15543-eedc-464c-85fa-4b2c414a286c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5983229F</paraID>
      <start>53</start>
      <end>54</end>
      <status>unmodified</status>
      <modifiedWord/>
      <trackRevisions>false</trackRevisions>
    </reviewItem>
    <reviewItem>
      <errorID>c6054b61-db20-48b0-b622-88b7a8a7f7df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5983229F</paraID>
      <start>63</start>
      <end>64</end>
      <status>unmodified</status>
      <modifiedWord/>
      <trackRevisions>false</trackRevisions>
    </reviewItem>
    <reviewItem>
      <errorID>5b5aa9af-1da8-4029-801a-c85a891dc2ec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117C4525</paraID>
      <start>0</start>
      <end>2</end>
      <status>unmodified</status>
      <modifiedWord/>
      <trackRevisions>false</trackRevisions>
    </reviewItem>
    <reviewItem>
      <errorID>8a678b64-be24-4c10-8b64-d08a0fde3ca2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123C9161</paraID>
      <start>0</start>
      <end>2</end>
      <status>unmodified</status>
      <modifiedWord/>
      <trackRevisions>false</trackRevisions>
    </reviewItem>
    <reviewItem>
      <errorID>a3830e96-7b7c-4bfa-8d70-fa5f435adde9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6163A2E2</paraID>
      <start>0</start>
      <end>2</end>
      <status>unmodified</status>
      <modifiedWord/>
      <trackRevisions>false</trackRevisions>
    </reviewItem>
    <reviewItem>
      <errorID>e03615a2-ceed-4f4b-be9a-a866f9c3fa5a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75BA9CDB</paraID>
      <start>0</start>
      <end>2</end>
      <status>unmodified</status>
      <modifiedWord/>
      <trackRevisions>false</trackRevisions>
    </reviewItem>
    <reviewItem>
      <errorID>dcdd46e2-4023-493f-9896-5d7c84ecf2a8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1BB2A8EF</paraID>
      <start>0</start>
      <end>2</end>
      <status>unmodified</status>
      <modifiedWord/>
      <trackRevisions>false</trackRevisions>
    </reviewItem>
    <reviewItem>
      <errorID>73fe4c33-e6a3-4585-8895-81958649801b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32423874</paraID>
      <start>0</start>
      <end>2</end>
      <status>unmodified</status>
      <modifiedWord/>
      <trackRevisions>false</trackRevisions>
    </reviewItem>
    <reviewItem>
      <errorID>4c9572f3-9fcb-49f1-8426-d61416283a17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47143B82</paraID>
      <start>0</start>
      <end>2</end>
      <status>unmodified</status>
      <modifiedWord/>
      <trackRevisions>false</trackRevisions>
    </reviewItem>
    <reviewItem>
      <errorID>0f03abd3-b813-4beb-8abb-56f8e2b86ec0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3644FF0B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40aa9d-5682-42e6-aa84-7130752bd9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3584</Words>
  <Characters>3961</Characters>
  <Lines>0</Lines>
  <Paragraphs>0</Paragraphs>
  <TotalTime>0</TotalTime>
  <ScaleCrop>false</ScaleCrop>
  <LinksUpToDate>false</LinksUpToDate>
  <CharactersWithSpaces>4324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2025-04-03T05:09:00Z</dcterms:created>
  <dc:creator>HP</dc:creator>
  <cp:lastModifiedBy>仲杰</cp:lastModifiedBy>
  <dcterms:modified xsi:type="dcterms:W3CDTF">2026-08-13T13:30:10Z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eyJoZGlkIjoiZTQ4MzhlZGU2YmZhMGFjMjVlNGJjM2ZlYTdmZDg2NTAiLCJ1c2VySWQiOiIyOTgyOTgyOTEifQ==</vt:lpwstr>
  </property>
  <property fmtid="{D5CDD505-2E9C-101B-9397-08002B2CF9AE}" pid="4" name="ICV">
    <vt:lpwstr>2BFD31D5F3FB4B709DBC969892577809_12</vt:lpwstr>
  </property>
</Properties>
</file>