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无磁测量升降平台</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HFBX2025092</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二〇二五年十一月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HFBX2025092</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无磁测量升降平台</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29.5</w:t>
      </w:r>
      <w:bookmarkStart w:id="5" w:name="_GoBack"/>
      <w:bookmarkEnd w:id="5"/>
      <w:r>
        <w:rPr>
          <w:rFonts w:hint="eastAsia" w:ascii="方正兰亭黑简体" w:hAnsi="方正兰亭黑简体" w:eastAsia="方正兰亭黑简体" w:cs="方正兰亭黑简体"/>
          <w:color w:val="auto"/>
          <w:sz w:val="22"/>
          <w:szCs w:val="28"/>
          <w:highlight w:val="none"/>
        </w:rPr>
        <w:t>万元</w:t>
      </w:r>
      <w:r>
        <w:rPr>
          <w:rFonts w:hint="eastAsia" w:ascii="方正兰亭黑简体" w:hAnsi="方正兰亭黑简体" w:eastAsia="方正兰亭黑简体" w:cs="方正兰亭黑简体"/>
          <w:color w:val="auto"/>
          <w:sz w:val="22"/>
          <w:szCs w:val="28"/>
          <w:highlight w:val="none"/>
          <w:lang w:eastAsia="zh-CN"/>
        </w:rPr>
        <w:t>；</w:t>
      </w:r>
    </w:p>
    <w:p w14:paraId="192657F0">
      <w:pPr>
        <w:widowControl/>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根据科研需求，需采购一套无磁测量升降平台。拟采取比选方式实施采购。</w:t>
      </w:r>
      <w:r>
        <w:rPr>
          <w:rFonts w:hint="eastAsia" w:ascii="方正兰亭黑简体" w:hAnsi="方正兰亭黑简体" w:eastAsia="方正兰亭黑简体" w:cs="方正兰亭黑简体"/>
          <w:color w:val="auto"/>
          <w:sz w:val="22"/>
          <w:szCs w:val="28"/>
          <w:highlight w:val="none"/>
          <w:lang w:val="en-US" w:eastAsia="zh-CN"/>
        </w:rPr>
        <w:t>（具体</w:t>
      </w:r>
      <w:r>
        <w:rPr>
          <w:rFonts w:hint="eastAsia" w:ascii="方正兰亭黑简体" w:hAnsi="方正兰亭黑简体" w:eastAsia="方正兰亭黑简体" w:cs="方正兰亭黑简体"/>
          <w:color w:val="auto"/>
          <w:sz w:val="22"/>
          <w:szCs w:val="28"/>
          <w:highlight w:val="none"/>
        </w:rPr>
        <w:t>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14D3599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付款方式：合同内全部设备安装调试完成，经甲方验收合格后的一个月内，甲方应向乙方一次性支付全部合同款项。合同内全部款项均以“银行转账”方式予以支付。</w:t>
      </w:r>
    </w:p>
    <w:p w14:paraId="41BEA8D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w:t>
      </w:r>
      <w:r>
        <w:rPr>
          <w:rFonts w:hint="eastAsia" w:ascii="方正兰亭黑简体" w:hAnsi="方正兰亭黑简体" w:eastAsia="方正兰亭黑简体" w:cs="方正兰亭黑简体"/>
          <w:b/>
          <w:bCs/>
          <w:color w:val="auto"/>
          <w:sz w:val="22"/>
          <w:szCs w:val="28"/>
          <w:highlight w:val="none"/>
          <w:lang w:val="en-US" w:eastAsia="zh-CN"/>
        </w:rPr>
        <w:t>报价</w:t>
      </w:r>
      <w:r>
        <w:rPr>
          <w:rFonts w:hint="eastAsia" w:ascii="方正兰亭黑简体" w:hAnsi="方正兰亭黑简体" w:eastAsia="方正兰亭黑简体" w:cs="方正兰亭黑简体"/>
          <w:b/>
          <w:bCs/>
          <w:color w:val="auto"/>
          <w:sz w:val="22"/>
          <w:szCs w:val="28"/>
          <w:highlight w:val="none"/>
        </w:rPr>
        <w:t>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11</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17</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周一</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张老师021-38284659</w:t>
      </w:r>
    </w:p>
    <w:p w14:paraId="13CA3734">
      <w:pPr>
        <w:jc w:val="left"/>
        <w:rPr>
          <w:rFonts w:hint="eastAsia" w:ascii="方正兰亭黑简体" w:hAnsi="方正兰亭黑简体" w:eastAsia="方正兰亭黑简体" w:cs="方正兰亭黑简体"/>
          <w:color w:val="auto"/>
          <w:sz w:val="22"/>
          <w:szCs w:val="28"/>
          <w:highlight w:val="none"/>
        </w:rPr>
      </w:pPr>
    </w:p>
    <w:p w14:paraId="2D28AC98">
      <w:pPr>
        <w:jc w:val="left"/>
        <w:rPr>
          <w:rFonts w:hint="eastAsia" w:ascii="方正兰亭黑简体" w:hAnsi="方正兰亭黑简体" w:eastAsia="方正兰亭黑简体" w:cs="方正兰亭黑简体"/>
          <w:color w:val="auto"/>
          <w:sz w:val="22"/>
          <w:szCs w:val="28"/>
          <w:highlight w:val="none"/>
        </w:rPr>
      </w:pP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37649CE8">
      <w:pPr>
        <w:pStyle w:val="2"/>
        <w:numPr>
          <w:ilvl w:val="0"/>
          <w:numId w:val="0"/>
        </w:numPr>
        <w:tabs>
          <w:tab w:val="left" w:pos="0"/>
        </w:tabs>
        <w:ind w:right="84" w:rightChars="40"/>
        <w:rPr>
          <w:rFonts w:hint="default" w:ascii="Times New Roman" w:hAnsi="Times New Roman" w:eastAsia="方正兰亭黑简体" w:cs="Times New Roman"/>
          <w:color w:val="auto"/>
          <w:sz w:val="22"/>
          <w:szCs w:val="22"/>
          <w:highlight w:val="none"/>
        </w:rPr>
      </w:pPr>
      <w:bookmarkStart w:id="4" w:name="_Toc144906201"/>
      <w:r>
        <w:rPr>
          <w:rFonts w:hint="default" w:ascii="Times New Roman" w:hAnsi="Times New Roman" w:eastAsia="方正兰亭黑简体" w:cs="Times New Roman"/>
          <w:b/>
          <w:snapToGrid w:val="0"/>
          <w:color w:val="auto"/>
          <w:kern w:val="44"/>
          <w:sz w:val="22"/>
          <w:szCs w:val="22"/>
          <w:highlight w:val="none"/>
          <w:lang w:val="en-US" w:eastAsia="zh-CN" w:bidi="ar-SA"/>
        </w:rPr>
        <w:t>第一章</w:t>
      </w:r>
      <w:r>
        <w:rPr>
          <w:rFonts w:hint="default" w:ascii="Times New Roman" w:hAnsi="Times New Roman" w:eastAsia="方正兰亭黑简体" w:cs="Times New Roman"/>
          <w:color w:val="auto"/>
          <w:sz w:val="22"/>
          <w:szCs w:val="22"/>
          <w:highlight w:val="none"/>
        </w:rPr>
        <w:t xml:space="preserve"> 项目概况及需求</w:t>
      </w:r>
      <w:bookmarkEnd w:id="4"/>
    </w:p>
    <w:p w14:paraId="3BE64688">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项目内容：708所新建实验室安装无磁测量升降平台；</w:t>
      </w:r>
    </w:p>
    <w:p w14:paraId="65D91356">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项目概况：升降平台安装于实验室南北处，制作及安装均采用无磁材料，测磁升降平台由无磁升降机构和无磁承载平台组成。</w:t>
      </w:r>
    </w:p>
    <w:p w14:paraId="429B8A94">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技术要求：南北测磁升降平台安装于南北方向测量重心区域的地下室及一楼地面，地下室空间大小（长×宽×深）12m×12m×2.5m，南北测磁升降架与东西测磁升降架类似，共三层平台，其中间平台可放置121只磁传感器，尺寸小于11m×11m，上下两层平台与东西无磁承载平台相同。</w:t>
      </w:r>
    </w:p>
    <w:p w14:paraId="56862558">
      <w:pPr>
        <w:pStyle w:val="2"/>
        <w:numPr>
          <w:ilvl w:val="0"/>
          <w:numId w:val="0"/>
        </w:numPr>
        <w:tabs>
          <w:tab w:val="left" w:pos="0"/>
        </w:tabs>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b/>
          <w:snapToGrid w:val="0"/>
          <w:color w:val="auto"/>
          <w:kern w:val="44"/>
          <w:sz w:val="22"/>
          <w:szCs w:val="22"/>
          <w:highlight w:val="none"/>
          <w:lang w:val="en-US" w:eastAsia="zh-CN" w:bidi="ar-SA"/>
        </w:rPr>
        <w:t>第二章</w:t>
      </w:r>
      <w:r>
        <w:rPr>
          <w:rFonts w:hint="default" w:ascii="Times New Roman" w:hAnsi="Times New Roman" w:eastAsia="方正兰亭黑简体" w:cs="Times New Roman"/>
          <w:color w:val="auto"/>
          <w:sz w:val="22"/>
          <w:szCs w:val="22"/>
          <w:highlight w:val="none"/>
        </w:rPr>
        <w:t xml:space="preserve"> 技术要求</w:t>
      </w:r>
    </w:p>
    <w:p w14:paraId="1CABC36A">
      <w:pPr>
        <w:pStyle w:val="3"/>
        <w:numPr>
          <w:ilvl w:val="1"/>
          <w:numId w:val="0"/>
        </w:numPr>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eastAsia" w:ascii="Times New Roman" w:hAnsi="Times New Roman" w:eastAsia="方正兰亭黑简体" w:cs="Times New Roman"/>
          <w:b/>
          <w:bCs/>
          <w:color w:val="auto"/>
          <w:kern w:val="2"/>
          <w:sz w:val="22"/>
          <w:szCs w:val="22"/>
          <w:highlight w:val="none"/>
          <w:lang w:val="en-US" w:eastAsia="zh-CN" w:bidi="ar-SA"/>
        </w:rPr>
        <w:t>1.1</w:t>
      </w:r>
      <w:r>
        <w:rPr>
          <w:rFonts w:hint="default" w:ascii="Times New Roman" w:hAnsi="Times New Roman" w:eastAsia="方正兰亭黑简体" w:cs="Times New Roman"/>
          <w:color w:val="auto"/>
          <w:sz w:val="22"/>
          <w:szCs w:val="22"/>
          <w:highlight w:val="none"/>
        </w:rPr>
        <w:t>一、磁测量升降平台</w:t>
      </w:r>
    </w:p>
    <w:p w14:paraId="7A9437A0">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无磁测量升降平台由无磁升降机构和无磁承载平台组成，其结构图如图1所示：</w:t>
      </w:r>
    </w:p>
    <w:p w14:paraId="38AFDBE8">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3729355" cy="3656330"/>
            <wp:effectExtent l="0" t="0" r="444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729355" cy="3656330"/>
                    </a:xfrm>
                    <a:prstGeom prst="rect">
                      <a:avLst/>
                    </a:prstGeom>
                    <a:noFill/>
                    <a:ln>
                      <a:noFill/>
                    </a:ln>
                  </pic:spPr>
                </pic:pic>
              </a:graphicData>
            </a:graphic>
          </wp:inline>
        </w:drawing>
      </w:r>
    </w:p>
    <w:p w14:paraId="5CEDB909">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图1 南北无磁测量升降架结构示意图</w:t>
      </w:r>
    </w:p>
    <w:p w14:paraId="57DD2031">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 无磁升降机构</w:t>
      </w:r>
    </w:p>
    <w:p w14:paraId="60632A24">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1.1 无磁升降机构结构设计</w:t>
      </w:r>
    </w:p>
    <w:p w14:paraId="3143BE58">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无磁升降机构可带动无磁承载平台上下移动，主要由支撑立柱、SBR滑轨、同步部件、配重块以及动力部件组成。</w:t>
      </w:r>
    </w:p>
    <w:p w14:paraId="6BA49299">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1.1.1 支撑立柱</w:t>
      </w:r>
    </w:p>
    <w:p w14:paraId="0EFE6CEC">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根据地下室空间尺寸以及平台要求尺寸，南北无磁测量升降平台支撑立柱采用HW150×150铝合金H型钢焊接组装而成，连接处采用焊接连接，主体材料采用6061-T6牌号铝合金，铝合金型材于厂内提前进行切割打坡口，并在出厂前完成部分结构的焊接工作，出场时检验其尺寸满足尺寸设计要求，之后于现场进行剩余的焊接组装工作。</w:t>
      </w:r>
    </w:p>
    <w:p w14:paraId="3532EC70">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最终完成后单根无磁升降平台立柱如下图2（左）所示，外形尺寸约为（长×宽×高）1040mm×620mmm×10000mm。南北测量平台共6根，全部安装完成后如图2（右）所示，其形成的支撑框架总体外形尺寸约为（长×宽×高）10090mm×8030mm×10000mm。</w:t>
      </w:r>
    </w:p>
    <w:p w14:paraId="18883CE9">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805180" cy="2879725"/>
            <wp:effectExtent l="0" t="0" r="13970" b="1587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stretch>
                      <a:fillRect/>
                    </a:stretch>
                  </pic:blipFill>
                  <pic:spPr>
                    <a:xfrm>
                      <a:off x="0" y="0"/>
                      <a:ext cx="805180" cy="2879725"/>
                    </a:xfrm>
                    <a:prstGeom prst="rect">
                      <a:avLst/>
                    </a:prstGeom>
                    <a:noFill/>
                    <a:ln>
                      <a:noFill/>
                    </a:ln>
                  </pic:spPr>
                </pic:pic>
              </a:graphicData>
            </a:graphic>
          </wp:inline>
        </w:drawing>
      </w:r>
      <w:r>
        <w:rPr>
          <w:rFonts w:hint="default" w:ascii="Times New Roman" w:hAnsi="Times New Roman" w:eastAsia="方正兰亭黑简体" w:cs="Times New Roman"/>
          <w:color w:val="auto"/>
          <w:sz w:val="22"/>
          <w:szCs w:val="22"/>
          <w:highlight w:val="none"/>
        </w:rPr>
        <w:t xml:space="preserve">      </w:t>
      </w:r>
      <w:r>
        <w:rPr>
          <w:rFonts w:hint="default" w:ascii="Times New Roman" w:hAnsi="Times New Roman" w:eastAsia="方正兰亭黑简体" w:cs="Times New Roman"/>
          <w:color w:val="auto"/>
          <w:sz w:val="22"/>
          <w:szCs w:val="22"/>
          <w:highlight w:val="none"/>
        </w:rPr>
        <w:drawing>
          <wp:inline distT="0" distB="0" distL="114300" distR="114300">
            <wp:extent cx="3126740" cy="2879725"/>
            <wp:effectExtent l="0" t="0" r="16510" b="1587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7"/>
                    <a:stretch>
                      <a:fillRect/>
                    </a:stretch>
                  </pic:blipFill>
                  <pic:spPr>
                    <a:xfrm>
                      <a:off x="0" y="0"/>
                      <a:ext cx="3126740" cy="2879725"/>
                    </a:xfrm>
                    <a:prstGeom prst="rect">
                      <a:avLst/>
                    </a:prstGeom>
                    <a:noFill/>
                    <a:ln>
                      <a:noFill/>
                    </a:ln>
                  </pic:spPr>
                </pic:pic>
              </a:graphicData>
            </a:graphic>
          </wp:inline>
        </w:drawing>
      </w:r>
    </w:p>
    <w:p w14:paraId="61F8BB6D">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图2  南北无磁测量升降平台支撑立柱示意图</w:t>
      </w:r>
    </w:p>
    <w:p w14:paraId="155FC7DE">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铝型材框架下方与地面通过连接件以及无磁不锈钢膨胀螺栓与地面连接，用于固定支撑立柱，其结构示意图如图3所示：</w:t>
      </w:r>
    </w:p>
    <w:p w14:paraId="3288A4A2">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4319905" cy="2258695"/>
            <wp:effectExtent l="0" t="0" r="4445" b="825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8"/>
                    <a:stretch>
                      <a:fillRect/>
                    </a:stretch>
                  </pic:blipFill>
                  <pic:spPr>
                    <a:xfrm>
                      <a:off x="0" y="0"/>
                      <a:ext cx="4319905" cy="2258695"/>
                    </a:xfrm>
                    <a:prstGeom prst="rect">
                      <a:avLst/>
                    </a:prstGeom>
                    <a:noFill/>
                    <a:ln>
                      <a:noFill/>
                    </a:ln>
                  </pic:spPr>
                </pic:pic>
              </a:graphicData>
            </a:graphic>
          </wp:inline>
        </w:drawing>
      </w:r>
    </w:p>
    <w:p w14:paraId="7B091FE7">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图3  支撑柱安装结构示意图</w:t>
      </w:r>
    </w:p>
    <w:p w14:paraId="1F18DD74">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为进一步加强其结构强度，将框架连接为整体结构。连接采用H型钢HW125×125铝合金型材。加强后，立柱框架如下图所示：</w:t>
      </w:r>
    </w:p>
    <w:p w14:paraId="055669B7">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3599815" cy="3141345"/>
            <wp:effectExtent l="0" t="0" r="63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599815" cy="3141345"/>
                    </a:xfrm>
                    <a:prstGeom prst="rect">
                      <a:avLst/>
                    </a:prstGeom>
                    <a:noFill/>
                    <a:ln>
                      <a:noFill/>
                    </a:ln>
                  </pic:spPr>
                </pic:pic>
              </a:graphicData>
            </a:graphic>
          </wp:inline>
        </w:drawing>
      </w:r>
    </w:p>
    <w:p w14:paraId="7FA06DD7">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图4  支撑柱安装结构加强示意图</w:t>
      </w:r>
    </w:p>
    <w:p w14:paraId="5C5929B8">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1.1.2 SBR滑轨</w:t>
      </w:r>
    </w:p>
    <w:p w14:paraId="31317AA6">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1）SBR滑轨选型设计</w:t>
      </w:r>
    </w:p>
    <w:p w14:paraId="6499C55D">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测量平台上下移动所使用的轨道采用SBR轨道，其包含铝托和光轴，常见型号有SBR16、SBR20、SBR25、SBR30、SBR35、SBR40、SBR50，数字代表光轴直径大小，设计采用SBR30型滑轨，为安装铝托，在支撑柱上打孔，铝托与支撑柱之间通过TC4钛合金螺钉连接，其结构示意图如图4所示，SBR滑轨实物图如图5所示：</w:t>
      </w:r>
    </w:p>
    <w:p w14:paraId="7C87FF7D">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2945130" cy="2520315"/>
            <wp:effectExtent l="0" t="0" r="7620" b="1333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0"/>
                    <a:stretch>
                      <a:fillRect/>
                    </a:stretch>
                  </pic:blipFill>
                  <pic:spPr>
                    <a:xfrm>
                      <a:off x="0" y="0"/>
                      <a:ext cx="2945130" cy="2520315"/>
                    </a:xfrm>
                    <a:prstGeom prst="rect">
                      <a:avLst/>
                    </a:prstGeom>
                    <a:noFill/>
                    <a:ln>
                      <a:noFill/>
                    </a:ln>
                  </pic:spPr>
                </pic:pic>
              </a:graphicData>
            </a:graphic>
          </wp:inline>
        </w:drawing>
      </w:r>
    </w:p>
    <w:p w14:paraId="51918BFB">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图5  SBR滑轨结构示意图</w:t>
      </w:r>
    </w:p>
    <w:p w14:paraId="7456F0A8">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0" distR="0">
            <wp:extent cx="3284220" cy="1683385"/>
            <wp:effectExtent l="0" t="0" r="11430"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94157" cy="1688722"/>
                    </a:xfrm>
                    <a:prstGeom prst="rect">
                      <a:avLst/>
                    </a:prstGeom>
                    <a:noFill/>
                    <a:ln>
                      <a:noFill/>
                    </a:ln>
                  </pic:spPr>
                </pic:pic>
              </a:graphicData>
            </a:graphic>
          </wp:inline>
        </w:drawing>
      </w:r>
    </w:p>
    <w:p w14:paraId="3BD7334B">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图6  SBR滑轨实物参考图</w:t>
      </w:r>
    </w:p>
    <w:p w14:paraId="4AEB19DC">
      <w:pPr>
        <w:ind w:right="84" w:rightChars="40"/>
        <w:rPr>
          <w:rFonts w:hint="default" w:ascii="Times New Roman" w:hAnsi="Times New Roman" w:eastAsia="方正兰亭黑简体" w:cs="Times New Roman"/>
          <w:color w:val="auto"/>
          <w:sz w:val="22"/>
          <w:szCs w:val="22"/>
          <w:highlight w:val="none"/>
        </w:rPr>
      </w:pPr>
    </w:p>
    <w:p w14:paraId="154E009E">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2）SBR滑轨材料设计</w:t>
      </w:r>
    </w:p>
    <w:p w14:paraId="2F16E760">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常见SBR滑轨铝托为铝合金制作，光轴为7075铝棒制作，现决定采购对应型号铝托，上方光轴由7075铝合金棒加工而成，铝合金胚料直径32mm，加工至要求直径30mm，光轴与铝托通过6061-T6铝合金螺丝连接组装，满足SBR滑轨无磁化要求。</w:t>
      </w:r>
    </w:p>
    <w:p w14:paraId="14C28D1C">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1.1.3 同步部件</w:t>
      </w:r>
    </w:p>
    <w:p w14:paraId="5BCE9ED2">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1）同步部件结构设计</w:t>
      </w:r>
    </w:p>
    <w:p w14:paraId="362004FC">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同步部件设计在无磁承载平台两端，一套移动平台由左右两套同步部件带动上下移动，单套同步部件由同步轮、同步带、同步轴以及同步轴支撑座组成，同步带初步设计选型长度为20m带宽50mm齿形为AT20，其同步轮设计与同步带匹配，同步轴直径约30mm，由动力组件带动同步轴转动，动力组件左右各一套（详见1.1.5动力部件），通过同步带带动移动平台上下移动，三套移动平台共用8根SBR轨道，由于中层大平面尺寸较大，设计为由两套同步部件覆盖整个大平面的4个点同步带动中层大平面承载平台上下移动，上中下每套无磁承载平台均设计有独立的同步部件，以实现每套小车的单独移动，其结构图如图6、图7所示：</w:t>
      </w:r>
    </w:p>
    <w:p w14:paraId="3AE2DBA1">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4319905" cy="3157220"/>
            <wp:effectExtent l="0" t="0" r="4445" b="508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2"/>
                    <a:stretch>
                      <a:fillRect/>
                    </a:stretch>
                  </pic:blipFill>
                  <pic:spPr>
                    <a:xfrm>
                      <a:off x="0" y="0"/>
                      <a:ext cx="4319905" cy="3157220"/>
                    </a:xfrm>
                    <a:prstGeom prst="rect">
                      <a:avLst/>
                    </a:prstGeom>
                    <a:noFill/>
                    <a:ln>
                      <a:noFill/>
                    </a:ln>
                  </pic:spPr>
                </pic:pic>
              </a:graphicData>
            </a:graphic>
          </wp:inline>
        </w:drawing>
      </w:r>
    </w:p>
    <w:p w14:paraId="35D7A7E9">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图7  同步部件结构图一</w:t>
      </w:r>
    </w:p>
    <w:p w14:paraId="519C59D8">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114300" distR="114300">
            <wp:extent cx="4319905" cy="3288665"/>
            <wp:effectExtent l="0" t="0" r="4445" b="698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3"/>
                    <a:stretch>
                      <a:fillRect/>
                    </a:stretch>
                  </pic:blipFill>
                  <pic:spPr>
                    <a:xfrm>
                      <a:off x="0" y="0"/>
                      <a:ext cx="4319905" cy="3288665"/>
                    </a:xfrm>
                    <a:prstGeom prst="rect">
                      <a:avLst/>
                    </a:prstGeom>
                    <a:noFill/>
                    <a:ln>
                      <a:noFill/>
                    </a:ln>
                  </pic:spPr>
                </pic:pic>
              </a:graphicData>
            </a:graphic>
          </wp:inline>
        </w:drawing>
      </w:r>
    </w:p>
    <w:p w14:paraId="7A35757C">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图8  同步部件结构图二</w:t>
      </w:r>
    </w:p>
    <w:p w14:paraId="3F98285B">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为保证升降平台升降运行平稳，同步带设置张紧装置，使得同步带运行时保持一定的预紧力。张紧装置采用紧定螺钉配合黄铜弹簧，以保证试验室中无磁环境。</w:t>
      </w:r>
    </w:p>
    <w:p w14:paraId="497A0BB3">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此外为保证四条同步带的同步性，四条同步带采用单膜具一体制造，以此保证四条同步带，外形尺寸完全相同，具有良好的同步性。</w:t>
      </w:r>
    </w:p>
    <w:p w14:paraId="6780B75E">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3)同步部件材料设计</w:t>
      </w:r>
    </w:p>
    <w:p w14:paraId="392258CF">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同步部件中同步带由聚氨酯加工而成，其内部设有凯夫拉线芯，同步轮采用铝合金7075加工而成，内部设有陶瓷轴承，同步轴采用黄铜加工而成，同步轴支撑座采用6061铝合金加工而成，内部设有陶瓷轴承，满足同步部件无磁化要求。</w:t>
      </w:r>
    </w:p>
    <w:p w14:paraId="309DEA13">
      <w:pPr>
        <w:pStyle w:val="4"/>
        <w:ind w:left="0" w:leftChars="0" w:right="84" w:rightChars="4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1.2 无磁升降机构行程说明</w:t>
      </w:r>
    </w:p>
    <w:p w14:paraId="0399AEA8">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无磁升降机构行程示意图如图9所示，尺寸L0：平台的行程，尺寸G0、G1：大小平台在升降机构中的空间尺寸，尺寸D0：地坑的高度，尺寸D1：地面至楼顶的高度。</w:t>
      </w:r>
    </w:p>
    <w:p w14:paraId="7D491318">
      <w:pPr>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大小平台在升降机构中占用的空间高度（G0+G1）大约1.2～1.5米，因此，行程L0=（D0+D1）-（G0+G1）=（2.5米+6米）-1.5米=7米。</w:t>
      </w:r>
    </w:p>
    <w:p w14:paraId="3648C039">
      <w:pPr>
        <w:pStyle w:val="26"/>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drawing>
          <wp:inline distT="0" distB="0" distL="0" distR="0">
            <wp:extent cx="4417695" cy="3123565"/>
            <wp:effectExtent l="0" t="0" r="190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22247" cy="3126879"/>
                    </a:xfrm>
                    <a:prstGeom prst="rect">
                      <a:avLst/>
                    </a:prstGeom>
                    <a:noFill/>
                    <a:ln>
                      <a:noFill/>
                    </a:ln>
                  </pic:spPr>
                </pic:pic>
              </a:graphicData>
            </a:graphic>
          </wp:inline>
        </w:drawing>
      </w:r>
    </w:p>
    <w:p w14:paraId="2356A529">
      <w:pPr>
        <w:pStyle w:val="27"/>
        <w:ind w:right="84" w:rightChars="4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图9  无磁升降机构行程图</w:t>
      </w:r>
    </w:p>
    <w:p w14:paraId="5516D9AE">
      <w:pPr>
        <w:ind w:right="84" w:rightChars="40"/>
        <w:rPr>
          <w:rFonts w:hint="default" w:ascii="Times New Roman" w:hAnsi="Times New Roman" w:eastAsia="方正兰亭黑简体" w:cs="Times New Roman"/>
          <w:color w:val="auto"/>
          <w:sz w:val="22"/>
          <w:szCs w:val="22"/>
          <w:highlight w:val="none"/>
        </w:rPr>
      </w:pPr>
    </w:p>
    <w:p w14:paraId="34E97200">
      <w:pPr>
        <w:spacing w:line="360" w:lineRule="auto"/>
        <w:ind w:right="84" w:rightChars="40"/>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二</w:t>
      </w:r>
      <w:r>
        <w:rPr>
          <w:rFonts w:hint="default" w:ascii="Times New Roman" w:hAnsi="Times New Roman" w:eastAsia="方正兰亭黑简体" w:cs="Times New Roman"/>
          <w:b/>
          <w:bCs/>
          <w:color w:val="auto"/>
          <w:sz w:val="22"/>
          <w:szCs w:val="22"/>
          <w:highlight w:val="none"/>
          <w:lang w:val="en-US" w:eastAsia="zh-CN"/>
        </w:rPr>
        <w:t>、</w:t>
      </w:r>
      <w:r>
        <w:rPr>
          <w:rFonts w:hint="eastAsia" w:ascii="方正兰亭黑简体" w:hAnsi="方正兰亭黑简体" w:eastAsia="方正兰亭黑简体" w:cs="方正兰亭黑简体"/>
          <w:b/>
          <w:bCs/>
          <w:color w:val="auto"/>
          <w:sz w:val="24"/>
          <w:szCs w:val="32"/>
          <w:highlight w:val="none"/>
          <w:lang w:val="en-US" w:eastAsia="zh-CN"/>
        </w:rPr>
        <w:t>其他要求</w:t>
      </w:r>
    </w:p>
    <w:p w14:paraId="6F1991E9">
      <w:pPr>
        <w:spacing w:line="360" w:lineRule="auto"/>
        <w:ind w:right="84" w:rightChars="40"/>
        <w:rPr>
          <w:rFonts w:hint="eastAsia" w:ascii="Times New Roman" w:hAnsi="Times New Roman" w:eastAsia="方正兰亭黑简体" w:cs="Times New Roman"/>
          <w:color w:val="auto"/>
          <w:sz w:val="22"/>
          <w:szCs w:val="22"/>
          <w:highlight w:val="none"/>
        </w:rPr>
      </w:pPr>
      <w:r>
        <w:rPr>
          <w:rFonts w:hint="eastAsia" w:ascii="Times New Roman" w:hAnsi="Times New Roman" w:eastAsia="方正兰亭黑简体" w:cs="Times New Roman"/>
          <w:color w:val="auto"/>
          <w:sz w:val="22"/>
          <w:szCs w:val="22"/>
          <w:highlight w:val="none"/>
          <w:lang w:val="en-US" w:eastAsia="zh-CN"/>
        </w:rPr>
        <w:t>1、</w:t>
      </w:r>
      <w:r>
        <w:rPr>
          <w:rFonts w:hint="eastAsia" w:ascii="Times New Roman" w:hAnsi="Times New Roman" w:eastAsia="方正兰亭黑简体" w:cs="Times New Roman"/>
          <w:color w:val="auto"/>
          <w:sz w:val="22"/>
          <w:szCs w:val="22"/>
          <w:highlight w:val="none"/>
        </w:rPr>
        <w:t>货物须为设备原厂制造并检验合格，全新、未被使用过。设备到货时，须确保产品包装完好、所有标识清晰、封条完整。</w:t>
      </w:r>
    </w:p>
    <w:p w14:paraId="7FC5A21A">
      <w:pPr>
        <w:spacing w:line="360" w:lineRule="auto"/>
        <w:ind w:right="84" w:rightChars="40"/>
        <w:rPr>
          <w:rFonts w:hint="default"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t>2、验收要求：符合上述技术指标所提出的要求。</w:t>
      </w:r>
    </w:p>
    <w:p w14:paraId="3CAC4358">
      <w:pPr>
        <w:spacing w:line="360" w:lineRule="auto"/>
        <w:ind w:right="84" w:rightChars="40"/>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t>3、免费维保期：质保期不少于一年。保修期间，提供免费上门维修、更换非人为原因损坏零部件及技术咨询服务。</w:t>
      </w:r>
    </w:p>
    <w:p w14:paraId="337864DB">
      <w:pPr>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0"/>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rPr>
        <w:t>具体评分细则如下：</w:t>
      </w:r>
    </w:p>
    <w:tbl>
      <w:tblPr>
        <w:tblStyle w:val="16"/>
        <w:tblW w:w="498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3"/>
        <w:gridCol w:w="1734"/>
        <w:gridCol w:w="713"/>
        <w:gridCol w:w="6830"/>
      </w:tblGrid>
      <w:tr w14:paraId="64002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742FB554">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序号</w:t>
            </w:r>
          </w:p>
        </w:tc>
        <w:tc>
          <w:tcPr>
            <w:tcW w:w="873" w:type="pct"/>
            <w:noWrap w:val="0"/>
            <w:vAlign w:val="center"/>
          </w:tcPr>
          <w:p w14:paraId="5F54B63A">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评审因素</w:t>
            </w:r>
          </w:p>
        </w:tc>
        <w:tc>
          <w:tcPr>
            <w:tcW w:w="359" w:type="pct"/>
            <w:noWrap w:val="0"/>
            <w:vAlign w:val="center"/>
          </w:tcPr>
          <w:p w14:paraId="25FE165D">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分值</w:t>
            </w:r>
          </w:p>
        </w:tc>
        <w:tc>
          <w:tcPr>
            <w:tcW w:w="3436" w:type="pct"/>
            <w:noWrap w:val="0"/>
            <w:vAlign w:val="center"/>
          </w:tcPr>
          <w:p w14:paraId="1A737473">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评分说明</w:t>
            </w:r>
          </w:p>
        </w:tc>
      </w:tr>
      <w:tr w14:paraId="41C4C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FFFCA77">
            <w:pPr>
              <w:spacing w:line="36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7E29D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0CE2961">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873" w:type="pct"/>
            <w:noWrap w:val="0"/>
            <w:vAlign w:val="center"/>
          </w:tcPr>
          <w:p w14:paraId="69DFDD83">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5224EE0B">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4CB6FE5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30</w:t>
            </w:r>
          </w:p>
        </w:tc>
        <w:tc>
          <w:tcPr>
            <w:tcW w:w="3436" w:type="pct"/>
            <w:noWrap w:val="0"/>
            <w:vAlign w:val="center"/>
          </w:tcPr>
          <w:p w14:paraId="7EE17EC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的报价为基准价，其价格分为满分30分。其他报价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w:t>
            </w:r>
          </w:p>
          <w:p w14:paraId="00A2DA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报价得分＝30×（评标基准价/投标报价）。</w:t>
            </w:r>
          </w:p>
        </w:tc>
      </w:tr>
      <w:tr w14:paraId="1CE67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14AC12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603C3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9B4451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873" w:type="pct"/>
            <w:noWrap w:val="0"/>
            <w:vAlign w:val="center"/>
          </w:tcPr>
          <w:p w14:paraId="4BAF216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654A2B2C">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C2DAE4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436" w:type="pct"/>
            <w:noWrap w:val="0"/>
            <w:vAlign w:val="center"/>
          </w:tcPr>
          <w:p w14:paraId="4A5A3383">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11</w:t>
            </w:r>
            <w:r>
              <w:rPr>
                <w:rFonts w:hint="eastAsia" w:ascii="方正兰亭黑简体" w:hAnsi="方正兰亭黑简体" w:eastAsia="方正兰亭黑简体" w:cs="方正兰亭黑简体"/>
                <w:color w:val="auto"/>
                <w:sz w:val="20"/>
                <w:szCs w:val="20"/>
                <w:highlight w:val="none"/>
              </w:rPr>
              <w:t>月1日起至今）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4674D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47D3766">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873" w:type="pct"/>
            <w:noWrap w:val="0"/>
            <w:vAlign w:val="center"/>
          </w:tcPr>
          <w:p w14:paraId="069DEA50">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技术响应程度</w:t>
            </w:r>
          </w:p>
          <w:p w14:paraId="1793C67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0332D36">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436" w:type="pct"/>
            <w:shd w:val="clear" w:color="auto" w:fill="auto"/>
            <w:noWrap w:val="0"/>
            <w:vAlign w:val="center"/>
          </w:tcPr>
          <w:p w14:paraId="7461B042">
            <w:pPr>
              <w:spacing w:line="360" w:lineRule="auto"/>
              <w:jc w:val="both"/>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分；扣完为止。</w:t>
            </w:r>
          </w:p>
        </w:tc>
      </w:tr>
      <w:tr w14:paraId="32155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7884245">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873" w:type="pct"/>
            <w:tcBorders>
              <w:top w:val="single" w:color="auto" w:sz="6" w:space="0"/>
              <w:left w:val="single" w:color="auto" w:sz="6" w:space="0"/>
              <w:bottom w:val="single" w:color="auto" w:sz="6" w:space="0"/>
              <w:right w:val="single" w:color="auto" w:sz="6" w:space="0"/>
            </w:tcBorders>
            <w:noWrap w:val="0"/>
            <w:vAlign w:val="center"/>
          </w:tcPr>
          <w:p w14:paraId="5083A718">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产品性能介绍</w:t>
            </w:r>
          </w:p>
          <w:p w14:paraId="1A5865D0">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3662F0A0">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36" w:type="pct"/>
            <w:noWrap w:val="0"/>
            <w:vAlign w:val="center"/>
          </w:tcPr>
          <w:p w14:paraId="37F6985E">
            <w:pPr>
              <w:spacing w:line="360" w:lineRule="auto"/>
              <w:jc w:val="both"/>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8～10</w:t>
            </w:r>
            <w:r>
              <w:rPr>
                <w:rFonts w:hint="eastAsia" w:ascii="方正兰亭黑简体" w:hAnsi="方正兰亭黑简体" w:eastAsia="方正兰亭黑简体" w:cs="方正兰亭黑简体"/>
                <w:color w:val="auto"/>
                <w:sz w:val="20"/>
                <w:szCs w:val="20"/>
                <w:highlight w:val="none"/>
              </w:rPr>
              <w:t>分）：详细介绍了产品的各项性能参数</w:t>
            </w:r>
            <w:r>
              <w:rPr>
                <w:rFonts w:hint="eastAsia" w:ascii="方正兰亭黑简体" w:hAnsi="方正兰亭黑简体" w:eastAsia="方正兰亭黑简体" w:cs="方正兰亭黑简体"/>
                <w:color w:val="auto"/>
                <w:sz w:val="20"/>
                <w:szCs w:val="20"/>
                <w:highlight w:val="none"/>
                <w:lang w:eastAsia="zh-CN"/>
              </w:rPr>
              <w:t>。</w:t>
            </w:r>
          </w:p>
          <w:p w14:paraId="62A7189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5～7</w:t>
            </w:r>
            <w:r>
              <w:rPr>
                <w:rFonts w:hint="eastAsia" w:ascii="方正兰亭黑简体" w:hAnsi="方正兰亭黑简体" w:eastAsia="方正兰亭黑简体" w:cs="方正兰亭黑简体"/>
                <w:color w:val="auto"/>
                <w:sz w:val="20"/>
                <w:szCs w:val="20"/>
                <w:highlight w:val="none"/>
              </w:rPr>
              <w:t>分）：较全面地介绍了产品的性能参数。</w:t>
            </w:r>
          </w:p>
          <w:p w14:paraId="70A493C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2～4</w:t>
            </w:r>
            <w:r>
              <w:rPr>
                <w:rFonts w:hint="eastAsia" w:ascii="方正兰亭黑简体" w:hAnsi="方正兰亭黑简体" w:eastAsia="方正兰亭黑简体" w:cs="方正兰亭黑简体"/>
                <w:color w:val="auto"/>
                <w:sz w:val="20"/>
                <w:szCs w:val="20"/>
                <w:highlight w:val="none"/>
              </w:rPr>
              <w:t>分）：介绍了部分性能参数，但不够全面或详细。</w:t>
            </w:r>
          </w:p>
          <w:p w14:paraId="0BEE09A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分）：性能参数介绍不完整或存在明显错误。</w:t>
            </w:r>
          </w:p>
        </w:tc>
      </w:tr>
      <w:tr w14:paraId="261A6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063649C8">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873" w:type="pct"/>
            <w:noWrap w:val="0"/>
            <w:vAlign w:val="center"/>
          </w:tcPr>
          <w:p w14:paraId="555CFAE5">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技术支持与</w:t>
            </w:r>
            <w:r>
              <w:rPr>
                <w:rFonts w:hint="eastAsia" w:ascii="方正兰亭黑简体" w:hAnsi="方正兰亭黑简体" w:eastAsia="方正兰亭黑简体" w:cs="方正兰亭黑简体"/>
                <w:color w:val="auto"/>
                <w:sz w:val="20"/>
                <w:szCs w:val="20"/>
                <w:highlight w:val="none"/>
                <w:lang w:val="en-US" w:eastAsia="zh-CN"/>
              </w:rPr>
              <w:t>售后</w:t>
            </w:r>
            <w:r>
              <w:rPr>
                <w:rFonts w:hint="eastAsia" w:ascii="方正兰亭黑简体" w:hAnsi="方正兰亭黑简体" w:eastAsia="方正兰亭黑简体" w:cs="方正兰亭黑简体"/>
                <w:color w:val="auto"/>
                <w:sz w:val="20"/>
                <w:szCs w:val="20"/>
                <w:highlight w:val="none"/>
              </w:rPr>
              <w:t>服务</w:t>
            </w:r>
          </w:p>
          <w:p w14:paraId="1F53F634">
            <w:pPr>
              <w:pStyle w:val="15"/>
              <w:spacing w:line="360" w:lineRule="auto"/>
              <w:ind w:firstLine="200" w:firstLineChars="100"/>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D753253">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436" w:type="pct"/>
            <w:noWrap w:val="0"/>
            <w:vAlign w:val="center"/>
          </w:tcPr>
          <w:p w14:paraId="566D5B29">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12～15</w:t>
            </w:r>
            <w:r>
              <w:rPr>
                <w:rFonts w:hint="eastAsia" w:ascii="方正兰亭黑简体" w:hAnsi="方正兰亭黑简体" w:eastAsia="方正兰亭黑简体" w:cs="方正兰亭黑简体"/>
                <w:color w:val="auto"/>
                <w:sz w:val="20"/>
                <w:szCs w:val="20"/>
                <w:highlight w:val="none"/>
              </w:rPr>
              <w:t>分）：提供了详尽的技术支持方案</w:t>
            </w:r>
            <w:r>
              <w:rPr>
                <w:rFonts w:hint="eastAsia" w:ascii="方正兰亭黑简体" w:hAnsi="方正兰亭黑简体" w:eastAsia="方正兰亭黑简体" w:cs="方正兰亭黑简体"/>
                <w:color w:val="auto"/>
                <w:sz w:val="20"/>
                <w:szCs w:val="20"/>
                <w:highlight w:val="none"/>
                <w:lang w:val="en-US" w:eastAsia="zh-CN"/>
              </w:rPr>
              <w:t>以及售后服务方案</w:t>
            </w:r>
            <w:r>
              <w:rPr>
                <w:rFonts w:hint="eastAsia" w:ascii="方正兰亭黑简体" w:hAnsi="方正兰亭黑简体" w:eastAsia="方正兰亭黑简体" w:cs="方正兰亭黑简体"/>
                <w:color w:val="auto"/>
                <w:sz w:val="20"/>
                <w:szCs w:val="20"/>
                <w:highlight w:val="none"/>
              </w:rPr>
              <w:t>，包括快速响应机制、服务承诺等。</w:t>
            </w:r>
          </w:p>
          <w:p w14:paraId="1B65085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8～11</w:t>
            </w:r>
            <w:r>
              <w:rPr>
                <w:rFonts w:hint="eastAsia" w:ascii="方正兰亭黑简体" w:hAnsi="方正兰亭黑简体" w:eastAsia="方正兰亭黑简体" w:cs="方正兰亭黑简体"/>
                <w:color w:val="auto"/>
                <w:sz w:val="20"/>
                <w:szCs w:val="20"/>
                <w:highlight w:val="none"/>
              </w:rPr>
              <w:t>分）：提供了较为全面的技术支持方案</w:t>
            </w:r>
            <w:r>
              <w:rPr>
                <w:rFonts w:hint="eastAsia" w:ascii="方正兰亭黑简体" w:hAnsi="方正兰亭黑简体" w:eastAsia="方正兰亭黑简体" w:cs="方正兰亭黑简体"/>
                <w:color w:val="auto"/>
                <w:sz w:val="20"/>
                <w:szCs w:val="20"/>
                <w:highlight w:val="none"/>
                <w:lang w:val="en-US" w:eastAsia="zh-CN"/>
              </w:rPr>
              <w:t>和售后服务方案</w:t>
            </w:r>
            <w:r>
              <w:rPr>
                <w:rFonts w:hint="eastAsia" w:ascii="方正兰亭黑简体" w:hAnsi="方正兰亭黑简体" w:eastAsia="方正兰亭黑简体" w:cs="方正兰亭黑简体"/>
                <w:color w:val="auto"/>
                <w:sz w:val="20"/>
                <w:szCs w:val="20"/>
                <w:highlight w:val="none"/>
              </w:rPr>
              <w:t>，但计划不够详细。</w:t>
            </w:r>
          </w:p>
          <w:p w14:paraId="2E6A021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4～7</w:t>
            </w:r>
            <w:r>
              <w:rPr>
                <w:rFonts w:hint="eastAsia" w:ascii="方正兰亭黑简体" w:hAnsi="方正兰亭黑简体" w:eastAsia="方正兰亭黑简体" w:cs="方正兰亭黑简体"/>
                <w:color w:val="auto"/>
                <w:sz w:val="20"/>
                <w:szCs w:val="20"/>
                <w:highlight w:val="none"/>
              </w:rPr>
              <w:t>分）：方案较为简单，缺乏</w:t>
            </w:r>
            <w:r>
              <w:rPr>
                <w:rFonts w:hint="eastAsia" w:ascii="方正兰亭黑简体" w:hAnsi="方正兰亭黑简体" w:eastAsia="方正兰亭黑简体" w:cs="方正兰亭黑简体"/>
                <w:color w:val="auto"/>
                <w:sz w:val="20"/>
                <w:szCs w:val="20"/>
                <w:highlight w:val="none"/>
                <w:lang w:val="en-US" w:eastAsia="zh-CN"/>
              </w:rPr>
              <w:t>具体的</w:t>
            </w:r>
            <w:r>
              <w:rPr>
                <w:rFonts w:hint="eastAsia" w:ascii="方正兰亭黑简体" w:hAnsi="方正兰亭黑简体" w:eastAsia="方正兰亭黑简体" w:cs="方正兰亭黑简体"/>
                <w:color w:val="auto"/>
                <w:sz w:val="20"/>
                <w:szCs w:val="20"/>
                <w:highlight w:val="none"/>
              </w:rPr>
              <w:t>计划。</w:t>
            </w:r>
          </w:p>
          <w:p w14:paraId="4BA27702">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分）：未提供技术支持方案或售后服务承诺。</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项目编号：HFBX2025092</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20"/>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5F2988C">
      <w:pPr>
        <w:spacing w:line="440" w:lineRule="exact"/>
        <w:rPr>
          <w:rFonts w:hint="eastAsia" w:ascii="黑体" w:hAnsi="华文楷体" w:eastAsia="黑体"/>
          <w:b/>
          <w:color w:val="auto"/>
          <w:sz w:val="24"/>
          <w:highlight w:val="none"/>
        </w:rPr>
      </w:pP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062"/>
        <w:gridCol w:w="971"/>
        <w:gridCol w:w="1463"/>
        <w:gridCol w:w="581"/>
        <w:gridCol w:w="876"/>
        <w:gridCol w:w="876"/>
        <w:gridCol w:w="1230"/>
        <w:gridCol w:w="1397"/>
      </w:tblGrid>
      <w:tr w14:paraId="481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single" w:color="auto" w:sz="12" w:space="0"/>
              <w:left w:val="single" w:color="auto" w:sz="12" w:space="0"/>
              <w:bottom w:val="double" w:color="auto" w:sz="4" w:space="0"/>
            </w:tcBorders>
            <w:noWrap w:val="0"/>
            <w:vAlign w:val="center"/>
          </w:tcPr>
          <w:p w14:paraId="67E9217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序号</w:t>
            </w:r>
          </w:p>
        </w:tc>
        <w:tc>
          <w:tcPr>
            <w:tcW w:w="1036" w:type="pct"/>
            <w:tcBorders>
              <w:top w:val="single" w:color="auto" w:sz="12" w:space="0"/>
              <w:bottom w:val="double" w:color="auto" w:sz="4" w:space="0"/>
            </w:tcBorders>
            <w:noWrap w:val="0"/>
            <w:vAlign w:val="center"/>
          </w:tcPr>
          <w:p w14:paraId="5FFC86E8">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产品名称</w:t>
            </w:r>
          </w:p>
        </w:tc>
        <w:tc>
          <w:tcPr>
            <w:tcW w:w="488" w:type="pct"/>
            <w:tcBorders>
              <w:top w:val="single" w:color="auto" w:sz="12" w:space="0"/>
              <w:bottom w:val="double" w:color="auto" w:sz="4" w:space="0"/>
            </w:tcBorders>
            <w:noWrap w:val="0"/>
            <w:vAlign w:val="center"/>
          </w:tcPr>
          <w:p w14:paraId="5F8969C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品牌</w:t>
            </w:r>
          </w:p>
        </w:tc>
        <w:tc>
          <w:tcPr>
            <w:tcW w:w="733" w:type="pct"/>
            <w:tcBorders>
              <w:top w:val="single" w:color="auto" w:sz="12" w:space="0"/>
              <w:bottom w:val="double" w:color="auto" w:sz="4" w:space="0"/>
            </w:tcBorders>
            <w:noWrap w:val="0"/>
            <w:vAlign w:val="center"/>
          </w:tcPr>
          <w:p w14:paraId="16AB36D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型号规格</w:t>
            </w:r>
          </w:p>
        </w:tc>
        <w:tc>
          <w:tcPr>
            <w:tcW w:w="292" w:type="pct"/>
            <w:tcBorders>
              <w:top w:val="single" w:color="auto" w:sz="12" w:space="0"/>
              <w:bottom w:val="double" w:color="auto" w:sz="4" w:space="0"/>
            </w:tcBorders>
            <w:noWrap w:val="0"/>
            <w:vAlign w:val="center"/>
          </w:tcPr>
          <w:p w14:paraId="7A41A9B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数量</w:t>
            </w:r>
          </w:p>
        </w:tc>
        <w:tc>
          <w:tcPr>
            <w:tcW w:w="440" w:type="pct"/>
            <w:tcBorders>
              <w:top w:val="single" w:color="auto" w:sz="12" w:space="0"/>
              <w:bottom w:val="double" w:color="auto" w:sz="4" w:space="0"/>
            </w:tcBorders>
            <w:noWrap w:val="0"/>
            <w:vAlign w:val="center"/>
          </w:tcPr>
          <w:p w14:paraId="22044959">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单价</w:t>
            </w:r>
          </w:p>
        </w:tc>
        <w:tc>
          <w:tcPr>
            <w:tcW w:w="440" w:type="pct"/>
            <w:tcBorders>
              <w:top w:val="single" w:color="auto" w:sz="12" w:space="0"/>
              <w:bottom w:val="double" w:color="auto" w:sz="4" w:space="0"/>
            </w:tcBorders>
            <w:noWrap w:val="0"/>
            <w:vAlign w:val="center"/>
          </w:tcPr>
          <w:p w14:paraId="61A1F83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金额</w:t>
            </w:r>
          </w:p>
        </w:tc>
        <w:tc>
          <w:tcPr>
            <w:tcW w:w="618" w:type="pct"/>
            <w:tcBorders>
              <w:top w:val="single" w:color="auto" w:sz="12" w:space="0"/>
              <w:bottom w:val="double" w:color="auto" w:sz="4" w:space="0"/>
            </w:tcBorders>
            <w:noWrap w:val="0"/>
            <w:vAlign w:val="center"/>
          </w:tcPr>
          <w:p w14:paraId="2F9A1E62">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质保时间</w:t>
            </w:r>
          </w:p>
        </w:tc>
        <w:tc>
          <w:tcPr>
            <w:tcW w:w="700" w:type="pct"/>
            <w:tcBorders>
              <w:top w:val="single" w:color="auto" w:sz="12" w:space="0"/>
              <w:bottom w:val="double" w:color="auto" w:sz="4" w:space="0"/>
              <w:right w:val="single" w:color="auto" w:sz="12" w:space="0"/>
            </w:tcBorders>
            <w:noWrap w:val="0"/>
            <w:vAlign w:val="center"/>
          </w:tcPr>
          <w:p w14:paraId="09E42E8D">
            <w:pPr>
              <w:spacing w:line="440" w:lineRule="exact"/>
              <w:jc w:val="center"/>
              <w:rPr>
                <w:rFonts w:hint="eastAsia" w:ascii="黑体" w:hAnsi="华文楷体" w:eastAsia="黑体"/>
                <w:color w:val="auto"/>
                <w:kern w:val="0"/>
                <w:sz w:val="24"/>
                <w:highlight w:val="none"/>
                <w:lang w:eastAsia="zh-CN"/>
              </w:rPr>
            </w:pPr>
            <w:r>
              <w:rPr>
                <w:rFonts w:ascii="黑体" w:hAnsi="华文楷体" w:eastAsia="黑体"/>
                <w:color w:val="auto"/>
                <w:kern w:val="0"/>
                <w:sz w:val="24"/>
                <w:highlight w:val="none"/>
              </w:rPr>
              <w:t>最快供货</w:t>
            </w:r>
            <w:r>
              <w:rPr>
                <w:rFonts w:hint="eastAsia" w:ascii="黑体" w:hAnsi="华文楷体" w:eastAsia="黑体"/>
                <w:color w:val="auto"/>
                <w:kern w:val="0"/>
                <w:sz w:val="24"/>
                <w:highlight w:val="none"/>
                <w:lang w:val="en-US" w:eastAsia="zh-CN"/>
              </w:rPr>
              <w:t>时间</w:t>
            </w:r>
          </w:p>
        </w:tc>
      </w:tr>
      <w:tr w14:paraId="607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double" w:color="auto" w:sz="4" w:space="0"/>
              <w:left w:val="single" w:color="auto" w:sz="12" w:space="0"/>
            </w:tcBorders>
            <w:noWrap w:val="0"/>
            <w:vAlign w:val="top"/>
          </w:tcPr>
          <w:p w14:paraId="6904F50E">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1</w:t>
            </w:r>
          </w:p>
        </w:tc>
        <w:tc>
          <w:tcPr>
            <w:tcW w:w="1036" w:type="pct"/>
            <w:tcBorders>
              <w:top w:val="double" w:color="auto" w:sz="4" w:space="0"/>
            </w:tcBorders>
            <w:noWrap w:val="0"/>
            <w:vAlign w:val="center"/>
          </w:tcPr>
          <w:p w14:paraId="2716FB82">
            <w:pPr>
              <w:ind w:left="-63" w:leftChars="-30" w:right="-63" w:rightChars="-30"/>
              <w:jc w:val="center"/>
              <w:rPr>
                <w:rFonts w:hint="eastAsia" w:ascii="宋体" w:hAnsi="宋体" w:cs="宋体"/>
                <w:color w:val="auto"/>
                <w:sz w:val="18"/>
                <w:szCs w:val="18"/>
                <w:highlight w:val="none"/>
              </w:rPr>
            </w:pPr>
          </w:p>
        </w:tc>
        <w:tc>
          <w:tcPr>
            <w:tcW w:w="488" w:type="pct"/>
            <w:tcBorders>
              <w:top w:val="double" w:color="auto" w:sz="4" w:space="0"/>
            </w:tcBorders>
            <w:noWrap w:val="0"/>
            <w:vAlign w:val="top"/>
          </w:tcPr>
          <w:p w14:paraId="68C63CC3">
            <w:pPr>
              <w:spacing w:line="440" w:lineRule="exact"/>
              <w:jc w:val="center"/>
              <w:rPr>
                <w:rFonts w:ascii="方正仿宋_GB2312" w:hAnsi="华文楷体" w:eastAsia="方正仿宋_GB2312"/>
                <w:color w:val="auto"/>
                <w:kern w:val="0"/>
                <w:sz w:val="24"/>
                <w:highlight w:val="none"/>
              </w:rPr>
            </w:pPr>
          </w:p>
        </w:tc>
        <w:tc>
          <w:tcPr>
            <w:tcW w:w="733" w:type="pct"/>
            <w:tcBorders>
              <w:top w:val="double" w:color="auto" w:sz="4" w:space="0"/>
            </w:tcBorders>
            <w:noWrap w:val="0"/>
            <w:vAlign w:val="top"/>
          </w:tcPr>
          <w:p w14:paraId="2062DBEC">
            <w:pPr>
              <w:spacing w:line="440" w:lineRule="exact"/>
              <w:jc w:val="center"/>
              <w:rPr>
                <w:rFonts w:ascii="方正仿宋_GB2312" w:hAnsi="华文楷体" w:eastAsia="方正仿宋_GB2312"/>
                <w:color w:val="auto"/>
                <w:kern w:val="0"/>
                <w:sz w:val="24"/>
                <w:highlight w:val="none"/>
              </w:rPr>
            </w:pPr>
          </w:p>
        </w:tc>
        <w:tc>
          <w:tcPr>
            <w:tcW w:w="292" w:type="pct"/>
            <w:tcBorders>
              <w:top w:val="double" w:color="auto" w:sz="4" w:space="0"/>
            </w:tcBorders>
            <w:noWrap w:val="0"/>
            <w:vAlign w:val="top"/>
          </w:tcPr>
          <w:p w14:paraId="5576A539">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3366DAB2">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45D03D7C">
            <w:pPr>
              <w:spacing w:line="440" w:lineRule="exact"/>
              <w:jc w:val="center"/>
              <w:rPr>
                <w:rFonts w:ascii="方正仿宋_GB2312" w:hAnsi="华文楷体" w:eastAsia="方正仿宋_GB2312"/>
                <w:color w:val="auto"/>
                <w:kern w:val="0"/>
                <w:sz w:val="24"/>
                <w:highlight w:val="none"/>
              </w:rPr>
            </w:pPr>
          </w:p>
        </w:tc>
        <w:tc>
          <w:tcPr>
            <w:tcW w:w="618" w:type="pct"/>
            <w:tcBorders>
              <w:top w:val="double" w:color="auto" w:sz="4" w:space="0"/>
            </w:tcBorders>
            <w:noWrap w:val="0"/>
            <w:vAlign w:val="top"/>
          </w:tcPr>
          <w:p w14:paraId="014679F0">
            <w:pPr>
              <w:spacing w:line="440" w:lineRule="exact"/>
              <w:jc w:val="center"/>
              <w:rPr>
                <w:rFonts w:ascii="方正仿宋_GB2312" w:hAnsi="华文楷体" w:eastAsia="方正仿宋_GB2312"/>
                <w:color w:val="auto"/>
                <w:kern w:val="0"/>
                <w:sz w:val="24"/>
                <w:highlight w:val="none"/>
              </w:rPr>
            </w:pPr>
          </w:p>
        </w:tc>
        <w:tc>
          <w:tcPr>
            <w:tcW w:w="700" w:type="pct"/>
            <w:tcBorders>
              <w:top w:val="double" w:color="auto" w:sz="4" w:space="0"/>
              <w:right w:val="single" w:color="auto" w:sz="12" w:space="0"/>
            </w:tcBorders>
            <w:noWrap w:val="0"/>
            <w:vAlign w:val="top"/>
          </w:tcPr>
          <w:p w14:paraId="605E89B2">
            <w:pPr>
              <w:spacing w:line="440" w:lineRule="exact"/>
              <w:jc w:val="center"/>
              <w:rPr>
                <w:rFonts w:ascii="方正仿宋_GB2312" w:hAnsi="华文楷体" w:eastAsia="方正仿宋_GB2312"/>
                <w:color w:val="auto"/>
                <w:kern w:val="0"/>
                <w:sz w:val="24"/>
                <w:highlight w:val="none"/>
              </w:rPr>
            </w:pPr>
          </w:p>
        </w:tc>
      </w:tr>
      <w:tr w14:paraId="323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tcBorders>
            <w:noWrap w:val="0"/>
            <w:vAlign w:val="top"/>
          </w:tcPr>
          <w:p w14:paraId="29977C73">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2</w:t>
            </w:r>
          </w:p>
        </w:tc>
        <w:tc>
          <w:tcPr>
            <w:tcW w:w="1036" w:type="pct"/>
            <w:noWrap w:val="0"/>
            <w:vAlign w:val="center"/>
          </w:tcPr>
          <w:p w14:paraId="2866E2D0">
            <w:pPr>
              <w:ind w:left="-63" w:leftChars="-30" w:right="-63" w:rightChars="-30"/>
              <w:jc w:val="center"/>
              <w:rPr>
                <w:rFonts w:hint="eastAsia" w:ascii="宋体" w:hAnsi="宋体" w:cs="宋体"/>
                <w:color w:val="auto"/>
                <w:sz w:val="18"/>
                <w:szCs w:val="18"/>
                <w:highlight w:val="none"/>
              </w:rPr>
            </w:pPr>
          </w:p>
        </w:tc>
        <w:tc>
          <w:tcPr>
            <w:tcW w:w="488" w:type="pct"/>
            <w:noWrap w:val="0"/>
            <w:vAlign w:val="top"/>
          </w:tcPr>
          <w:p w14:paraId="0669C2FF">
            <w:pPr>
              <w:spacing w:line="440" w:lineRule="exact"/>
              <w:jc w:val="center"/>
              <w:rPr>
                <w:rFonts w:ascii="方正仿宋_GB2312" w:hAnsi="华文楷体" w:eastAsia="方正仿宋_GB2312"/>
                <w:color w:val="auto"/>
                <w:kern w:val="0"/>
                <w:sz w:val="24"/>
                <w:highlight w:val="none"/>
              </w:rPr>
            </w:pPr>
          </w:p>
        </w:tc>
        <w:tc>
          <w:tcPr>
            <w:tcW w:w="733" w:type="pct"/>
            <w:noWrap w:val="0"/>
            <w:vAlign w:val="top"/>
          </w:tcPr>
          <w:p w14:paraId="4D504156">
            <w:pPr>
              <w:spacing w:line="440" w:lineRule="exact"/>
              <w:jc w:val="center"/>
              <w:rPr>
                <w:rFonts w:ascii="方正仿宋_GB2312" w:hAnsi="华文楷体" w:eastAsia="方正仿宋_GB2312"/>
                <w:color w:val="auto"/>
                <w:kern w:val="0"/>
                <w:sz w:val="24"/>
                <w:highlight w:val="none"/>
              </w:rPr>
            </w:pPr>
          </w:p>
        </w:tc>
        <w:tc>
          <w:tcPr>
            <w:tcW w:w="292" w:type="pct"/>
            <w:noWrap w:val="0"/>
            <w:vAlign w:val="top"/>
          </w:tcPr>
          <w:p w14:paraId="74F4D8E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2757136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45E1288F">
            <w:pPr>
              <w:spacing w:line="440" w:lineRule="exact"/>
              <w:jc w:val="center"/>
              <w:rPr>
                <w:rFonts w:ascii="方正仿宋_GB2312" w:hAnsi="华文楷体" w:eastAsia="方正仿宋_GB2312"/>
                <w:color w:val="auto"/>
                <w:kern w:val="0"/>
                <w:sz w:val="24"/>
                <w:highlight w:val="none"/>
              </w:rPr>
            </w:pPr>
          </w:p>
        </w:tc>
        <w:tc>
          <w:tcPr>
            <w:tcW w:w="618" w:type="pct"/>
            <w:noWrap w:val="0"/>
            <w:vAlign w:val="top"/>
          </w:tcPr>
          <w:p w14:paraId="5DDB1CC9">
            <w:pPr>
              <w:spacing w:line="440" w:lineRule="exact"/>
              <w:jc w:val="center"/>
              <w:rPr>
                <w:rFonts w:ascii="方正仿宋_GB2312" w:hAnsi="华文楷体" w:eastAsia="方正仿宋_GB2312"/>
                <w:color w:val="auto"/>
                <w:kern w:val="0"/>
                <w:sz w:val="24"/>
                <w:highlight w:val="none"/>
              </w:rPr>
            </w:pPr>
          </w:p>
        </w:tc>
        <w:tc>
          <w:tcPr>
            <w:tcW w:w="700" w:type="pct"/>
            <w:tcBorders>
              <w:right w:val="single" w:color="auto" w:sz="12" w:space="0"/>
            </w:tcBorders>
            <w:noWrap w:val="0"/>
            <w:vAlign w:val="top"/>
          </w:tcPr>
          <w:p w14:paraId="6BB70514">
            <w:pPr>
              <w:spacing w:line="440" w:lineRule="exact"/>
              <w:jc w:val="center"/>
              <w:rPr>
                <w:rFonts w:ascii="方正仿宋_GB2312" w:hAnsi="华文楷体" w:eastAsia="方正仿宋_GB2312"/>
                <w:color w:val="auto"/>
                <w:kern w:val="0"/>
                <w:sz w:val="24"/>
                <w:highlight w:val="none"/>
              </w:rPr>
            </w:pPr>
          </w:p>
        </w:tc>
      </w:tr>
      <w:tr w14:paraId="669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5E49ACAD">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3</w:t>
            </w:r>
          </w:p>
        </w:tc>
        <w:tc>
          <w:tcPr>
            <w:tcW w:w="1036" w:type="pct"/>
            <w:tcBorders>
              <w:bottom w:val="single" w:color="auto" w:sz="4" w:space="0"/>
            </w:tcBorders>
            <w:noWrap w:val="0"/>
            <w:vAlign w:val="center"/>
          </w:tcPr>
          <w:p w14:paraId="2D958EE1">
            <w:pPr>
              <w:ind w:left="-42" w:leftChars="-20" w:right="-42" w:rightChars="-20"/>
              <w:jc w:val="center"/>
              <w:rPr>
                <w:rFonts w:hint="eastAsia" w:ascii="宋体" w:hAnsi="宋体" w:cs="宋体"/>
                <w:color w:val="auto"/>
                <w:sz w:val="18"/>
                <w:szCs w:val="18"/>
                <w:highlight w:val="none"/>
              </w:rPr>
            </w:pPr>
          </w:p>
        </w:tc>
        <w:tc>
          <w:tcPr>
            <w:tcW w:w="488" w:type="pct"/>
            <w:tcBorders>
              <w:bottom w:val="single" w:color="auto" w:sz="4" w:space="0"/>
            </w:tcBorders>
            <w:noWrap w:val="0"/>
            <w:vAlign w:val="top"/>
          </w:tcPr>
          <w:p w14:paraId="6B0A81D6">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58841A2F">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6802B6E">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ECBBA3C">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47E5F99">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5140F715">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7F3F6EF0">
            <w:pPr>
              <w:spacing w:line="440" w:lineRule="exact"/>
              <w:jc w:val="center"/>
              <w:rPr>
                <w:rFonts w:ascii="方正仿宋_GB2312" w:hAnsi="华文楷体" w:eastAsia="方正仿宋_GB2312"/>
                <w:color w:val="auto"/>
                <w:kern w:val="0"/>
                <w:sz w:val="24"/>
                <w:highlight w:val="none"/>
              </w:rPr>
            </w:pPr>
          </w:p>
        </w:tc>
      </w:tr>
      <w:tr w14:paraId="5A9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22131CE2">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4</w:t>
            </w:r>
          </w:p>
        </w:tc>
        <w:tc>
          <w:tcPr>
            <w:tcW w:w="1036" w:type="pct"/>
            <w:tcBorders>
              <w:bottom w:val="single" w:color="auto" w:sz="4" w:space="0"/>
            </w:tcBorders>
            <w:noWrap w:val="0"/>
            <w:vAlign w:val="top"/>
          </w:tcPr>
          <w:p w14:paraId="6938BE08">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CD1A541">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337FC11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3C03B4F1">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47DA722A">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6A33D3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1F0F09">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0B4D1DA3">
            <w:pPr>
              <w:spacing w:line="440" w:lineRule="exact"/>
              <w:jc w:val="center"/>
              <w:rPr>
                <w:rFonts w:ascii="方正仿宋_GB2312" w:hAnsi="华文楷体" w:eastAsia="方正仿宋_GB2312"/>
                <w:color w:val="auto"/>
                <w:kern w:val="0"/>
                <w:sz w:val="24"/>
                <w:highlight w:val="none"/>
              </w:rPr>
            </w:pPr>
          </w:p>
        </w:tc>
      </w:tr>
      <w:tr w14:paraId="72A1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6A9F333C">
            <w:pPr>
              <w:spacing w:line="440" w:lineRule="exact"/>
              <w:jc w:val="center"/>
              <w:rPr>
                <w:rFonts w:hint="eastAsia"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5</w:t>
            </w:r>
          </w:p>
        </w:tc>
        <w:tc>
          <w:tcPr>
            <w:tcW w:w="1036" w:type="pct"/>
            <w:tcBorders>
              <w:bottom w:val="single" w:color="auto" w:sz="4" w:space="0"/>
            </w:tcBorders>
            <w:noWrap w:val="0"/>
            <w:vAlign w:val="top"/>
          </w:tcPr>
          <w:p w14:paraId="5ED63A4B">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9A78B8A">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2EEE306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70F8717">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A4C7C00">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6028EA0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30FD9C">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1CF8882E">
            <w:pPr>
              <w:spacing w:line="440" w:lineRule="exact"/>
              <w:jc w:val="center"/>
              <w:rPr>
                <w:rFonts w:ascii="方正仿宋_GB2312" w:hAnsi="华文楷体" w:eastAsia="方正仿宋_GB2312"/>
                <w:color w:val="auto"/>
                <w:kern w:val="0"/>
                <w:sz w:val="24"/>
                <w:highlight w:val="none"/>
              </w:rPr>
            </w:pPr>
          </w:p>
        </w:tc>
      </w:tr>
      <w:tr w14:paraId="512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gridSpan w:val="4"/>
            <w:tcBorders>
              <w:top w:val="double" w:color="auto" w:sz="4" w:space="0"/>
              <w:left w:val="single" w:color="auto" w:sz="12" w:space="0"/>
              <w:bottom w:val="single" w:color="auto" w:sz="12" w:space="0"/>
            </w:tcBorders>
            <w:noWrap w:val="0"/>
            <w:vAlign w:val="top"/>
          </w:tcPr>
          <w:p w14:paraId="57ECA68A">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合计金额（人民币）</w:t>
            </w:r>
          </w:p>
        </w:tc>
        <w:tc>
          <w:tcPr>
            <w:tcW w:w="2492" w:type="pct"/>
            <w:gridSpan w:val="5"/>
            <w:tcBorders>
              <w:top w:val="double" w:color="auto" w:sz="4" w:space="0"/>
              <w:bottom w:val="single" w:color="auto" w:sz="12" w:space="0"/>
              <w:right w:val="single" w:color="auto" w:sz="12" w:space="0"/>
            </w:tcBorders>
            <w:noWrap w:val="0"/>
            <w:vAlign w:val="top"/>
          </w:tcPr>
          <w:p w14:paraId="5C538379">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 xml:space="preserve">￥           （大写）：                               </w:t>
            </w:r>
          </w:p>
        </w:tc>
      </w:tr>
    </w:tbl>
    <w:p w14:paraId="655247D5">
      <w:pPr>
        <w:spacing w:line="440" w:lineRule="exact"/>
        <w:rPr>
          <w:rFonts w:hint="eastAsia" w:ascii="黑体" w:hAnsi="华文楷体" w:eastAsia="黑体"/>
          <w:b/>
          <w:color w:val="auto"/>
          <w:sz w:val="24"/>
          <w:highlight w:val="none"/>
        </w:rPr>
      </w:pPr>
    </w:p>
    <w:p w14:paraId="2181F384">
      <w:pPr>
        <w:spacing w:line="440" w:lineRule="exact"/>
        <w:rPr>
          <w:rFonts w:hint="eastAsia" w:ascii="黑体" w:hAnsi="华文楷体" w:eastAsia="黑体"/>
          <w:b/>
          <w:color w:val="auto"/>
          <w:sz w:val="24"/>
          <w:highlight w:val="none"/>
        </w:rPr>
      </w:pPr>
    </w:p>
    <w:p w14:paraId="5E23D6EF">
      <w:pPr>
        <w:pStyle w:val="15"/>
        <w:ind w:left="0" w:leftChars="0" w:firstLine="0" w:firstLineChars="0"/>
        <w:rPr>
          <w:rFonts w:hint="eastAsia"/>
          <w:color w:val="auto"/>
          <w:highlight w:val="none"/>
        </w:rPr>
      </w:pPr>
    </w:p>
    <w:p w14:paraId="296AA70E">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45567A0">
      <w:pPr>
        <w:rPr>
          <w:rFonts w:hint="eastAsia" w:ascii="黑体" w:hAnsi="华文楷体" w:eastAsia="黑体"/>
          <w:color w:val="auto"/>
          <w:szCs w:val="21"/>
          <w:highlight w:val="none"/>
        </w:rPr>
      </w:pPr>
    </w:p>
    <w:p w14:paraId="24F3C11F">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6C546935">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60E75B8">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4A21681F">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4403A77C">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作出如下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4A13A388">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476D3484">
      <w:pPr>
        <w:pStyle w:val="9"/>
        <w:rPr>
          <w:rFonts w:hint="default" w:ascii="方正兰亭黑简体" w:hAnsi="方正兰亭黑简体" w:eastAsia="方正兰亭黑简体" w:cs="方正兰亭黑简体"/>
          <w:color w:val="auto"/>
          <w:sz w:val="22"/>
          <w:szCs w:val="28"/>
          <w:highlight w:val="none"/>
          <w:lang w:val="en-US" w:eastAsia="zh-CN"/>
        </w:rPr>
      </w:pPr>
    </w:p>
    <w:p w14:paraId="3F5F1DB4">
      <w:pPr>
        <w:pStyle w:val="9"/>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7CDE4BA2">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7D103AD2">
      <w:pPr>
        <w:pStyle w:val="8"/>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6163A2E2">
      <w:pPr>
        <w:pStyle w:val="8"/>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75BA9CDB">
      <w:pPr>
        <w:pStyle w:val="8"/>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产品资料（产品参数及性能）</w:t>
      </w:r>
    </w:p>
    <w:p w14:paraId="1BB2A8EF">
      <w:pPr>
        <w:pStyle w:val="8"/>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sz w:val="22"/>
          <w:szCs w:val="28"/>
          <w:highlight w:val="none"/>
          <w:lang w:val="en-US" w:eastAsia="zh-CN"/>
        </w:rPr>
        <w:t>实施计划</w:t>
      </w:r>
    </w:p>
    <w:p w14:paraId="32423874">
      <w:pPr>
        <w:pStyle w:val="8"/>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售后方案</w:t>
      </w:r>
    </w:p>
    <w:p w14:paraId="47143B82">
      <w:pPr>
        <w:pStyle w:val="8"/>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3644FF0B">
      <w:pPr>
        <w:pStyle w:val="8"/>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52285F-EE0B-4A4D-8449-9230C7A8C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03287A57-EB6F-46A5-938B-5F7AFEBAE14E}"/>
  </w:font>
  <w:font w:name="华文楷体">
    <w:panose1 w:val="02010600040101010101"/>
    <w:charset w:val="86"/>
    <w:family w:val="auto"/>
    <w:pitch w:val="default"/>
    <w:sig w:usb0="A00002BF" w:usb1="78CF7CFB" w:usb2="00000016" w:usb3="00000000" w:csb0="6006009F" w:csb1="DFD70000"/>
    <w:embedRegular r:id="rId3" w:fontKey="{53FFE5AC-68D7-47B5-A255-C06812E4581B}"/>
  </w:font>
  <w:font w:name="方正仿宋_GB2312">
    <w:panose1 w:val="02000000000000000000"/>
    <w:charset w:val="86"/>
    <w:family w:val="auto"/>
    <w:pitch w:val="default"/>
    <w:sig w:usb0="A00002BF" w:usb1="184F6CFA" w:usb2="00000012" w:usb3="00000000" w:csb0="00040001" w:csb1="00000000"/>
    <w:embedRegular r:id="rId4" w:fontKey="{BA4A6465-2A55-409C-B943-37EE3042DA6D}"/>
  </w:font>
  <w:font w:name="仿宋">
    <w:panose1 w:val="02010609060101010101"/>
    <w:charset w:val="86"/>
    <w:family w:val="modern"/>
    <w:pitch w:val="default"/>
    <w:sig w:usb0="800002BF" w:usb1="38CF7CFA" w:usb2="00000016" w:usb3="00000000" w:csb0="00040001" w:csb1="00000000"/>
    <w:embedRegular r:id="rId5" w:fontKey="{BAFDF6E7-81E1-4FAA-8F7F-56A940131E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2401"/>
    <w:multiLevelType w:val="multilevel"/>
    <w:tmpl w:val="17722401"/>
    <w:lvl w:ilvl="0" w:tentative="0">
      <w:start w:val="1"/>
      <w:numFmt w:val="japaneseCounting"/>
      <w:pStyle w:val="2"/>
      <w:lvlText w:val="%1、"/>
      <w:lvlJc w:val="left"/>
      <w:pPr>
        <w:ind w:left="464" w:hanging="720"/>
      </w:pPr>
      <w:rPr>
        <w:rFonts w:hint="default"/>
      </w:rPr>
    </w:lvl>
    <w:lvl w:ilvl="1" w:tentative="0">
      <w:start w:val="1"/>
      <w:numFmt w:val="decimalEnclosedCircle"/>
      <w:lvlText w:val="%2"/>
      <w:lvlJc w:val="left"/>
      <w:pPr>
        <w:ind w:left="544" w:hanging="360"/>
      </w:pPr>
      <w:rPr>
        <w:rFonts w:hint="default"/>
      </w:rPr>
    </w:lvl>
    <w:lvl w:ilvl="2" w:tentative="0">
      <w:start w:val="1"/>
      <w:numFmt w:val="lowerRoman"/>
      <w:lvlText w:val="%3."/>
      <w:lvlJc w:val="right"/>
      <w:pPr>
        <w:ind w:left="1064" w:hanging="440"/>
      </w:pPr>
    </w:lvl>
    <w:lvl w:ilvl="3" w:tentative="0">
      <w:start w:val="1"/>
      <w:numFmt w:val="decimal"/>
      <w:lvlText w:val="%4."/>
      <w:lvlJc w:val="left"/>
      <w:pPr>
        <w:ind w:left="1504" w:hanging="440"/>
      </w:pPr>
    </w:lvl>
    <w:lvl w:ilvl="4" w:tentative="0">
      <w:start w:val="1"/>
      <w:numFmt w:val="lowerLetter"/>
      <w:lvlText w:val="%5)"/>
      <w:lvlJc w:val="left"/>
      <w:pPr>
        <w:ind w:left="1944" w:hanging="440"/>
      </w:pPr>
    </w:lvl>
    <w:lvl w:ilvl="5" w:tentative="0">
      <w:start w:val="1"/>
      <w:numFmt w:val="lowerRoman"/>
      <w:lvlText w:val="%6."/>
      <w:lvlJc w:val="right"/>
      <w:pPr>
        <w:ind w:left="2384" w:hanging="440"/>
      </w:pPr>
    </w:lvl>
    <w:lvl w:ilvl="6" w:tentative="0">
      <w:start w:val="1"/>
      <w:numFmt w:val="decimal"/>
      <w:lvlText w:val="%7."/>
      <w:lvlJc w:val="left"/>
      <w:pPr>
        <w:ind w:left="2824" w:hanging="440"/>
      </w:pPr>
    </w:lvl>
    <w:lvl w:ilvl="7" w:tentative="0">
      <w:start w:val="1"/>
      <w:numFmt w:val="lowerLetter"/>
      <w:lvlText w:val="%8)"/>
      <w:lvlJc w:val="left"/>
      <w:pPr>
        <w:ind w:left="3264" w:hanging="440"/>
      </w:pPr>
    </w:lvl>
    <w:lvl w:ilvl="8" w:tentative="0">
      <w:start w:val="1"/>
      <w:numFmt w:val="lowerRoman"/>
      <w:lvlText w:val="%9."/>
      <w:lvlJc w:val="right"/>
      <w:pPr>
        <w:ind w:left="3704" w:hanging="440"/>
      </w:pPr>
    </w:lvl>
  </w:abstractNum>
  <w:abstractNum w:abstractNumId="1">
    <w:nsid w:val="364C413C"/>
    <w:multiLevelType w:val="multilevel"/>
    <w:tmpl w:val="364C413C"/>
    <w:lvl w:ilvl="0" w:tentative="0">
      <w:start w:val="1"/>
      <w:numFmt w:val="chineseCountingThousand"/>
      <w:suff w:val="nothing"/>
      <w:lvlText w:val="第%1章"/>
      <w:lvlJc w:val="left"/>
      <w:pPr>
        <w:ind w:left="227" w:hanging="22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6EE46474"/>
    <w:multiLevelType w:val="multilevel"/>
    <w:tmpl w:val="6EE46474"/>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875321F"/>
    <w:rsid w:val="09642E33"/>
    <w:rsid w:val="0B7B6E53"/>
    <w:rsid w:val="146C6B60"/>
    <w:rsid w:val="15285D7F"/>
    <w:rsid w:val="157E6317"/>
    <w:rsid w:val="15D4567B"/>
    <w:rsid w:val="22AA0589"/>
    <w:rsid w:val="24050543"/>
    <w:rsid w:val="2DAA3F84"/>
    <w:rsid w:val="2FB07FD7"/>
    <w:rsid w:val="3A774F92"/>
    <w:rsid w:val="3CFB52B6"/>
    <w:rsid w:val="3D6469F5"/>
    <w:rsid w:val="3DBA1AA2"/>
    <w:rsid w:val="3E5C4869"/>
    <w:rsid w:val="3FCC680A"/>
    <w:rsid w:val="41007DAA"/>
    <w:rsid w:val="480A63EB"/>
    <w:rsid w:val="4A2362AE"/>
    <w:rsid w:val="4AFC4A60"/>
    <w:rsid w:val="4EFD134C"/>
    <w:rsid w:val="55CF5109"/>
    <w:rsid w:val="5AEA704B"/>
    <w:rsid w:val="5CB31D19"/>
    <w:rsid w:val="5E8720EC"/>
    <w:rsid w:val="5EE9209B"/>
    <w:rsid w:val="62DD78C6"/>
    <w:rsid w:val="699E1F48"/>
    <w:rsid w:val="6C3138A4"/>
    <w:rsid w:val="6FC06751"/>
    <w:rsid w:val="769D2894"/>
    <w:rsid w:val="76C7665E"/>
    <w:rsid w:val="794117F3"/>
    <w:rsid w:val="7C2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spacing w:before="120" w:after="80"/>
      <w:ind w:firstLineChars="0"/>
      <w:outlineLvl w:val="0"/>
    </w:pPr>
    <w:rPr>
      <w:rFonts w:cs="Times New Roman (标题 CS)" w:asciiTheme="majorHAnsi" w:hAnsiTheme="majorHAnsi"/>
      <w:b/>
      <w:bCs/>
      <w:sz w:val="28"/>
      <w:szCs w:val="48"/>
    </w:rPr>
  </w:style>
  <w:style w:type="paragraph" w:styleId="3">
    <w:name w:val="heading 2"/>
    <w:basedOn w:val="1"/>
    <w:next w:val="1"/>
    <w:unhideWhenUsed/>
    <w:qFormat/>
    <w:uiPriority w:val="9"/>
    <w:pPr>
      <w:numPr>
        <w:ilvl w:val="1"/>
        <w:numId w:val="2"/>
      </w:numPr>
      <w:spacing w:before="80" w:after="80"/>
      <w:ind w:firstLineChars="0"/>
      <w:outlineLvl w:val="1"/>
    </w:pPr>
    <w:rPr>
      <w:rFonts w:cs="Times New Roman (标题 CS)" w:asciiTheme="majorHAnsi" w:hAnsiTheme="majorHAnsi"/>
      <w:b/>
      <w:bCs/>
      <w:color w:val="000000" w:themeColor="text1"/>
      <w:sz w:val="24"/>
      <w:szCs w:val="40"/>
      <w14:textFill>
        <w14:solidFill>
          <w14:schemeClr w14:val="tx1"/>
        </w14:solidFill>
      </w14:textFill>
    </w:rPr>
  </w:style>
  <w:style w:type="paragraph" w:styleId="4">
    <w:name w:val="heading 3"/>
    <w:basedOn w:val="1"/>
    <w:next w:val="1"/>
    <w:unhideWhenUsed/>
    <w:qFormat/>
    <w:uiPriority w:val="9"/>
    <w:pPr>
      <w:spacing w:before="160" w:after="80"/>
      <w:ind w:left="737" w:firstLine="0" w:firstLineChars="0"/>
      <w:outlineLvl w:val="2"/>
    </w:pPr>
    <w:rPr>
      <w:rFonts w:cs="Times New Roman (标题 CS)" w:asciiTheme="majorHAnsi" w:hAnsiTheme="majorHAnsi"/>
      <w:sz w:val="24"/>
      <w:szCs w:val="32"/>
    </w:rPr>
  </w:style>
  <w:style w:type="paragraph" w:styleId="5">
    <w:name w:val="heading 4"/>
    <w:basedOn w:val="1"/>
    <w:next w:val="1"/>
    <w:unhideWhenUsed/>
    <w:qFormat/>
    <w:uiPriority w:val="9"/>
    <w:pPr>
      <w:keepNext/>
      <w:keepLines/>
      <w:adjustRightInd w:val="0"/>
      <w:spacing w:before="280" w:after="290" w:line="377" w:lineRule="auto"/>
      <w:ind w:firstLine="0" w:firstLineChars="0"/>
      <w:outlineLvl w:val="3"/>
    </w:pPr>
    <w:rPr>
      <w:rFonts w:cstheme="majorBidi"/>
      <w:b/>
      <w:bCs/>
    </w:rPr>
  </w:style>
  <w:style w:type="paragraph" w:styleId="6">
    <w:name w:val="heading 5"/>
    <w:basedOn w:val="1"/>
    <w:next w:val="1"/>
    <w:unhideWhenUsed/>
    <w:qFormat/>
    <w:uiPriority w:val="0"/>
    <w:pPr>
      <w:keepNext/>
      <w:keepLines/>
      <w:numPr>
        <w:ilvl w:val="4"/>
        <w:numId w:val="3"/>
      </w:numPr>
      <w:spacing w:before="280" w:after="290" w:line="372" w:lineRule="auto"/>
      <w:ind w:firstLineChars="0"/>
      <w:outlineLvl w:val="4"/>
    </w:pPr>
    <w:rPr>
      <w:kern w:val="0"/>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pPr>
  </w:style>
  <w:style w:type="paragraph" w:styleId="8">
    <w:name w:val="Body Text Indent"/>
    <w:basedOn w:val="1"/>
    <w:qFormat/>
    <w:uiPriority w:val="0"/>
    <w:pPr>
      <w:ind w:left="420" w:left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rPr>
      <w:rFonts w:ascii="Calibri" w:hAnsi="Calibri" w:eastAsia="宋体" w:cs="Times New Roman"/>
    </w:rPr>
  </w:style>
  <w:style w:type="paragraph" w:styleId="13">
    <w:name w:val="Body Text Indent 3"/>
    <w:basedOn w:val="1"/>
    <w:qFormat/>
    <w:uiPriority w:val="0"/>
    <w:pPr>
      <w:ind w:firstLine="600" w:firstLineChars="200"/>
    </w:pPr>
    <w:rPr>
      <w:color w:val="FF0000"/>
      <w:sz w:val="3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spacing w:after="120"/>
      <w:ind w:firstLine="420" w:firstLineChars="100"/>
      <w:jc w:val="left"/>
    </w:pPr>
    <w:rPr>
      <w:rFonts w:asci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basedOn w:val="18"/>
    <w:unhideWhenUsed/>
    <w:qFormat/>
    <w:uiPriority w:val="99"/>
    <w:rPr>
      <w:color w:val="0000FF"/>
      <w:u w:val="single"/>
    </w:rPr>
  </w:style>
  <w:style w:type="paragraph" w:customStyle="1" w:styleId="21">
    <w:name w:val="列表段落1"/>
    <w:basedOn w:val="1"/>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3">
    <w:name w:val="15"/>
    <w:basedOn w:val="18"/>
    <w:qFormat/>
    <w:uiPriority w:val="0"/>
    <w:rPr>
      <w:rFonts w:hint="default" w:ascii="Calibri" w:hAnsi="Calibri" w:cs="Calibri"/>
      <w:b/>
      <w:bCs/>
    </w:rPr>
  </w:style>
  <w:style w:type="paragraph" w:styleId="24">
    <w:name w:val="List Paragraph"/>
    <w:basedOn w:val="1"/>
    <w:qFormat/>
    <w:uiPriority w:val="34"/>
    <w:pPr>
      <w:ind w:left="720"/>
      <w:contextualSpacing/>
    </w:pPr>
  </w:style>
  <w:style w:type="character" w:customStyle="1" w:styleId="25">
    <w:name w:val="楷体 (中文) 楷体"/>
    <w:qFormat/>
    <w:uiPriority w:val="0"/>
    <w:rPr>
      <w:rFonts w:ascii="楷体" w:hAnsi="楷体" w:eastAsia="楷体"/>
      <w:kern w:val="1"/>
      <w:sz w:val="28"/>
    </w:rPr>
  </w:style>
  <w:style w:type="paragraph" w:customStyle="1" w:styleId="26">
    <w:name w:val="图"/>
    <w:basedOn w:val="1"/>
    <w:qFormat/>
    <w:uiPriority w:val="0"/>
    <w:pPr>
      <w:ind w:firstLine="0" w:firstLineChars="0"/>
      <w:jc w:val="center"/>
    </w:pPr>
  </w:style>
  <w:style w:type="paragraph" w:customStyle="1" w:styleId="27">
    <w:name w:val="图名"/>
    <w:basedOn w:val="1"/>
    <w:qFormat/>
    <w:uiPriority w:val="0"/>
    <w:pPr>
      <w:ind w:firstLine="0" w:firstLineChars="0"/>
      <w:jc w:val="center"/>
    </w:pPr>
    <w:rPr>
      <w:rFonts w:hint="eastAsia" w:eastAsia="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4083</Words>
  <Characters>4470</Characters>
  <Lines>0</Lines>
  <Paragraphs>0</Paragraphs>
  <TotalTime>36</TotalTime>
  <ScaleCrop>false</ScaleCrop>
  <LinksUpToDate>false</LinksUpToDate>
  <CharactersWithSpaces>4849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2025-11-12T07:16:15Z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