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5" w:rsidRDefault="00391D9E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高线束固态混合激光雷达的技术要求</w:t>
      </w:r>
    </w:p>
    <w:p w:rsidR="000A1585" w:rsidRDefault="00391D9E">
      <w:pPr>
        <w:spacing w:line="48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  <w:lang/>
        </w:rPr>
        <w:t>高线束固态混合激光雷达</w:t>
      </w:r>
      <w:r>
        <w:rPr>
          <w:rFonts w:asciiTheme="minorEastAsia" w:hAnsiTheme="minorEastAsia" w:hint="eastAsia"/>
          <w:b/>
          <w:szCs w:val="21"/>
        </w:rPr>
        <w:t>采购数量：</w:t>
      </w:r>
      <w:r>
        <w:rPr>
          <w:rFonts w:asciiTheme="minorEastAsia" w:hAnsiTheme="minorEastAsia"/>
          <w:b/>
          <w:szCs w:val="21"/>
        </w:rPr>
        <w:t>1</w:t>
      </w:r>
      <w:r>
        <w:rPr>
          <w:rFonts w:asciiTheme="minorEastAsia" w:hAnsiTheme="minorEastAsia" w:hint="eastAsia"/>
          <w:b/>
          <w:szCs w:val="21"/>
          <w:lang/>
        </w:rPr>
        <w:t>套</w:t>
      </w:r>
      <w:r>
        <w:rPr>
          <w:rFonts w:asciiTheme="minorEastAsia" w:hAnsiTheme="minorEastAsia" w:hint="eastAsia"/>
          <w:b/>
          <w:szCs w:val="21"/>
        </w:rPr>
        <w:t>；</w:t>
      </w:r>
    </w:p>
    <w:p w:rsidR="005567BE" w:rsidRDefault="005567BE">
      <w:pPr>
        <w:spacing w:line="48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技术参数如下：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1</w:t>
      </w:r>
      <w:r>
        <w:rPr>
          <w:rFonts w:asciiTheme="minorEastAsia" w:hAnsiTheme="minorEastAsia" w:cs="宋体" w:hint="eastAsia"/>
          <w:b/>
          <w:bCs/>
          <w:kern w:val="0"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</w:t>
      </w:r>
      <w:r>
        <w:rPr>
          <w:rFonts w:asciiTheme="minorEastAsia" w:hAnsiTheme="minorEastAsia" w:hint="eastAsia"/>
          <w:b/>
          <w:bCs/>
          <w:szCs w:val="21"/>
        </w:rPr>
        <w:t xml:space="preserve">线数： </w:t>
      </w:r>
      <w:r>
        <w:rPr>
          <w:rFonts w:asciiTheme="minorEastAsia" w:hAnsiTheme="minorEastAsia" w:hint="eastAsia"/>
          <w:b/>
          <w:bCs/>
          <w:szCs w:val="21"/>
          <w:lang/>
        </w:rPr>
        <w:t>≥</w:t>
      </w:r>
      <w:r>
        <w:rPr>
          <w:rFonts w:asciiTheme="minorEastAsia" w:hAnsiTheme="minorEastAsia" w:hint="eastAsia"/>
          <w:b/>
          <w:bCs/>
          <w:szCs w:val="21"/>
        </w:rPr>
        <w:t>80线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激光波长： 905nm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3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激光安全等级： class1人眼安全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4</w:t>
      </w:r>
      <w:r>
        <w:rPr>
          <w:rFonts w:asciiTheme="minorEastAsia" w:hAnsiTheme="minorEastAsia" w:cs="宋体" w:hint="eastAsia"/>
          <w:b/>
          <w:bCs/>
          <w:kern w:val="0"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</w:t>
      </w:r>
      <w:r>
        <w:rPr>
          <w:rFonts w:asciiTheme="minorEastAsia" w:hAnsiTheme="minorEastAsia" w:hint="eastAsia"/>
          <w:b/>
          <w:bCs/>
          <w:szCs w:val="21"/>
        </w:rPr>
        <w:t xml:space="preserve">测距能力： </w:t>
      </w:r>
      <w:r>
        <w:rPr>
          <w:rFonts w:asciiTheme="minorEastAsia" w:hAnsiTheme="minorEastAsia" w:hint="eastAsia"/>
          <w:b/>
          <w:bCs/>
          <w:szCs w:val="21"/>
          <w:lang/>
        </w:rPr>
        <w:t>≥</w:t>
      </w:r>
      <w:r>
        <w:rPr>
          <w:rFonts w:asciiTheme="minorEastAsia" w:hAnsiTheme="minorEastAsia" w:hint="eastAsia"/>
          <w:b/>
          <w:bCs/>
          <w:szCs w:val="21"/>
        </w:rPr>
        <w:t>230m(160m@10% NIST)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5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</w:t>
      </w:r>
      <w:r>
        <w:rPr>
          <w:rFonts w:asciiTheme="minorEastAsia" w:hAnsiTheme="minorEastAsia" w:hint="eastAsia"/>
          <w:b/>
          <w:bCs/>
          <w:szCs w:val="21"/>
        </w:rPr>
        <w:t>盲区：≤1.0m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6</w:t>
      </w:r>
      <w:r>
        <w:rPr>
          <w:rFonts w:asciiTheme="minorEastAsia" w:hAnsiTheme="minorEastAsia" w:cs="宋体" w:hint="eastAsia"/>
          <w:b/>
          <w:bCs/>
          <w:kern w:val="0"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</w:t>
      </w:r>
      <w:r>
        <w:rPr>
          <w:rFonts w:asciiTheme="minorEastAsia" w:hAnsiTheme="minorEastAsia" w:hint="eastAsia"/>
          <w:b/>
          <w:bCs/>
          <w:szCs w:val="21"/>
        </w:rPr>
        <w:t>精度（典型值）： ±3cm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7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水平视场角： 360º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8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垂直视场角： 40°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9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水平角分辨率： 0.1°/ 0.2°/ 0.4°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10</w:t>
      </w:r>
      <w:r>
        <w:rPr>
          <w:rFonts w:asciiTheme="minorEastAsia" w:hAnsiTheme="minorEastAsia" w:cs="宋体" w:hint="eastAsia"/>
          <w:b/>
          <w:bCs/>
          <w:kern w:val="0"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</w:t>
      </w:r>
      <w:r>
        <w:rPr>
          <w:rFonts w:asciiTheme="minorEastAsia" w:hAnsiTheme="minorEastAsia" w:hint="eastAsia"/>
          <w:b/>
          <w:bCs/>
          <w:szCs w:val="21"/>
        </w:rPr>
        <w:t xml:space="preserve">垂直角分辨率： </w:t>
      </w:r>
      <w:r>
        <w:rPr>
          <w:rFonts w:asciiTheme="minorEastAsia" w:hAnsiTheme="minorEastAsia" w:hint="eastAsia"/>
          <w:b/>
          <w:bCs/>
          <w:szCs w:val="21"/>
          <w:lang/>
        </w:rPr>
        <w:t>≤</w:t>
      </w:r>
      <w:r>
        <w:rPr>
          <w:rFonts w:asciiTheme="minorEastAsia" w:hAnsiTheme="minorEastAsia" w:hint="eastAsia"/>
          <w:b/>
          <w:bCs/>
          <w:szCs w:val="21"/>
        </w:rPr>
        <w:t xml:space="preserve"> 0.1°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11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帧率：5Hz/10Hz/20Hz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12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转速：300/600/1200rpm (5/10/20Hz)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13</w:t>
      </w:r>
      <w:r>
        <w:rPr>
          <w:rFonts w:asciiTheme="minorEastAsia" w:hAnsiTheme="minorEastAsia" w:cs="宋体" w:hint="eastAsia"/>
          <w:b/>
          <w:bCs/>
          <w:kern w:val="0"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</w:t>
      </w:r>
      <w:r>
        <w:rPr>
          <w:rFonts w:asciiTheme="minorEastAsia" w:hAnsiTheme="minorEastAsia" w:hint="eastAsia"/>
          <w:b/>
          <w:bCs/>
          <w:szCs w:val="21"/>
        </w:rPr>
        <w:t>出点数：</w:t>
      </w:r>
      <w:r>
        <w:rPr>
          <w:rFonts w:asciiTheme="minorEastAsia" w:hAnsiTheme="minorEastAsia" w:hint="eastAsia"/>
          <w:b/>
          <w:bCs/>
          <w:szCs w:val="21"/>
          <w:lang/>
        </w:rPr>
        <w:t>≥</w:t>
      </w:r>
      <w:r>
        <w:rPr>
          <w:rFonts w:asciiTheme="minorEastAsia" w:hAnsiTheme="minorEastAsia" w:hint="eastAsia"/>
          <w:b/>
          <w:bCs/>
          <w:szCs w:val="21"/>
        </w:rPr>
        <w:t>1,440,000pts/s（单回波），</w:t>
      </w:r>
      <w:r>
        <w:rPr>
          <w:rFonts w:asciiTheme="minorEastAsia" w:hAnsiTheme="minorEastAsia" w:hint="eastAsia"/>
          <w:b/>
          <w:bCs/>
          <w:szCs w:val="21"/>
          <w:lang/>
        </w:rPr>
        <w:t>≥</w:t>
      </w:r>
      <w:r>
        <w:rPr>
          <w:rFonts w:asciiTheme="minorEastAsia" w:hAnsiTheme="minorEastAsia" w:hint="eastAsia"/>
          <w:b/>
          <w:bCs/>
          <w:szCs w:val="21"/>
        </w:rPr>
        <w:t>2,880,000pts/s（双回波）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14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以太网输出：1000 Mbps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15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输出数据协议：UDP packets over Ethernet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16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工作电压： 19V - 32V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17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 xml:space="preserve">产品功率： </w:t>
      </w:r>
      <w:r>
        <w:rPr>
          <w:rFonts w:asciiTheme="minorEastAsia" w:hAnsiTheme="minorEastAsia" w:hint="eastAsia"/>
          <w:b/>
          <w:bCs/>
          <w:szCs w:val="21"/>
          <w:lang/>
        </w:rPr>
        <w:t>≤</w:t>
      </w:r>
      <w:r>
        <w:rPr>
          <w:rFonts w:asciiTheme="minorEastAsia" w:hAnsiTheme="minorEastAsia" w:hint="eastAsia"/>
          <w:b/>
          <w:bCs/>
          <w:szCs w:val="21"/>
        </w:rPr>
        <w:t>38W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18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重量：~3.75 kg（不含数据线）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19</w:t>
      </w:r>
      <w:r>
        <w:rPr>
          <w:rFonts w:asciiTheme="minorEastAsia" w:hAnsiTheme="minorEastAsia" w:cs="宋体" w:hint="eastAsia"/>
          <w:b/>
          <w:bCs/>
          <w:kern w:val="0"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</w:t>
      </w:r>
      <w:r>
        <w:rPr>
          <w:rFonts w:asciiTheme="minorEastAsia" w:hAnsiTheme="minorEastAsia" w:hint="eastAsia"/>
          <w:b/>
          <w:bCs/>
          <w:szCs w:val="21"/>
        </w:rPr>
        <w:t xml:space="preserve">尺寸： </w:t>
      </w:r>
      <w:r>
        <w:rPr>
          <w:rFonts w:asciiTheme="minorEastAsia" w:hAnsiTheme="minorEastAsia" w:hint="eastAsia"/>
          <w:b/>
          <w:bCs/>
          <w:szCs w:val="21"/>
          <w:lang/>
        </w:rPr>
        <w:t>直径≥</w:t>
      </w:r>
      <w:r>
        <w:rPr>
          <w:rFonts w:asciiTheme="minorEastAsia" w:hAnsiTheme="minorEastAsia" w:hint="eastAsia"/>
          <w:b/>
          <w:bCs/>
          <w:szCs w:val="21"/>
        </w:rPr>
        <w:t xml:space="preserve">166mm * </w:t>
      </w:r>
      <w:r>
        <w:rPr>
          <w:rFonts w:asciiTheme="minorEastAsia" w:hAnsiTheme="minorEastAsia" w:hint="eastAsia"/>
          <w:b/>
          <w:bCs/>
          <w:szCs w:val="21"/>
          <w:lang/>
        </w:rPr>
        <w:t>高度≤</w:t>
      </w:r>
      <w:r>
        <w:rPr>
          <w:rFonts w:asciiTheme="minorEastAsia" w:hAnsiTheme="minorEastAsia" w:hint="eastAsia"/>
          <w:b/>
          <w:bCs/>
          <w:szCs w:val="21"/>
        </w:rPr>
        <w:t>148.5 mm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20</w:t>
      </w:r>
      <w:r>
        <w:rPr>
          <w:rFonts w:asciiTheme="minorEastAsia" w:hAnsiTheme="minorEastAsia" w:cs="宋体" w:hint="eastAsia"/>
          <w:b/>
          <w:bCs/>
          <w:kern w:val="0"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</w:t>
      </w:r>
      <w:r>
        <w:rPr>
          <w:rFonts w:asciiTheme="minorEastAsia" w:hAnsiTheme="minorEastAsia" w:hint="eastAsia"/>
          <w:b/>
          <w:bCs/>
          <w:szCs w:val="21"/>
        </w:rPr>
        <w:t>工作温度：-30°C~ +60°C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21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存储温度：-40°C~ +85°C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22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hint="eastAsia"/>
          <w:b/>
          <w:bCs/>
          <w:szCs w:val="21"/>
        </w:rPr>
        <w:t>防护等级： IP67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  <w:lang/>
        </w:rPr>
      </w:pPr>
      <w:r>
        <w:rPr>
          <w:rFonts w:asciiTheme="minorEastAsia" w:hAnsiTheme="minorEastAsia"/>
          <w:b/>
          <w:bCs/>
          <w:szCs w:val="21"/>
        </w:rPr>
        <w:t>23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</w:t>
      </w:r>
      <w:r>
        <w:rPr>
          <w:rFonts w:asciiTheme="minorEastAsia" w:hAnsiTheme="minorEastAsia" w:hint="eastAsia"/>
          <w:b/>
          <w:bCs/>
          <w:szCs w:val="21"/>
          <w:lang/>
        </w:rPr>
        <w:t xml:space="preserve">内嵌：机械式激光雷达逻辑软件 </w:t>
      </w:r>
    </w:p>
    <w:p w:rsidR="000A1585" w:rsidRDefault="00391D9E">
      <w:pPr>
        <w:spacing w:line="360" w:lineRule="auto"/>
        <w:rPr>
          <w:rFonts w:asciiTheme="minorEastAsia" w:hAnsiTheme="minorEastAsia"/>
          <w:b/>
          <w:bCs/>
          <w:szCs w:val="21"/>
          <w:shd w:val="clear" w:color="auto" w:fill="FFFFFF"/>
        </w:rPr>
      </w:pPr>
      <w:r>
        <w:rPr>
          <w:rFonts w:asciiTheme="minorEastAsia" w:hAnsiTheme="minorEastAsia"/>
          <w:b/>
          <w:bCs/>
          <w:szCs w:val="21"/>
          <w:lang/>
        </w:rPr>
        <w:t>24</w:t>
      </w:r>
      <w:r>
        <w:rPr>
          <w:rFonts w:asciiTheme="minorEastAsia" w:hAnsiTheme="minorEastAsia" w:hint="eastAsia"/>
          <w:b/>
          <w:bCs/>
          <w:szCs w:val="21"/>
          <w:lang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★提供厂家授权、产品资料官网截图及售后服务承诺书</w:t>
      </w:r>
    </w:p>
    <w:p w:rsidR="00C21824" w:rsidRPr="00C21824" w:rsidRDefault="00391D9E" w:rsidP="00B031C9">
      <w:pPr>
        <w:spacing w:line="48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注：1、加</w:t>
      </w:r>
      <w:r>
        <w:rPr>
          <w:rFonts w:asciiTheme="minorEastAsia" w:hAnsiTheme="minorEastAsia" w:cs="宋体" w:hint="eastAsia"/>
          <w:szCs w:val="21"/>
        </w:rPr>
        <w:t>★号指标必须</w:t>
      </w:r>
      <w:r>
        <w:rPr>
          <w:rFonts w:asciiTheme="minorEastAsia" w:hAnsiTheme="minorEastAsia" w:cs="宋体" w:hint="eastAsia"/>
          <w:szCs w:val="21"/>
          <w:lang/>
        </w:rPr>
        <w:t>全部</w:t>
      </w:r>
      <w:r>
        <w:rPr>
          <w:rFonts w:asciiTheme="minorEastAsia" w:hAnsiTheme="minorEastAsia" w:cs="宋体" w:hint="eastAsia"/>
          <w:szCs w:val="21"/>
        </w:rPr>
        <w:t>满足</w:t>
      </w:r>
      <w:r>
        <w:rPr>
          <w:rFonts w:asciiTheme="minorEastAsia" w:hAnsiTheme="minorEastAsia" w:cs="宋体" w:hint="eastAsia"/>
          <w:szCs w:val="21"/>
          <w:lang/>
        </w:rPr>
        <w:t>，不可出现负偏离</w:t>
      </w:r>
      <w:r>
        <w:rPr>
          <w:rFonts w:asciiTheme="minorEastAsia" w:hAnsiTheme="minorEastAsia" w:cs="宋体" w:hint="eastAsia"/>
          <w:szCs w:val="21"/>
        </w:rPr>
        <w:t>；2、所有产品必须提供针对本次项目的授权原件。</w:t>
      </w:r>
    </w:p>
    <w:sectPr w:rsidR="00C21824" w:rsidRPr="00C21824" w:rsidSect="0031014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4B" w:rsidRDefault="009E644B" w:rsidP="005567BE">
      <w:r>
        <w:separator/>
      </w:r>
    </w:p>
  </w:endnote>
  <w:endnote w:type="continuationSeparator" w:id="1">
    <w:p w:rsidR="009E644B" w:rsidRDefault="009E644B" w:rsidP="00556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4B" w:rsidRDefault="009E644B" w:rsidP="005567BE">
      <w:r>
        <w:separator/>
      </w:r>
    </w:p>
  </w:footnote>
  <w:footnote w:type="continuationSeparator" w:id="1">
    <w:p w:rsidR="009E644B" w:rsidRDefault="009E644B" w:rsidP="00556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FF3"/>
    <w:rsid w:val="00043E9C"/>
    <w:rsid w:val="000A1585"/>
    <w:rsid w:val="00206B31"/>
    <w:rsid w:val="00213357"/>
    <w:rsid w:val="0031014E"/>
    <w:rsid w:val="00352C1B"/>
    <w:rsid w:val="00357FF3"/>
    <w:rsid w:val="00391D9E"/>
    <w:rsid w:val="003C33B7"/>
    <w:rsid w:val="003D2834"/>
    <w:rsid w:val="003E5962"/>
    <w:rsid w:val="00411A95"/>
    <w:rsid w:val="004D52CF"/>
    <w:rsid w:val="004F6F01"/>
    <w:rsid w:val="005567BE"/>
    <w:rsid w:val="00572515"/>
    <w:rsid w:val="005C4365"/>
    <w:rsid w:val="00620015"/>
    <w:rsid w:val="006C6724"/>
    <w:rsid w:val="00721326"/>
    <w:rsid w:val="007623C5"/>
    <w:rsid w:val="00816596"/>
    <w:rsid w:val="008B2E8E"/>
    <w:rsid w:val="008F04BA"/>
    <w:rsid w:val="0092017F"/>
    <w:rsid w:val="00937A40"/>
    <w:rsid w:val="009E644B"/>
    <w:rsid w:val="00A01658"/>
    <w:rsid w:val="00A06BC6"/>
    <w:rsid w:val="00B031C9"/>
    <w:rsid w:val="00B50918"/>
    <w:rsid w:val="00B56BED"/>
    <w:rsid w:val="00B602AC"/>
    <w:rsid w:val="00C21824"/>
    <w:rsid w:val="00C86953"/>
    <w:rsid w:val="00CF6FA3"/>
    <w:rsid w:val="00D85F8C"/>
    <w:rsid w:val="00ED159F"/>
    <w:rsid w:val="79BB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0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0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3101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rsid w:val="0031014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4">
    <w:name w:val="列出段落4"/>
    <w:basedOn w:val="a"/>
    <w:uiPriority w:val="34"/>
    <w:qFormat/>
    <w:rsid w:val="0031014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rsid w:val="003101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014E"/>
    <w:rPr>
      <w:sz w:val="18"/>
      <w:szCs w:val="18"/>
    </w:rPr>
  </w:style>
  <w:style w:type="character" w:customStyle="1" w:styleId="apple-converted-space">
    <w:name w:val="apple-converted-space"/>
    <w:basedOn w:val="a0"/>
    <w:rsid w:val="003101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仲杰</cp:lastModifiedBy>
  <cp:revision>20</cp:revision>
  <dcterms:created xsi:type="dcterms:W3CDTF">2019-09-10T07:33:00Z</dcterms:created>
  <dcterms:modified xsi:type="dcterms:W3CDTF">2021-03-17T02:37:00Z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