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3141A">
      <w:pPr>
        <w:jc w:val="center"/>
        <w:rPr>
          <w:rFonts w:ascii="宋体" w:hAnsi="宋体" w:cs="宋体"/>
          <w:b/>
          <w:bCs w:val="0"/>
          <w:color w:val="auto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宋体"/>
          <w:b/>
          <w:bCs w:val="0"/>
          <w:color w:val="auto"/>
          <w:sz w:val="28"/>
          <w:szCs w:val="28"/>
        </w:rPr>
        <w:t>上海海事大学工程训练中心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楼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</w:rPr>
        <w:t>房屋检测采购需求</w:t>
      </w:r>
    </w:p>
    <w:p w14:paraId="4B9869FB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项目概况</w:t>
      </w:r>
    </w:p>
    <w:p w14:paraId="05FC7FC8">
      <w:pPr>
        <w:pStyle w:val="12"/>
        <w:spacing w:line="360" w:lineRule="auto"/>
        <w:ind w:firstLine="480"/>
        <w:rPr>
          <w:rFonts w:hint="default" w:ascii="宋体" w:hAnsi="宋体" w:eastAsia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工程训练中心位于上海海事大学浦东新区临港校区内，建于2007年，总建筑面积为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>8955</w:t>
      </w:r>
      <w:r>
        <w:rPr>
          <w:rFonts w:hint="eastAsia" w:ascii="宋体" w:hAnsi="宋体" w:eastAsia="宋体"/>
          <w:color w:val="auto"/>
          <w:sz w:val="24"/>
          <w:szCs w:val="22"/>
        </w:rPr>
        <w:t>平方米。自建成使用至今近17年没有进行过大范围整修，随着使用年久，外墙涂料青苔、发霉、开裂严重。一楼大车间层高较高、跨度较大，还曾进行过加层施工</w:t>
      </w:r>
      <w:r>
        <w:rPr>
          <w:rFonts w:hint="eastAsia" w:ascii="宋体" w:hAnsi="宋体" w:eastAsia="宋体"/>
          <w:color w:val="auto"/>
          <w:sz w:val="24"/>
          <w:szCs w:val="22"/>
          <w:lang w:eastAsia="zh-CN"/>
        </w:rPr>
        <w:t>。</w:t>
      </w:r>
      <w:r>
        <w:rPr>
          <w:rFonts w:hint="eastAsia" w:ascii="宋体" w:hAnsi="宋体" w:eastAsia="宋体"/>
          <w:color w:val="auto"/>
          <w:sz w:val="24"/>
          <w:szCs w:val="22"/>
        </w:rPr>
        <w:t>中心楼内裂缝较多</w:t>
      </w:r>
      <w:r>
        <w:rPr>
          <w:rFonts w:hint="eastAsia" w:ascii="宋体" w:hAnsi="宋体" w:eastAsia="宋体"/>
          <w:color w:val="auto"/>
          <w:sz w:val="24"/>
          <w:szCs w:val="22"/>
          <w:lang w:eastAsia="zh-CN"/>
        </w:rPr>
        <w:t>、</w:t>
      </w:r>
      <w:r>
        <w:rPr>
          <w:rFonts w:hint="eastAsia" w:ascii="宋体" w:hAnsi="宋体" w:eastAsia="宋体"/>
          <w:color w:val="auto"/>
          <w:sz w:val="24"/>
          <w:szCs w:val="22"/>
        </w:rPr>
        <w:t>天花板发霉，卫生间吊顶脱落、龙骨腐蚀现象严重，走廊墙壁脏乱，卫生间漏水，原有栏杆表面油漆掉落，楼宇内外墙体涂料脱落，楼道管道线路老化，故障频发。楼内总体环境较差，极大地影响了学生日常实训学习使用，且存在一定的安全隐患。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>拟</w:t>
      </w:r>
      <w:r>
        <w:rPr>
          <w:rFonts w:hint="eastAsia" w:ascii="宋体" w:hAnsi="宋体" w:eastAsia="宋体"/>
          <w:color w:val="auto"/>
          <w:sz w:val="24"/>
          <w:szCs w:val="22"/>
        </w:rPr>
        <w:t>委托第三方专业鉴定检测单位对工程训练中心楼进行一次全面检测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>鉴定</w:t>
      </w:r>
      <w:r>
        <w:rPr>
          <w:rFonts w:hint="eastAsia" w:ascii="宋体" w:hAnsi="宋体" w:eastAsia="宋体"/>
          <w:color w:val="auto"/>
          <w:sz w:val="24"/>
          <w:szCs w:val="22"/>
        </w:rPr>
        <w:t>，以明确建筑结构安全情况以及后续处理措施</w:t>
      </w:r>
      <w:r>
        <w:rPr>
          <w:rFonts w:hint="eastAsia" w:ascii="宋体" w:hAnsi="宋体" w:eastAsia="宋体"/>
          <w:color w:val="auto"/>
          <w:sz w:val="24"/>
          <w:szCs w:val="22"/>
          <w:lang w:val="en-US" w:eastAsia="zh-CN"/>
        </w:rPr>
        <w:t>。</w:t>
      </w:r>
    </w:p>
    <w:p w14:paraId="48657CA3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检测目的</w:t>
      </w:r>
    </w:p>
    <w:p w14:paraId="5381DC6A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(1)复核房屋承重结构体系、平面布置、构件截面、钢筋配置等现场实际情况。</w:t>
      </w:r>
    </w:p>
    <w:p w14:paraId="62CFC25F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(2)通过现场房屋整体变形、损伤情况以及主要材料性能检测了解房屋的质量现状。</w:t>
      </w:r>
    </w:p>
    <w:p w14:paraId="02BB791C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(3)根据修缮内容、建筑功能布局等建立计算模型，验算房屋整体结构承载力状况，给出相应结论和建议。</w:t>
      </w:r>
    </w:p>
    <w:p w14:paraId="3129C026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ascii="宋体" w:hAnsi="宋体" w:eastAsia="宋体"/>
          <w:color w:val="auto"/>
          <w:sz w:val="24"/>
          <w:szCs w:val="22"/>
        </w:rPr>
        <w:t>(4)</w:t>
      </w:r>
      <w:r>
        <w:rPr>
          <w:rFonts w:hint="eastAsia" w:ascii="宋体" w:hAnsi="宋体" w:eastAsia="宋体"/>
          <w:color w:val="auto"/>
          <w:sz w:val="24"/>
          <w:szCs w:val="22"/>
        </w:rPr>
        <w:t>根据《既有建筑鉴定与加固通用规范》GB 55021-2021要求，对房屋主体结构安全现状进行检测鉴定，如涉及安全隐患提出鉴定和加固建议。</w:t>
      </w:r>
    </w:p>
    <w:p w14:paraId="566F4E90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三、检测评估依据</w:t>
      </w:r>
    </w:p>
    <w:p w14:paraId="4AD397C8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(1)</w:t>
      </w:r>
      <w:r>
        <w:rPr>
          <w:rFonts w:ascii="宋体" w:hAnsi="宋体" w:eastAsia="宋体"/>
          <w:color w:val="auto"/>
          <w:sz w:val="24"/>
          <w:szCs w:val="22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房屋修缮方案以及历次修缮改造情况等相关资料</w:t>
      </w:r>
    </w:p>
    <w:p w14:paraId="2346CBD7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2</w:t>
      </w:r>
      <w:r>
        <w:rPr>
          <w:rFonts w:hint="eastAsia" w:ascii="宋体" w:hAnsi="宋体" w:eastAsia="宋体"/>
          <w:color w:val="auto"/>
          <w:sz w:val="24"/>
          <w:szCs w:val="22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《房屋质量检测鉴定标准》DG/TJ 08-79-2024</w:t>
      </w:r>
    </w:p>
    <w:p w14:paraId="46443331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3</w:t>
      </w:r>
      <w:r>
        <w:rPr>
          <w:rFonts w:hint="eastAsia" w:ascii="宋体" w:hAnsi="宋体" w:eastAsia="宋体"/>
          <w:color w:val="auto"/>
          <w:sz w:val="24"/>
          <w:szCs w:val="22"/>
        </w:rPr>
        <w:t>)《建筑结构可靠性设计统一标准》GB50068-2018</w:t>
      </w:r>
    </w:p>
    <w:p w14:paraId="25EB6D6D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4</w:t>
      </w:r>
      <w:r>
        <w:rPr>
          <w:rFonts w:hint="eastAsia" w:ascii="宋体" w:hAnsi="宋体" w:eastAsia="宋体"/>
          <w:color w:val="auto"/>
          <w:sz w:val="24"/>
          <w:szCs w:val="22"/>
        </w:rPr>
        <w:t>)《建筑结构荷载规范》GB50009-2012</w:t>
      </w:r>
    </w:p>
    <w:p w14:paraId="21BD0631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5</w:t>
      </w:r>
      <w:r>
        <w:rPr>
          <w:rFonts w:hint="eastAsia" w:ascii="宋体" w:hAnsi="宋体" w:eastAsia="宋体"/>
          <w:color w:val="auto"/>
          <w:sz w:val="24"/>
          <w:szCs w:val="22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《混凝土结构设计标准》GB/T 50010-2010（2024年版）</w:t>
      </w:r>
    </w:p>
    <w:p w14:paraId="07A65E1C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6</w:t>
      </w:r>
      <w:r>
        <w:rPr>
          <w:rFonts w:hint="eastAsia" w:ascii="宋体" w:hAnsi="宋体" w:eastAsia="宋体"/>
          <w:color w:val="auto"/>
          <w:sz w:val="24"/>
          <w:szCs w:val="22"/>
        </w:rPr>
        <w:t>)《混凝土结构加固设计规范》GB50367-2013</w:t>
      </w:r>
    </w:p>
    <w:p w14:paraId="73E9754D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7</w:t>
      </w:r>
      <w:r>
        <w:rPr>
          <w:rFonts w:hint="eastAsia" w:ascii="宋体" w:hAnsi="宋体" w:eastAsia="宋体"/>
          <w:color w:val="auto"/>
          <w:sz w:val="24"/>
          <w:szCs w:val="22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《钢结构设计标准》GB 50017-2017</w:t>
      </w:r>
    </w:p>
    <w:p w14:paraId="2A4B14F7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8</w:t>
      </w:r>
      <w:r>
        <w:rPr>
          <w:rFonts w:hint="eastAsia" w:ascii="宋体" w:hAnsi="宋体" w:eastAsia="宋体"/>
          <w:color w:val="auto"/>
          <w:sz w:val="24"/>
          <w:szCs w:val="22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《工程结构通用规范》GB 55001-2021</w:t>
      </w:r>
    </w:p>
    <w:p w14:paraId="231E1ED7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9</w:t>
      </w:r>
      <w:r>
        <w:rPr>
          <w:rFonts w:hint="eastAsia" w:ascii="宋体" w:hAnsi="宋体" w:eastAsia="宋体"/>
          <w:color w:val="auto"/>
          <w:sz w:val="24"/>
          <w:szCs w:val="22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《混凝土结构通用规范》GB55008-2021</w:t>
      </w:r>
    </w:p>
    <w:p w14:paraId="06C36D73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10</w:t>
      </w:r>
      <w:r>
        <w:rPr>
          <w:rFonts w:hint="eastAsia" w:ascii="宋体" w:hAnsi="宋体" w:eastAsia="宋体"/>
          <w:color w:val="auto"/>
          <w:sz w:val="24"/>
          <w:szCs w:val="22"/>
        </w:rPr>
        <w:t>)《地基基础设计标准》DGJ08-11-2018</w:t>
      </w:r>
    </w:p>
    <w:p w14:paraId="6940D205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11</w:t>
      </w:r>
      <w:r>
        <w:rPr>
          <w:rFonts w:hint="eastAsia" w:ascii="宋体" w:hAnsi="宋体" w:eastAsia="宋体"/>
          <w:color w:val="auto"/>
          <w:sz w:val="24"/>
          <w:szCs w:val="22"/>
        </w:rPr>
        <w:t>)《建筑变形测量规程》JGJ 8-2016</w:t>
      </w:r>
    </w:p>
    <w:p w14:paraId="09CB0309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12</w:t>
      </w:r>
      <w:r>
        <w:rPr>
          <w:rFonts w:hint="eastAsia" w:ascii="宋体" w:hAnsi="宋体" w:eastAsia="宋体"/>
          <w:color w:val="auto"/>
          <w:sz w:val="24"/>
          <w:szCs w:val="22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2"/>
        </w:rPr>
        <w:t>《结构混凝土抗压强度检测技术标准》DG/TJ 08-2020-2020</w:t>
      </w:r>
    </w:p>
    <w:p w14:paraId="2DB58CC7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13</w:t>
      </w:r>
      <w:r>
        <w:rPr>
          <w:rFonts w:hint="eastAsia" w:ascii="宋体" w:hAnsi="宋体" w:eastAsia="宋体"/>
          <w:color w:val="auto"/>
          <w:sz w:val="24"/>
          <w:szCs w:val="22"/>
        </w:rPr>
        <w:t>)《建筑结构检测技术标准》GB/T50344-2019</w:t>
      </w:r>
    </w:p>
    <w:p w14:paraId="734613AF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14</w:t>
      </w:r>
      <w:r>
        <w:rPr>
          <w:rFonts w:hint="eastAsia" w:ascii="宋体" w:hAnsi="宋体" w:eastAsia="宋体"/>
          <w:color w:val="auto"/>
          <w:sz w:val="24"/>
          <w:szCs w:val="22"/>
        </w:rPr>
        <w:t>)《房屋完损等级评定标准》城住字(1984)第678号</w:t>
      </w:r>
    </w:p>
    <w:p w14:paraId="1D064167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(</w:t>
      </w:r>
      <w:r>
        <w:rPr>
          <w:rFonts w:ascii="宋体" w:hAnsi="宋体" w:eastAsia="宋体"/>
          <w:color w:val="auto"/>
          <w:sz w:val="24"/>
          <w:szCs w:val="22"/>
        </w:rPr>
        <w:t>15)</w:t>
      </w:r>
      <w:r>
        <w:rPr>
          <w:rFonts w:hint="eastAsia" w:ascii="宋体" w:hAnsi="宋体" w:eastAsia="宋体"/>
          <w:color w:val="auto"/>
          <w:sz w:val="24"/>
          <w:szCs w:val="22"/>
        </w:rPr>
        <w:t>《既有建筑鉴定与加固通用规范》GB 55021-2021</w:t>
      </w:r>
    </w:p>
    <w:p w14:paraId="79A433DF">
      <w:pPr>
        <w:pStyle w:val="12"/>
        <w:spacing w:line="360" w:lineRule="auto"/>
        <w:ind w:firstLine="0" w:firstLineChars="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四、检测与鉴定内容（不仅限于）</w:t>
      </w:r>
    </w:p>
    <w:p w14:paraId="02565046">
      <w:pPr>
        <w:pStyle w:val="12"/>
        <w:spacing w:line="360" w:lineRule="auto"/>
        <w:ind w:firstLine="48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/>
          <w:color w:val="auto"/>
          <w:sz w:val="24"/>
          <w:szCs w:val="22"/>
        </w:rPr>
        <w:t>对原设计图纸、设计变更情况、地质情况，并对有关设计、改造情况和施工资料进行详细核对和分析。结合上述资料调查成果，对房屋进行详细检测，从房屋结构宏观情况、施工质量、损伤情况、材料强度、钢筋配置、沉降倾斜、损伤状况等方面详细检测并鉴定。具体内容如下：</w:t>
      </w:r>
    </w:p>
    <w:p w14:paraId="1FE57CE4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ascii="宋体" w:hAnsi="宋体"/>
          <w:color w:val="auto"/>
          <w:sz w:val="24"/>
          <w:szCs w:val="22"/>
        </w:rPr>
        <w:t>4.1</w:t>
      </w:r>
      <w:r>
        <w:rPr>
          <w:rFonts w:hint="eastAsia" w:ascii="宋体" w:hAnsi="宋体"/>
          <w:color w:val="auto"/>
          <w:sz w:val="24"/>
          <w:szCs w:val="22"/>
        </w:rPr>
        <w:t>建筑结构图纸复核</w:t>
      </w:r>
    </w:p>
    <w:p w14:paraId="0B909ABA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复核被检房屋的结构体系、构件布置等现状情况，主要包括构件的平面位置布置、轴网尺寸、层高、截面尺寸及填充墙布置等情况。</w:t>
      </w:r>
    </w:p>
    <w:tbl>
      <w:tblPr>
        <w:tblStyle w:val="9"/>
        <w:tblW w:w="836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 w14:paraId="0B5ED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3" w:type="dxa"/>
            <w:vAlign w:val="center"/>
          </w:tcPr>
          <w:p w14:paraId="18088316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2"/>
              </w:rPr>
              <w:t>检测内容</w:t>
            </w:r>
          </w:p>
        </w:tc>
      </w:tr>
      <w:tr w14:paraId="5892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63" w:type="dxa"/>
            <w:vAlign w:val="center"/>
          </w:tcPr>
          <w:p w14:paraId="679E5B86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基础</w:t>
            </w:r>
          </w:p>
        </w:tc>
      </w:tr>
      <w:tr w14:paraId="111C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3" w:type="dxa"/>
            <w:vAlign w:val="center"/>
          </w:tcPr>
          <w:p w14:paraId="1538D05C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梁、柱、板、墙的布置、尺</w:t>
            </w:r>
          </w:p>
        </w:tc>
      </w:tr>
      <w:tr w14:paraId="7B45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63" w:type="dxa"/>
            <w:vAlign w:val="center"/>
          </w:tcPr>
          <w:p w14:paraId="48B3FF11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填充墙的布置</w:t>
            </w:r>
          </w:p>
        </w:tc>
      </w:tr>
      <w:tr w14:paraId="6A30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63" w:type="dxa"/>
            <w:vAlign w:val="center"/>
          </w:tcPr>
          <w:p w14:paraId="21F17F6D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楼、屋面结构的布置</w:t>
            </w:r>
          </w:p>
        </w:tc>
      </w:tr>
      <w:tr w14:paraId="54F5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63" w:type="dxa"/>
            <w:vAlign w:val="center"/>
          </w:tcPr>
          <w:p w14:paraId="2510140A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层高</w:t>
            </w:r>
          </w:p>
        </w:tc>
      </w:tr>
    </w:tbl>
    <w:p w14:paraId="66F3B86A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4.2房屋承重结构材料力学性能检测</w:t>
      </w:r>
    </w:p>
    <w:p w14:paraId="46557BB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材性检测采用抽样检测。抽样数量应根据房屋结构特性、检测目的和现场测试条件并参照相关规范的抽样数量要求确定。</w:t>
      </w:r>
    </w:p>
    <w:p w14:paraId="632B03B8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材料性能检测的位置应有代表性，选点应位于主要承重构件，但破损检测应避开受力较大的截面，混凝土构件的破损检测尚应避让主要受力钢筋；选择的位置在同一检验批内应尽量分布均匀，避免选点均分布于平面一隅。</w:t>
      </w:r>
    </w:p>
    <w:p w14:paraId="64BB4525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混凝土强度根据《结构混凝土抗压强度检测技术标准》DG/TJ 08-2020-2020的相关要求进行。</w:t>
      </w:r>
    </w:p>
    <w:p w14:paraId="76614E70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ascii="宋体" w:hAnsi="宋体"/>
          <w:color w:val="auto"/>
          <w:sz w:val="24"/>
          <w:szCs w:val="22"/>
        </w:rPr>
        <w:t>4.3</w:t>
      </w:r>
      <w:r>
        <w:rPr>
          <w:rFonts w:hint="eastAsia" w:ascii="宋体" w:hAnsi="宋体"/>
          <w:color w:val="auto"/>
          <w:sz w:val="24"/>
          <w:szCs w:val="22"/>
        </w:rPr>
        <w:t>混凝土构件配筋检测</w:t>
      </w:r>
    </w:p>
    <w:p w14:paraId="16D0E40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配筋检测的内容包括钢筋规格、数量、间距（含加密区间距及长度）、保护层</w:t>
      </w:r>
    </w:p>
    <w:p w14:paraId="0880CAB2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厚度等基本内容。</w:t>
      </w:r>
    </w:p>
    <w:p w14:paraId="292A525C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4.4房屋倾斜和相对高差等现状测量</w:t>
      </w:r>
    </w:p>
    <w:p w14:paraId="2AFCE8BD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根据《建筑变形测量规程》JGJ 8-2016分析房屋倾斜现状及整体变形情况；同时对房屋的室外勒脚线、窗台线或女儿墙顶等部位的相对高差进行水准测量，结合棱线垂直度的测量结果，分析房屋的整体倾斜和不均匀沉降情况。</w:t>
      </w:r>
    </w:p>
    <w:p w14:paraId="27557CB4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4.5房屋完损状况检测</w:t>
      </w:r>
    </w:p>
    <w:p w14:paraId="198E3C64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全面调查被检房屋结构承重构件、装饰装修及门窗的完损状况，并根据房屋现场实际情况，选取典型部位进行深入调查。</w:t>
      </w:r>
    </w:p>
    <w:tbl>
      <w:tblPr>
        <w:tblStyle w:val="9"/>
        <w:tblW w:w="822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5396"/>
      </w:tblGrid>
      <w:tr w14:paraId="08B0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825" w:type="dxa"/>
            <w:vAlign w:val="center"/>
          </w:tcPr>
          <w:p w14:paraId="07B25967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2"/>
              </w:rPr>
              <w:t>检测项目</w:t>
            </w:r>
          </w:p>
        </w:tc>
        <w:tc>
          <w:tcPr>
            <w:tcW w:w="5396" w:type="dxa"/>
            <w:vAlign w:val="center"/>
          </w:tcPr>
          <w:p w14:paraId="0E599045"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2"/>
              </w:rPr>
              <w:t>检测内容</w:t>
            </w:r>
          </w:p>
        </w:tc>
      </w:tr>
      <w:tr w14:paraId="3262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5" w:type="dxa"/>
            <w:vMerge w:val="restart"/>
            <w:vAlign w:val="center"/>
          </w:tcPr>
          <w:p w14:paraId="28967BCE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承重构件</w:t>
            </w:r>
          </w:p>
        </w:tc>
        <w:tc>
          <w:tcPr>
            <w:tcW w:w="5396" w:type="dxa"/>
            <w:vAlign w:val="center"/>
          </w:tcPr>
          <w:p w14:paraId="0977AA87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裂缝</w:t>
            </w:r>
          </w:p>
        </w:tc>
      </w:tr>
      <w:tr w14:paraId="5871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5" w:type="dxa"/>
            <w:vMerge w:val="continue"/>
            <w:vAlign w:val="center"/>
          </w:tcPr>
          <w:p w14:paraId="0E6DC4D0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</w:p>
        </w:tc>
        <w:tc>
          <w:tcPr>
            <w:tcW w:w="5396" w:type="dxa"/>
            <w:vAlign w:val="center"/>
          </w:tcPr>
          <w:p w14:paraId="7A87A2DD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混凝土构件锈胀剥落</w:t>
            </w:r>
          </w:p>
        </w:tc>
      </w:tr>
      <w:tr w14:paraId="4307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5" w:type="dxa"/>
            <w:vMerge w:val="restart"/>
            <w:vAlign w:val="center"/>
          </w:tcPr>
          <w:p w14:paraId="285ED713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装饰层与门窗</w:t>
            </w:r>
          </w:p>
        </w:tc>
        <w:tc>
          <w:tcPr>
            <w:tcW w:w="5396" w:type="dxa"/>
            <w:vAlign w:val="center"/>
          </w:tcPr>
          <w:p w14:paraId="6D6E0C60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室外装饰面层</w:t>
            </w:r>
          </w:p>
        </w:tc>
      </w:tr>
      <w:tr w14:paraId="4513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5" w:type="dxa"/>
            <w:vMerge w:val="continue"/>
            <w:vAlign w:val="center"/>
          </w:tcPr>
          <w:p w14:paraId="51738F14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</w:p>
        </w:tc>
        <w:tc>
          <w:tcPr>
            <w:tcW w:w="5396" w:type="dxa"/>
            <w:vAlign w:val="center"/>
          </w:tcPr>
          <w:p w14:paraId="48159E30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地面面层</w:t>
            </w:r>
          </w:p>
        </w:tc>
      </w:tr>
      <w:tr w14:paraId="2DEC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25" w:type="dxa"/>
            <w:vMerge w:val="continue"/>
            <w:vAlign w:val="center"/>
          </w:tcPr>
          <w:p w14:paraId="79C281C7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</w:p>
        </w:tc>
        <w:tc>
          <w:tcPr>
            <w:tcW w:w="5396" w:type="dxa"/>
            <w:vAlign w:val="center"/>
          </w:tcPr>
          <w:p w14:paraId="0F9DD58E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墙面与顶棚</w:t>
            </w:r>
          </w:p>
        </w:tc>
      </w:tr>
      <w:tr w14:paraId="2475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5" w:type="dxa"/>
            <w:vMerge w:val="continue"/>
            <w:vAlign w:val="center"/>
          </w:tcPr>
          <w:p w14:paraId="26A9E7AE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</w:p>
        </w:tc>
        <w:tc>
          <w:tcPr>
            <w:tcW w:w="5396" w:type="dxa"/>
            <w:vAlign w:val="center"/>
          </w:tcPr>
          <w:p w14:paraId="750BE898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2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</w:rPr>
              <w:t>门、窗</w:t>
            </w:r>
          </w:p>
        </w:tc>
      </w:tr>
    </w:tbl>
    <w:p w14:paraId="6C9311BC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4.6房屋荷载调查</w:t>
      </w:r>
    </w:p>
    <w:p w14:paraId="4DA08189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bookmarkStart w:id="0" w:name="_Hlk107329860"/>
      <w:r>
        <w:rPr>
          <w:rFonts w:hint="eastAsia" w:ascii="宋体" w:hAnsi="宋体"/>
          <w:color w:val="auto"/>
          <w:sz w:val="24"/>
          <w:szCs w:val="22"/>
        </w:rPr>
        <w:t>房屋使用荷载的调查应包括恒荷载和活荷载两个部分：恒荷载包括结构构件自重、设备重量、屋面设备等。活荷载应根据实际使用功能按照现行《建筑结构荷载规范》（GB50009-2012）确定。</w:t>
      </w:r>
    </w:p>
    <w:bookmarkEnd w:id="0"/>
    <w:p w14:paraId="624EB2A6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4.7房屋结构性能的计算分析</w:t>
      </w:r>
    </w:p>
    <w:p w14:paraId="7ADA4176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根据国家及地方相关规范规程要求，结合现场检测结果对房屋的承载力进行分析鉴定。根据现场检测结果建立合理计算模型，按现场检测所得的房屋结构材料力学性能，通过计算分析验算房屋整体的结构承载力，确定原结构构件的承载力是否满足要求，如框架柱、框架梁等配筋大小。</w:t>
      </w:r>
    </w:p>
    <w:p w14:paraId="1CC9343F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五、检测报告周期</w:t>
      </w:r>
    </w:p>
    <w:p w14:paraId="7560AFCC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合同签订，学校提供原设计图纸和改造方案后，中标单位自接到采购人的进场通知后，必须在2个工作日之内完成现场调查与检测工作，并按照要求数量和质量标准20个工作日内提交纸质版和电子版成果。</w:t>
      </w:r>
    </w:p>
    <w:p w14:paraId="7B46D345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六、检测成果报告</w:t>
      </w:r>
    </w:p>
    <w:p w14:paraId="5B5769C7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检测成果报告</w:t>
      </w:r>
      <w:r>
        <w:rPr>
          <w:rFonts w:hint="eastAsia" w:ascii="宋体" w:hAnsi="宋体"/>
          <w:color w:val="auto"/>
          <w:sz w:val="24"/>
          <w:szCs w:val="22"/>
          <w:lang w:val="en-US" w:eastAsia="zh-CN"/>
        </w:rPr>
        <w:t>由</w:t>
      </w:r>
      <w:r>
        <w:rPr>
          <w:rFonts w:hint="eastAsia" w:ascii="宋体" w:hAnsi="宋体"/>
          <w:color w:val="auto"/>
          <w:sz w:val="24"/>
          <w:szCs w:val="22"/>
        </w:rPr>
        <w:t>检测报告、检测图集以及照片集等构成，主要内容包括：1、检测报告应包含检测与评估依据、房屋检测概况、房屋结构特性、结构体系复核检测、房屋完损状况检测、结构材性检测、房屋沉降变形测量以及结构承载力验算等；</w:t>
      </w:r>
    </w:p>
    <w:p w14:paraId="2F05322D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2、检测图集包括各层建筑平面图、结构平面图及计算结果等；</w:t>
      </w:r>
    </w:p>
    <w:p w14:paraId="464AFF75">
      <w:pPr>
        <w:spacing w:line="360" w:lineRule="auto"/>
        <w:rPr>
          <w:rFonts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3、照片集包括房屋外立面及典型内部现状照片、现场检测工作照片及房屋主体结构完损状况照片等。</w:t>
      </w:r>
    </w:p>
    <w:p w14:paraId="68BE00DF">
      <w:pPr>
        <w:spacing w:line="360" w:lineRule="auto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七、检测单位资质要求</w:t>
      </w:r>
    </w:p>
    <w:p w14:paraId="66497600">
      <w:pPr>
        <w:pStyle w:val="2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1、具备承担采购项目的能力（或资质条件）。</w:t>
      </w:r>
    </w:p>
    <w:p w14:paraId="2B40CC39">
      <w:pPr>
        <w:pStyle w:val="2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2、未被列入“信用中国”网站（www.creditchina.gov.cn）失信被执行人、重大税收违法案件当事人名单和中国政府采购网（www.ccgp.gov.cn）政府采购严重违法失信行为记录名单（以应选截止之日前三年内的信用记录为准）。</w:t>
      </w:r>
    </w:p>
    <w:p w14:paraId="6FE76199">
      <w:pPr>
        <w:pStyle w:val="2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3、参加采购活动的供应商不存在直接控股、管理关系且不同供应商高级管理人员之间不存在交叉任职的情形。</w:t>
      </w:r>
    </w:p>
    <w:p w14:paraId="1A9821F2">
      <w:pPr>
        <w:pStyle w:val="2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4、具有省级及以上住房和城乡建设管理委员会颁发的《房屋质量检测证书》。</w:t>
      </w:r>
    </w:p>
    <w:p w14:paraId="2134F7DB">
      <w:pPr>
        <w:pStyle w:val="2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5、符合《上海市房屋检测鉴定单位公示办法》且目前正在上海市房管局公示的房屋检测鉴定单位名录库中。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03F3"/>
    <w:multiLevelType w:val="multilevel"/>
    <w:tmpl w:val="29F303F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160E6333"/>
    <w:rsid w:val="006D69F3"/>
    <w:rsid w:val="00835C5E"/>
    <w:rsid w:val="00CA31F1"/>
    <w:rsid w:val="00EA4615"/>
    <w:rsid w:val="00F72AB9"/>
    <w:rsid w:val="06A17E5A"/>
    <w:rsid w:val="07BD1A43"/>
    <w:rsid w:val="08844A2F"/>
    <w:rsid w:val="0E8935CA"/>
    <w:rsid w:val="0EB0504D"/>
    <w:rsid w:val="160E6333"/>
    <w:rsid w:val="1ED26455"/>
    <w:rsid w:val="21426E2A"/>
    <w:rsid w:val="23FA3ECD"/>
    <w:rsid w:val="282922D5"/>
    <w:rsid w:val="2C933854"/>
    <w:rsid w:val="2E3B56D4"/>
    <w:rsid w:val="318F6462"/>
    <w:rsid w:val="355F451E"/>
    <w:rsid w:val="38DC4DFA"/>
    <w:rsid w:val="3BE727B3"/>
    <w:rsid w:val="3EF75057"/>
    <w:rsid w:val="464A4CA0"/>
    <w:rsid w:val="48F019EF"/>
    <w:rsid w:val="4BD46E91"/>
    <w:rsid w:val="4F4A462A"/>
    <w:rsid w:val="522C231F"/>
    <w:rsid w:val="566F51B3"/>
    <w:rsid w:val="5C353B44"/>
    <w:rsid w:val="60E47474"/>
    <w:rsid w:val="64D8049C"/>
    <w:rsid w:val="668B34AC"/>
    <w:rsid w:val="695816C8"/>
    <w:rsid w:val="7E4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等线"/>
      <w:kern w:val="0"/>
      <w:sz w:val="20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2259</Words>
  <Characters>2559</Characters>
  <Lines>21</Lines>
  <Paragraphs>6</Paragraphs>
  <TotalTime>12</TotalTime>
  <ScaleCrop>false</ScaleCrop>
  <LinksUpToDate>false</LinksUpToDate>
  <CharactersWithSpaces>2576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2023-04-25T03:00:00Z</dcterms:created>
  <dc:creator>Administrator</dc:creator>
  <cp:lastModifiedBy>仲杰</cp:lastModifiedBy>
  <dcterms:modified xsi:type="dcterms:W3CDTF">2024-09-11T05:35:15Z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DC38EFBE35A84DE7919DC08E45811045_13</vt:lpwstr>
  </property>
</Properties>
</file>