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72" w:rsidRPr="0047436C" w:rsidRDefault="00CF1DB7">
      <w:pPr>
        <w:spacing w:line="480" w:lineRule="auto"/>
        <w:jc w:val="left"/>
        <w:rPr>
          <w:rFonts w:asciiTheme="minorEastAsia" w:hAnsiTheme="minorEastAsia"/>
          <w:b/>
          <w:szCs w:val="21"/>
        </w:rPr>
      </w:pPr>
      <w:r w:rsidRPr="0047436C">
        <w:rPr>
          <w:rFonts w:asciiTheme="minorEastAsia" w:hAnsiTheme="minorEastAsia" w:hint="eastAsia"/>
          <w:b/>
          <w:szCs w:val="21"/>
        </w:rPr>
        <w:t>附件一：</w:t>
      </w:r>
    </w:p>
    <w:p w:rsidR="00B57E72" w:rsidRPr="0047436C" w:rsidRDefault="00D333D5">
      <w:pPr>
        <w:spacing w:line="480" w:lineRule="auto"/>
        <w:jc w:val="center"/>
        <w:rPr>
          <w:rFonts w:asciiTheme="minorEastAsia" w:hAnsiTheme="minorEastAsia"/>
          <w:b/>
          <w:szCs w:val="21"/>
        </w:rPr>
      </w:pPr>
      <w:r w:rsidRPr="0047436C">
        <w:rPr>
          <w:rFonts w:asciiTheme="minorEastAsia" w:hAnsiTheme="minorEastAsia" w:hint="eastAsia"/>
          <w:b/>
          <w:szCs w:val="21"/>
        </w:rPr>
        <w:t>委托</w:t>
      </w:r>
      <w:r w:rsidR="000D217E" w:rsidRPr="0047436C">
        <w:rPr>
          <w:rFonts w:asciiTheme="minorEastAsia" w:hAnsiTheme="minorEastAsia" w:hint="eastAsia"/>
          <w:b/>
          <w:szCs w:val="21"/>
        </w:rPr>
        <w:t>招标代理</w:t>
      </w:r>
      <w:r w:rsidR="00CF1DB7" w:rsidRPr="0047436C">
        <w:rPr>
          <w:rFonts w:asciiTheme="minorEastAsia" w:hAnsiTheme="minorEastAsia" w:hint="eastAsia"/>
          <w:b/>
          <w:szCs w:val="21"/>
        </w:rPr>
        <w:t>服务需求</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bCs/>
          <w:szCs w:val="21"/>
        </w:rPr>
        <w:tab/>
      </w:r>
      <w:r w:rsidRPr="0047436C">
        <w:rPr>
          <w:rFonts w:asciiTheme="minorEastAsia" w:hAnsiTheme="minorEastAsia" w:hint="eastAsia"/>
          <w:szCs w:val="21"/>
        </w:rPr>
        <w:t>根据《中华人民共和国招标投标法》、《中华人民共和国政府采购法》等法律、法规，</w:t>
      </w:r>
      <w:r w:rsidRPr="0047436C">
        <w:rPr>
          <w:rFonts w:asciiTheme="minorEastAsia" w:hAnsiTheme="minorEastAsia"/>
          <w:szCs w:val="21"/>
        </w:rPr>
        <w:t>为了更好地做好教学科研的</w:t>
      </w:r>
      <w:r w:rsidRPr="0047436C">
        <w:rPr>
          <w:rFonts w:asciiTheme="minorEastAsia" w:hAnsiTheme="minorEastAsia" w:hint="eastAsia"/>
          <w:szCs w:val="21"/>
        </w:rPr>
        <w:t>保障</w:t>
      </w:r>
      <w:r w:rsidRPr="0047436C">
        <w:rPr>
          <w:rFonts w:asciiTheme="minorEastAsia" w:hAnsiTheme="minorEastAsia"/>
          <w:szCs w:val="21"/>
        </w:rPr>
        <w:t>工作，快速、合法地</w:t>
      </w:r>
      <w:r w:rsidRPr="0047436C">
        <w:rPr>
          <w:rFonts w:asciiTheme="minorEastAsia" w:hAnsiTheme="minorEastAsia" w:hint="eastAsia"/>
          <w:szCs w:val="21"/>
        </w:rPr>
        <w:t>做好物资设备及相关配套工程采购工作</w:t>
      </w:r>
      <w:r w:rsidRPr="0047436C">
        <w:rPr>
          <w:rFonts w:asciiTheme="minorEastAsia" w:hAnsiTheme="minorEastAsia"/>
          <w:szCs w:val="21"/>
        </w:rPr>
        <w:t>，尽可能地节省教学、科研经费，决定通过</w:t>
      </w:r>
      <w:r w:rsidRPr="0047436C">
        <w:rPr>
          <w:rFonts w:asciiTheme="minorEastAsia" w:hAnsiTheme="minorEastAsia" w:hint="eastAsia"/>
          <w:szCs w:val="21"/>
        </w:rPr>
        <w:t>比选</w:t>
      </w:r>
      <w:r w:rsidRPr="0047436C">
        <w:rPr>
          <w:rFonts w:asciiTheme="minorEastAsia" w:hAnsiTheme="minorEastAsia"/>
          <w:szCs w:val="21"/>
        </w:rPr>
        <w:t>形式确定</w:t>
      </w:r>
      <w:r w:rsidRPr="0047436C">
        <w:rPr>
          <w:rFonts w:asciiTheme="minorEastAsia" w:hAnsiTheme="minorEastAsia" w:hint="eastAsia"/>
          <w:szCs w:val="21"/>
        </w:rPr>
        <w:t>上海海事大学</w:t>
      </w:r>
      <w:r w:rsidRPr="0047436C">
        <w:rPr>
          <w:rFonts w:asciiTheme="minorEastAsia" w:hAnsiTheme="minorEastAsia"/>
          <w:szCs w:val="21"/>
        </w:rPr>
        <w:t>的</w:t>
      </w:r>
      <w:r w:rsidRPr="0047436C">
        <w:rPr>
          <w:rFonts w:asciiTheme="minorEastAsia" w:hAnsiTheme="minorEastAsia" w:hint="eastAsia"/>
          <w:szCs w:val="21"/>
        </w:rPr>
        <w:t>招标代理服务</w:t>
      </w:r>
      <w:r w:rsidRPr="0047436C">
        <w:rPr>
          <w:rFonts w:asciiTheme="minorEastAsia" w:hAnsiTheme="minorEastAsia"/>
          <w:szCs w:val="21"/>
        </w:rPr>
        <w:t>商。有关具体事</w:t>
      </w:r>
      <w:r w:rsidRPr="0047436C">
        <w:rPr>
          <w:rFonts w:asciiTheme="minorEastAsia" w:hAnsiTheme="minorEastAsia" w:hint="eastAsia"/>
          <w:szCs w:val="21"/>
        </w:rPr>
        <w:t>项</w:t>
      </w:r>
      <w:r w:rsidRPr="0047436C">
        <w:rPr>
          <w:rFonts w:asciiTheme="minorEastAsia" w:hAnsiTheme="minorEastAsia"/>
          <w:szCs w:val="21"/>
        </w:rPr>
        <w:t>如下：</w:t>
      </w:r>
    </w:p>
    <w:p w:rsidR="00B57E72" w:rsidRPr="0047436C" w:rsidRDefault="00CF1DB7">
      <w:pPr>
        <w:spacing w:line="480" w:lineRule="auto"/>
        <w:jc w:val="left"/>
        <w:rPr>
          <w:rFonts w:asciiTheme="minorEastAsia" w:hAnsiTheme="minorEastAsia"/>
          <w:b/>
          <w:szCs w:val="21"/>
        </w:rPr>
      </w:pPr>
      <w:r w:rsidRPr="0047436C">
        <w:rPr>
          <w:rFonts w:asciiTheme="minorEastAsia" w:hAnsiTheme="minorEastAsia" w:hint="eastAsia"/>
          <w:b/>
          <w:szCs w:val="21"/>
        </w:rPr>
        <w:t>一、服务内容概况：</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1、上海海事大学委托招标代理服务,包括货物类、服务类全过程招标代理服务；</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2、签约方式： 学校与中标单位签订三年框架协议，每年学校组织相关部门对中标单位进行业务、服务态度等考核，考核通过，协议续签。考核不通过，学校终止服务合同。</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3、本次招标</w:t>
      </w:r>
      <w:r w:rsidR="000D217E" w:rsidRPr="0047436C">
        <w:rPr>
          <w:rFonts w:asciiTheme="minorEastAsia" w:hAnsiTheme="minorEastAsia" w:hint="eastAsia"/>
          <w:szCs w:val="21"/>
        </w:rPr>
        <w:t>代理</w:t>
      </w:r>
      <w:r w:rsidRPr="0047436C">
        <w:rPr>
          <w:rFonts w:asciiTheme="minorEastAsia" w:hAnsiTheme="minorEastAsia" w:hint="eastAsia"/>
          <w:szCs w:val="21"/>
        </w:rPr>
        <w:t>服务主要</w:t>
      </w:r>
      <w:r w:rsidR="000D217E" w:rsidRPr="0047436C">
        <w:rPr>
          <w:rFonts w:asciiTheme="minorEastAsia" w:hAnsiTheme="minorEastAsia" w:hint="eastAsia"/>
          <w:szCs w:val="21"/>
        </w:rPr>
        <w:t>为货物类、服务类的政府采购项目</w:t>
      </w:r>
      <w:r w:rsidR="00D95E78" w:rsidRPr="0047436C">
        <w:rPr>
          <w:rFonts w:asciiTheme="minorEastAsia" w:hAnsiTheme="minorEastAsia" w:hint="eastAsia"/>
          <w:szCs w:val="21"/>
        </w:rPr>
        <w:t>以及货物类中的国际招标项目</w:t>
      </w:r>
      <w:r w:rsidRPr="0047436C">
        <w:rPr>
          <w:rFonts w:asciiTheme="minorEastAsia" w:hAnsiTheme="minorEastAsia" w:hint="eastAsia"/>
          <w:szCs w:val="21"/>
        </w:rPr>
        <w:t>，有类似高校合作经验的单位将优先考虑。</w:t>
      </w:r>
    </w:p>
    <w:p w:rsidR="000D217E" w:rsidRPr="0047436C" w:rsidRDefault="000D217E">
      <w:pPr>
        <w:spacing w:line="480" w:lineRule="auto"/>
        <w:jc w:val="left"/>
        <w:rPr>
          <w:rFonts w:asciiTheme="minorEastAsia" w:hAnsiTheme="minorEastAsia"/>
          <w:szCs w:val="21"/>
        </w:rPr>
      </w:pPr>
      <w:r w:rsidRPr="0047436C">
        <w:rPr>
          <w:rFonts w:asciiTheme="minorEastAsia" w:hAnsiTheme="minorEastAsia" w:hint="eastAsia"/>
          <w:szCs w:val="21"/>
        </w:rPr>
        <w:t>4、</w:t>
      </w:r>
      <w:r w:rsidR="004A33BF" w:rsidRPr="0047436C">
        <w:rPr>
          <w:rFonts w:asciiTheme="minorEastAsia" w:hAnsiTheme="minorEastAsia" w:hint="eastAsia"/>
          <w:szCs w:val="21"/>
        </w:rPr>
        <w:t>若</w:t>
      </w:r>
      <w:r w:rsidR="00D95E78" w:rsidRPr="0047436C">
        <w:rPr>
          <w:rFonts w:asciiTheme="minorEastAsia" w:hAnsiTheme="minorEastAsia" w:hint="eastAsia"/>
          <w:szCs w:val="21"/>
        </w:rPr>
        <w:t>单个</w:t>
      </w:r>
      <w:r w:rsidR="004A33BF" w:rsidRPr="0047436C">
        <w:rPr>
          <w:rFonts w:asciiTheme="minorEastAsia" w:hAnsiTheme="minorEastAsia" w:hint="eastAsia"/>
          <w:szCs w:val="21"/>
        </w:rPr>
        <w:t>招标</w:t>
      </w:r>
      <w:r w:rsidR="00D95E78" w:rsidRPr="0047436C">
        <w:rPr>
          <w:rFonts w:asciiTheme="minorEastAsia" w:hAnsiTheme="minorEastAsia" w:hint="eastAsia"/>
          <w:szCs w:val="21"/>
        </w:rPr>
        <w:t>项目</w:t>
      </w:r>
      <w:r w:rsidR="004A33BF" w:rsidRPr="0047436C">
        <w:rPr>
          <w:rFonts w:asciiTheme="minorEastAsia" w:hAnsiTheme="minorEastAsia" w:hint="eastAsia"/>
          <w:szCs w:val="21"/>
        </w:rPr>
        <w:t>的</w:t>
      </w:r>
      <w:r w:rsidR="00D95E78" w:rsidRPr="0047436C">
        <w:rPr>
          <w:rFonts w:asciiTheme="minorEastAsia" w:hAnsiTheme="minorEastAsia" w:hint="eastAsia"/>
          <w:szCs w:val="21"/>
        </w:rPr>
        <w:t>服务费超过</w:t>
      </w:r>
      <w:r w:rsidR="00D333D5" w:rsidRPr="0047436C">
        <w:rPr>
          <w:rFonts w:asciiTheme="minorEastAsia" w:hAnsiTheme="minorEastAsia" w:hint="eastAsia"/>
          <w:szCs w:val="21"/>
        </w:rPr>
        <w:t>国家</w:t>
      </w:r>
      <w:r w:rsidR="00D95E78" w:rsidRPr="0047436C">
        <w:rPr>
          <w:rFonts w:asciiTheme="minorEastAsia" w:hAnsiTheme="minorEastAsia" w:hint="eastAsia"/>
          <w:szCs w:val="21"/>
        </w:rPr>
        <w:t>规定限额</w:t>
      </w:r>
      <w:r w:rsidRPr="0047436C">
        <w:rPr>
          <w:rFonts w:asciiTheme="minorEastAsia" w:hAnsiTheme="minorEastAsia" w:hint="eastAsia"/>
          <w:szCs w:val="21"/>
        </w:rPr>
        <w:t>，</w:t>
      </w:r>
      <w:r w:rsidR="00D333D5" w:rsidRPr="0047436C">
        <w:rPr>
          <w:rFonts w:asciiTheme="minorEastAsia" w:hAnsiTheme="minorEastAsia" w:hint="eastAsia"/>
          <w:szCs w:val="21"/>
        </w:rPr>
        <w:t>校方</w:t>
      </w:r>
      <w:r w:rsidR="00D95E78" w:rsidRPr="0047436C">
        <w:rPr>
          <w:rFonts w:asciiTheme="minorEastAsia" w:hAnsiTheme="minorEastAsia" w:hint="eastAsia"/>
          <w:szCs w:val="21"/>
        </w:rPr>
        <w:t>将按照国家规定另行</w:t>
      </w:r>
      <w:r w:rsidRPr="0047436C">
        <w:rPr>
          <w:rFonts w:asciiTheme="minorEastAsia" w:hAnsiTheme="minorEastAsia" w:hint="eastAsia"/>
          <w:szCs w:val="21"/>
        </w:rPr>
        <w:t>招标。</w:t>
      </w:r>
    </w:p>
    <w:p w:rsidR="00B57E72" w:rsidRPr="0047436C" w:rsidRDefault="00CF1DB7">
      <w:pPr>
        <w:spacing w:line="480" w:lineRule="auto"/>
        <w:jc w:val="left"/>
        <w:rPr>
          <w:rFonts w:asciiTheme="minorEastAsia" w:hAnsiTheme="minorEastAsia"/>
          <w:b/>
          <w:szCs w:val="21"/>
        </w:rPr>
      </w:pPr>
      <w:r w:rsidRPr="0047436C">
        <w:rPr>
          <w:rFonts w:asciiTheme="minorEastAsia" w:hAnsiTheme="minorEastAsia" w:hint="eastAsia"/>
          <w:b/>
          <w:szCs w:val="21"/>
        </w:rPr>
        <w:t>二</w:t>
      </w:r>
      <w:r w:rsidRPr="0047436C">
        <w:rPr>
          <w:rFonts w:asciiTheme="minorEastAsia" w:hAnsiTheme="minorEastAsia"/>
          <w:b/>
          <w:szCs w:val="21"/>
        </w:rPr>
        <w:t>、</w:t>
      </w:r>
      <w:r w:rsidRPr="0047436C">
        <w:rPr>
          <w:rFonts w:asciiTheme="minorEastAsia" w:hAnsiTheme="minorEastAsia" w:hint="eastAsia"/>
          <w:b/>
          <w:szCs w:val="21"/>
        </w:rPr>
        <w:t>服务委托内容</w:t>
      </w:r>
      <w:r w:rsidRPr="0047436C">
        <w:rPr>
          <w:rFonts w:asciiTheme="minorEastAsia" w:hAnsiTheme="minorEastAsia"/>
          <w:b/>
          <w:szCs w:val="21"/>
        </w:rPr>
        <w:t>：</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1、按照招标人的委托，成立招标工作小组，组织和实施项目的招标工作；</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2、 委派一名代表作为项目负责人，全权代表与招标人方联系和处理招标过程中的有关事宜；</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3、负责对全部招标文件的综合编制、汇总、审核、印刷、装订和解释工作，并将编制好的招标文件经校方确认，向有关部门备案后对外发售，对招标文件的正确性、合法性、完整性负责。</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4、按照国家和政府主管部门的要求与规定操作招标的整个流程，负责发布招标信息、刊登招标公告、发送投标邀请书等，并协助校方进行招标文件的澄清、答疑及修改工作。</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5、将修改后的招标文件经校方确认后以书面形式通知所有已购买招标文件的潜在投标人。</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6、依法组织开标大会，依法组建评标委员会。</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7、组织评标委员会的评标工作，负责安排评标活动的有关事宜。</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lastRenderedPageBreak/>
        <w:t>8、根据评标委员会的书面评标意见整理评标报告，经评标委员会确认后向相关管理部门备案，并提交校方。</w:t>
      </w:r>
    </w:p>
    <w:p w:rsidR="00B57E72" w:rsidRPr="0047436C" w:rsidRDefault="00CF1DB7">
      <w:pPr>
        <w:spacing w:line="480" w:lineRule="auto"/>
        <w:jc w:val="left"/>
        <w:rPr>
          <w:rFonts w:asciiTheme="minorEastAsia" w:hAnsiTheme="minorEastAsia"/>
          <w:szCs w:val="21"/>
        </w:rPr>
      </w:pPr>
      <w:bookmarkStart w:id="0" w:name="_GoBack"/>
      <w:r w:rsidRPr="0047436C">
        <w:rPr>
          <w:rFonts w:asciiTheme="minorEastAsia" w:hAnsiTheme="minorEastAsia" w:hint="eastAsia"/>
          <w:szCs w:val="21"/>
        </w:rPr>
        <w:t>9、办理中标与未中标手续，经校方认可后出具《中标通知书》。</w:t>
      </w:r>
    </w:p>
    <w:bookmarkEnd w:id="0"/>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10、对评标委员会名单、评标内容及评标过程保密。</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11、法律</w:t>
      </w:r>
      <w:r w:rsidRPr="0047436C">
        <w:rPr>
          <w:rFonts w:asciiTheme="minorEastAsia" w:hAnsiTheme="minorEastAsia"/>
          <w:szCs w:val="21"/>
        </w:rPr>
        <w:t>规定的招标</w:t>
      </w:r>
      <w:r w:rsidRPr="0047436C">
        <w:rPr>
          <w:rFonts w:asciiTheme="minorEastAsia" w:hAnsiTheme="minorEastAsia" w:hint="eastAsia"/>
          <w:szCs w:val="21"/>
        </w:rPr>
        <w:t>代理人</w:t>
      </w:r>
      <w:r w:rsidRPr="0047436C">
        <w:rPr>
          <w:rFonts w:asciiTheme="minorEastAsia" w:hAnsiTheme="minorEastAsia"/>
          <w:szCs w:val="21"/>
        </w:rPr>
        <w:t>的其他义务</w:t>
      </w:r>
      <w:r w:rsidRPr="0047436C">
        <w:rPr>
          <w:rFonts w:asciiTheme="minorEastAsia" w:hAnsiTheme="minorEastAsia" w:hint="eastAsia"/>
          <w:szCs w:val="21"/>
        </w:rPr>
        <w:t>及其它招标相关事宜。</w:t>
      </w:r>
    </w:p>
    <w:p w:rsidR="00B57E72" w:rsidRPr="0047436C" w:rsidRDefault="00CF1DB7">
      <w:pPr>
        <w:spacing w:line="480" w:lineRule="auto"/>
        <w:jc w:val="left"/>
        <w:rPr>
          <w:rFonts w:asciiTheme="minorEastAsia" w:hAnsiTheme="minorEastAsia"/>
          <w:b/>
          <w:szCs w:val="21"/>
        </w:rPr>
      </w:pPr>
      <w:r w:rsidRPr="0047436C">
        <w:rPr>
          <w:rFonts w:asciiTheme="minorEastAsia" w:hAnsiTheme="minorEastAsia" w:hint="eastAsia"/>
          <w:b/>
          <w:szCs w:val="21"/>
        </w:rPr>
        <w:t>三、委托招标代理服务费用</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1、投标人应按照国家发展计划委员会“计价格（2002）1980”文《招标代理服务收费管理暂行办法》规定的差额累计递进收费法的标准上进行上下浮动报价。</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2、凡招标过程中发布招标信息、印发招标文件、组织开标、评标会议等发生的所有费用均由招标代理商承担。</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3、</w:t>
      </w:r>
      <w:r w:rsidR="00B57E72" w:rsidRPr="0047436C">
        <w:rPr>
          <w:rFonts w:asciiTheme="minorEastAsia" w:hAnsiTheme="minorEastAsia" w:hint="eastAsia"/>
          <w:szCs w:val="21"/>
        </w:rPr>
        <w:t>招标代理服务费的收取比例（以中标价为基准，招标代理服务收费按差额定率累进法计算）。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1278"/>
        <w:gridCol w:w="1563"/>
        <w:gridCol w:w="1704"/>
        <w:gridCol w:w="1704"/>
        <w:gridCol w:w="1420"/>
      </w:tblGrid>
      <w:tr w:rsidR="00B57E72" w:rsidRPr="0047436C">
        <w:trPr>
          <w:trHeight w:val="397"/>
        </w:trPr>
        <w:tc>
          <w:tcPr>
            <w:tcW w:w="853" w:type="dxa"/>
            <w:vMerge w:val="restart"/>
            <w:shd w:val="clear" w:color="auto" w:fill="auto"/>
            <w:vAlign w:val="center"/>
          </w:tcPr>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hint="eastAsia"/>
                <w:szCs w:val="21"/>
              </w:rPr>
              <w:t>招标</w:t>
            </w:r>
          </w:p>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hint="eastAsia"/>
                <w:szCs w:val="21"/>
              </w:rPr>
              <w:t>类别</w:t>
            </w:r>
          </w:p>
        </w:tc>
        <w:tc>
          <w:tcPr>
            <w:tcW w:w="7669" w:type="dxa"/>
            <w:gridSpan w:val="5"/>
            <w:shd w:val="clear" w:color="auto" w:fill="auto"/>
            <w:vAlign w:val="center"/>
          </w:tcPr>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hint="eastAsia"/>
                <w:szCs w:val="21"/>
              </w:rPr>
              <w:t>服务费收取方案（以中标价为基准，按差额定率累进法计算）</w:t>
            </w:r>
          </w:p>
        </w:tc>
      </w:tr>
      <w:tr w:rsidR="00B57E72" w:rsidRPr="0047436C">
        <w:trPr>
          <w:trHeight w:val="397"/>
        </w:trPr>
        <w:tc>
          <w:tcPr>
            <w:tcW w:w="853" w:type="dxa"/>
            <w:vMerge/>
            <w:shd w:val="clear" w:color="auto" w:fill="auto"/>
            <w:vAlign w:val="center"/>
          </w:tcPr>
          <w:p w:rsidR="00B57E72" w:rsidRPr="0047436C" w:rsidRDefault="00B57E72">
            <w:pPr>
              <w:spacing w:line="360" w:lineRule="auto"/>
              <w:jc w:val="center"/>
              <w:rPr>
                <w:rFonts w:asciiTheme="minorEastAsia" w:hAnsiTheme="minorEastAsia"/>
                <w:szCs w:val="21"/>
              </w:rPr>
            </w:pPr>
          </w:p>
        </w:tc>
        <w:tc>
          <w:tcPr>
            <w:tcW w:w="1278" w:type="dxa"/>
            <w:shd w:val="clear" w:color="auto" w:fill="auto"/>
            <w:vAlign w:val="center"/>
          </w:tcPr>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szCs w:val="21"/>
              </w:rPr>
              <w:t>100</w:t>
            </w:r>
            <w:r w:rsidRPr="0047436C">
              <w:rPr>
                <w:rFonts w:asciiTheme="minorEastAsia" w:hAnsiTheme="minorEastAsia" w:hint="eastAsia"/>
                <w:szCs w:val="21"/>
              </w:rPr>
              <w:t>万以下</w:t>
            </w:r>
          </w:p>
        </w:tc>
        <w:tc>
          <w:tcPr>
            <w:tcW w:w="1563" w:type="dxa"/>
            <w:shd w:val="clear" w:color="auto" w:fill="auto"/>
            <w:vAlign w:val="center"/>
          </w:tcPr>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szCs w:val="21"/>
              </w:rPr>
              <w:t>100</w:t>
            </w:r>
            <w:r w:rsidRPr="0047436C">
              <w:rPr>
                <w:rFonts w:asciiTheme="minorEastAsia" w:hAnsiTheme="minorEastAsia" w:hint="eastAsia"/>
                <w:szCs w:val="21"/>
              </w:rPr>
              <w:t>万</w:t>
            </w:r>
            <w:r w:rsidRPr="0047436C">
              <w:rPr>
                <w:rFonts w:asciiTheme="minorEastAsia" w:hAnsiTheme="minorEastAsia"/>
                <w:szCs w:val="21"/>
              </w:rPr>
              <w:t>-500</w:t>
            </w:r>
            <w:r w:rsidRPr="0047436C">
              <w:rPr>
                <w:rFonts w:asciiTheme="minorEastAsia" w:hAnsiTheme="minorEastAsia" w:hint="eastAsia"/>
                <w:szCs w:val="21"/>
              </w:rPr>
              <w:t>万</w:t>
            </w:r>
          </w:p>
        </w:tc>
        <w:tc>
          <w:tcPr>
            <w:tcW w:w="1704" w:type="dxa"/>
            <w:shd w:val="clear" w:color="auto" w:fill="auto"/>
            <w:vAlign w:val="center"/>
          </w:tcPr>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szCs w:val="21"/>
              </w:rPr>
              <w:t>500</w:t>
            </w:r>
            <w:r w:rsidRPr="0047436C">
              <w:rPr>
                <w:rFonts w:asciiTheme="minorEastAsia" w:hAnsiTheme="minorEastAsia" w:hint="eastAsia"/>
                <w:szCs w:val="21"/>
              </w:rPr>
              <w:t>万</w:t>
            </w:r>
            <w:r w:rsidRPr="0047436C">
              <w:rPr>
                <w:rFonts w:asciiTheme="minorEastAsia" w:hAnsiTheme="minorEastAsia"/>
                <w:szCs w:val="21"/>
              </w:rPr>
              <w:t>-1000</w:t>
            </w:r>
            <w:r w:rsidRPr="0047436C">
              <w:rPr>
                <w:rFonts w:asciiTheme="minorEastAsia" w:hAnsiTheme="minorEastAsia" w:hint="eastAsia"/>
                <w:szCs w:val="21"/>
              </w:rPr>
              <w:t>万</w:t>
            </w:r>
          </w:p>
        </w:tc>
        <w:tc>
          <w:tcPr>
            <w:tcW w:w="1704" w:type="dxa"/>
            <w:shd w:val="clear" w:color="auto" w:fill="auto"/>
            <w:vAlign w:val="center"/>
          </w:tcPr>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szCs w:val="21"/>
              </w:rPr>
              <w:t>1000</w:t>
            </w:r>
            <w:r w:rsidRPr="0047436C">
              <w:rPr>
                <w:rFonts w:asciiTheme="minorEastAsia" w:hAnsiTheme="minorEastAsia" w:hint="eastAsia"/>
                <w:szCs w:val="21"/>
              </w:rPr>
              <w:t>万</w:t>
            </w:r>
            <w:r w:rsidRPr="0047436C">
              <w:rPr>
                <w:rFonts w:asciiTheme="minorEastAsia" w:hAnsiTheme="minorEastAsia"/>
                <w:szCs w:val="21"/>
              </w:rPr>
              <w:t>-5000</w:t>
            </w:r>
            <w:r w:rsidRPr="0047436C">
              <w:rPr>
                <w:rFonts w:asciiTheme="minorEastAsia" w:hAnsiTheme="minorEastAsia" w:hint="eastAsia"/>
                <w:szCs w:val="21"/>
              </w:rPr>
              <w:t>万</w:t>
            </w:r>
          </w:p>
        </w:tc>
        <w:tc>
          <w:tcPr>
            <w:tcW w:w="1420" w:type="dxa"/>
            <w:shd w:val="clear" w:color="auto" w:fill="auto"/>
            <w:vAlign w:val="center"/>
          </w:tcPr>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szCs w:val="21"/>
              </w:rPr>
              <w:t>5000</w:t>
            </w:r>
            <w:r w:rsidRPr="0047436C">
              <w:rPr>
                <w:rFonts w:asciiTheme="minorEastAsia" w:hAnsiTheme="minorEastAsia" w:hint="eastAsia"/>
                <w:szCs w:val="21"/>
              </w:rPr>
              <w:t>万以上</w:t>
            </w:r>
          </w:p>
        </w:tc>
      </w:tr>
      <w:tr w:rsidR="00B57E72" w:rsidRPr="0047436C">
        <w:trPr>
          <w:trHeight w:val="397"/>
        </w:trPr>
        <w:tc>
          <w:tcPr>
            <w:tcW w:w="853" w:type="dxa"/>
            <w:shd w:val="clear" w:color="auto" w:fill="auto"/>
            <w:vAlign w:val="center"/>
          </w:tcPr>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hint="eastAsia"/>
                <w:szCs w:val="21"/>
              </w:rPr>
              <w:t>货物</w:t>
            </w:r>
          </w:p>
        </w:tc>
        <w:tc>
          <w:tcPr>
            <w:tcW w:w="1278" w:type="dxa"/>
            <w:shd w:val="clear" w:color="auto" w:fill="auto"/>
            <w:vAlign w:val="center"/>
          </w:tcPr>
          <w:p w:rsidR="00B57E72" w:rsidRPr="0047436C" w:rsidRDefault="00B57E72">
            <w:pPr>
              <w:spacing w:line="360" w:lineRule="auto"/>
              <w:jc w:val="center"/>
              <w:rPr>
                <w:rFonts w:asciiTheme="minorEastAsia" w:hAnsiTheme="minorEastAsia"/>
                <w:szCs w:val="21"/>
              </w:rPr>
            </w:pPr>
          </w:p>
        </w:tc>
        <w:tc>
          <w:tcPr>
            <w:tcW w:w="1563" w:type="dxa"/>
            <w:shd w:val="clear" w:color="auto" w:fill="auto"/>
            <w:vAlign w:val="center"/>
          </w:tcPr>
          <w:p w:rsidR="00B57E72" w:rsidRPr="0047436C" w:rsidRDefault="00B57E72">
            <w:pPr>
              <w:spacing w:line="360" w:lineRule="auto"/>
              <w:jc w:val="center"/>
              <w:rPr>
                <w:rFonts w:asciiTheme="minorEastAsia" w:hAnsiTheme="minorEastAsia"/>
                <w:szCs w:val="21"/>
              </w:rPr>
            </w:pPr>
          </w:p>
        </w:tc>
        <w:tc>
          <w:tcPr>
            <w:tcW w:w="1704" w:type="dxa"/>
            <w:shd w:val="clear" w:color="auto" w:fill="auto"/>
            <w:vAlign w:val="center"/>
          </w:tcPr>
          <w:p w:rsidR="00B57E72" w:rsidRPr="0047436C" w:rsidRDefault="00B57E72">
            <w:pPr>
              <w:spacing w:line="360" w:lineRule="auto"/>
              <w:jc w:val="center"/>
              <w:rPr>
                <w:rFonts w:asciiTheme="minorEastAsia" w:hAnsiTheme="minorEastAsia"/>
                <w:szCs w:val="21"/>
              </w:rPr>
            </w:pPr>
          </w:p>
        </w:tc>
        <w:tc>
          <w:tcPr>
            <w:tcW w:w="1704" w:type="dxa"/>
            <w:shd w:val="clear" w:color="auto" w:fill="auto"/>
            <w:vAlign w:val="center"/>
          </w:tcPr>
          <w:p w:rsidR="00B57E72" w:rsidRPr="0047436C" w:rsidRDefault="00B57E72">
            <w:pPr>
              <w:spacing w:line="360" w:lineRule="auto"/>
              <w:jc w:val="center"/>
              <w:rPr>
                <w:rFonts w:asciiTheme="minorEastAsia" w:hAnsiTheme="minorEastAsia"/>
                <w:szCs w:val="21"/>
              </w:rPr>
            </w:pPr>
          </w:p>
        </w:tc>
        <w:tc>
          <w:tcPr>
            <w:tcW w:w="1420" w:type="dxa"/>
            <w:shd w:val="clear" w:color="auto" w:fill="auto"/>
            <w:vAlign w:val="center"/>
          </w:tcPr>
          <w:p w:rsidR="00B57E72" w:rsidRPr="0047436C" w:rsidRDefault="00B57E72">
            <w:pPr>
              <w:spacing w:line="360" w:lineRule="auto"/>
              <w:jc w:val="center"/>
              <w:rPr>
                <w:rFonts w:asciiTheme="minorEastAsia" w:hAnsiTheme="minorEastAsia"/>
                <w:szCs w:val="21"/>
              </w:rPr>
            </w:pPr>
          </w:p>
        </w:tc>
      </w:tr>
      <w:tr w:rsidR="00B57E72" w:rsidRPr="0047436C">
        <w:trPr>
          <w:trHeight w:val="397"/>
        </w:trPr>
        <w:tc>
          <w:tcPr>
            <w:tcW w:w="853" w:type="dxa"/>
            <w:shd w:val="clear" w:color="auto" w:fill="auto"/>
            <w:vAlign w:val="center"/>
          </w:tcPr>
          <w:p w:rsidR="00B57E72" w:rsidRPr="0047436C" w:rsidRDefault="00B57E72">
            <w:pPr>
              <w:spacing w:line="360" w:lineRule="auto"/>
              <w:jc w:val="center"/>
              <w:rPr>
                <w:rFonts w:asciiTheme="minorEastAsia" w:hAnsiTheme="minorEastAsia"/>
                <w:szCs w:val="21"/>
              </w:rPr>
            </w:pPr>
            <w:r w:rsidRPr="0047436C">
              <w:rPr>
                <w:rFonts w:asciiTheme="minorEastAsia" w:hAnsiTheme="minorEastAsia" w:hint="eastAsia"/>
                <w:szCs w:val="21"/>
              </w:rPr>
              <w:t>服务</w:t>
            </w:r>
          </w:p>
        </w:tc>
        <w:tc>
          <w:tcPr>
            <w:tcW w:w="1278" w:type="dxa"/>
            <w:shd w:val="clear" w:color="auto" w:fill="auto"/>
            <w:vAlign w:val="center"/>
          </w:tcPr>
          <w:p w:rsidR="00B57E72" w:rsidRPr="0047436C" w:rsidRDefault="00B57E72">
            <w:pPr>
              <w:spacing w:line="360" w:lineRule="auto"/>
              <w:jc w:val="center"/>
              <w:rPr>
                <w:rFonts w:asciiTheme="minorEastAsia" w:hAnsiTheme="minorEastAsia"/>
                <w:szCs w:val="21"/>
              </w:rPr>
            </w:pPr>
          </w:p>
        </w:tc>
        <w:tc>
          <w:tcPr>
            <w:tcW w:w="1563" w:type="dxa"/>
            <w:shd w:val="clear" w:color="auto" w:fill="auto"/>
            <w:vAlign w:val="center"/>
          </w:tcPr>
          <w:p w:rsidR="00B57E72" w:rsidRPr="0047436C" w:rsidRDefault="00B57E72">
            <w:pPr>
              <w:spacing w:line="360" w:lineRule="auto"/>
              <w:jc w:val="center"/>
              <w:rPr>
                <w:rFonts w:asciiTheme="minorEastAsia" w:hAnsiTheme="minorEastAsia"/>
                <w:szCs w:val="21"/>
              </w:rPr>
            </w:pPr>
          </w:p>
        </w:tc>
        <w:tc>
          <w:tcPr>
            <w:tcW w:w="1704" w:type="dxa"/>
            <w:shd w:val="clear" w:color="auto" w:fill="auto"/>
            <w:vAlign w:val="center"/>
          </w:tcPr>
          <w:p w:rsidR="00B57E72" w:rsidRPr="0047436C" w:rsidRDefault="00B57E72">
            <w:pPr>
              <w:spacing w:line="360" w:lineRule="auto"/>
              <w:jc w:val="center"/>
              <w:rPr>
                <w:rFonts w:asciiTheme="minorEastAsia" w:hAnsiTheme="minorEastAsia"/>
                <w:szCs w:val="21"/>
              </w:rPr>
            </w:pPr>
          </w:p>
        </w:tc>
        <w:tc>
          <w:tcPr>
            <w:tcW w:w="1704" w:type="dxa"/>
            <w:shd w:val="clear" w:color="auto" w:fill="auto"/>
            <w:vAlign w:val="center"/>
          </w:tcPr>
          <w:p w:rsidR="00B57E72" w:rsidRPr="0047436C" w:rsidRDefault="00B57E72">
            <w:pPr>
              <w:spacing w:line="360" w:lineRule="auto"/>
              <w:jc w:val="center"/>
              <w:rPr>
                <w:rFonts w:asciiTheme="minorEastAsia" w:hAnsiTheme="minorEastAsia"/>
                <w:szCs w:val="21"/>
              </w:rPr>
            </w:pPr>
          </w:p>
        </w:tc>
        <w:tc>
          <w:tcPr>
            <w:tcW w:w="1420" w:type="dxa"/>
            <w:shd w:val="clear" w:color="auto" w:fill="auto"/>
            <w:vAlign w:val="center"/>
          </w:tcPr>
          <w:p w:rsidR="00B57E72" w:rsidRPr="0047436C" w:rsidRDefault="00B57E72">
            <w:pPr>
              <w:spacing w:line="360" w:lineRule="auto"/>
              <w:jc w:val="center"/>
              <w:rPr>
                <w:rFonts w:asciiTheme="minorEastAsia" w:hAnsiTheme="minorEastAsia"/>
                <w:szCs w:val="21"/>
              </w:rPr>
            </w:pPr>
          </w:p>
        </w:tc>
      </w:tr>
    </w:tbl>
    <w:p w:rsidR="00B57E72" w:rsidRPr="0047436C" w:rsidRDefault="00CF1DB7">
      <w:pPr>
        <w:spacing w:line="480" w:lineRule="auto"/>
        <w:jc w:val="left"/>
        <w:rPr>
          <w:rFonts w:asciiTheme="minorEastAsia" w:hAnsiTheme="minorEastAsia"/>
          <w:b/>
          <w:szCs w:val="21"/>
        </w:rPr>
      </w:pPr>
      <w:r w:rsidRPr="0047436C">
        <w:rPr>
          <w:rFonts w:asciiTheme="minorEastAsia" w:hAnsiTheme="minorEastAsia" w:hint="eastAsia"/>
          <w:b/>
          <w:szCs w:val="21"/>
        </w:rPr>
        <w:t>四、对招标代理单位的工作要求：</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1、应本着“独立、科学、真实、守法”原则。服务标准，要求以国家行业相关规定为准，服务期内如发生违反法律、法规，招标要求及投标承诺的行为，按照国家相关法律、法规执行。</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2、招标代理人员不得外聘，且须具有相应资格。</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3、应严格执行职业制度以及投标文件和商务谈判中有关廉政建设的承诺，规范具体操作、遵守职业道德。</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4、投标人在中标后不得将项目分包和转包，否则将取消招标代理资格。</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5、服务单位在实时服务过程中不得有商业贿赂等经济为题，一旦发现将取消继续服务资格。</w:t>
      </w:r>
    </w:p>
    <w:p w:rsidR="00B57E72" w:rsidRPr="0047436C" w:rsidRDefault="00CF1DB7">
      <w:pPr>
        <w:spacing w:line="480" w:lineRule="auto"/>
        <w:jc w:val="left"/>
        <w:rPr>
          <w:rFonts w:asciiTheme="minorEastAsia" w:hAnsiTheme="minorEastAsia"/>
          <w:b/>
          <w:szCs w:val="21"/>
        </w:rPr>
      </w:pPr>
      <w:r w:rsidRPr="0047436C">
        <w:rPr>
          <w:rFonts w:asciiTheme="minorEastAsia" w:hAnsiTheme="minorEastAsia" w:hint="eastAsia"/>
          <w:b/>
          <w:szCs w:val="21"/>
        </w:rPr>
        <w:lastRenderedPageBreak/>
        <w:t>四、投标单位应提供下列资质材料的扫描件：</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szCs w:val="21"/>
        </w:rPr>
        <w:t>1</w:t>
      </w:r>
      <w:r w:rsidRPr="0047436C">
        <w:rPr>
          <w:rFonts w:asciiTheme="minorEastAsia" w:hAnsiTheme="minorEastAsia" w:hint="eastAsia"/>
          <w:szCs w:val="21"/>
        </w:rPr>
        <w:t>、</w:t>
      </w:r>
      <w:r w:rsidRPr="0047436C">
        <w:rPr>
          <w:rFonts w:asciiTheme="minorEastAsia" w:hAnsiTheme="minorEastAsia"/>
          <w:szCs w:val="21"/>
        </w:rPr>
        <w:t>工商营业执照</w:t>
      </w:r>
      <w:r w:rsidRPr="0047436C">
        <w:rPr>
          <w:rFonts w:asciiTheme="minorEastAsia" w:hAnsiTheme="minorEastAsia" w:hint="eastAsia"/>
          <w:szCs w:val="21"/>
        </w:rPr>
        <w:t>；</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cs="Times New Roman" w:hint="eastAsia"/>
          <w:kern w:val="0"/>
          <w:szCs w:val="21"/>
        </w:rPr>
        <w:t>2、具备</w:t>
      </w:r>
      <w:r w:rsidRPr="0047436C">
        <w:rPr>
          <w:rFonts w:asciiTheme="minorEastAsia" w:hAnsiTheme="minorEastAsia" w:hint="eastAsia"/>
          <w:szCs w:val="21"/>
        </w:rPr>
        <w:t>招标代理甲级资质；具备国际招标代理机构资质；具备政府采购代理机构资质；</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3、招标代理服务</w:t>
      </w:r>
      <w:r w:rsidRPr="0047436C">
        <w:rPr>
          <w:rFonts w:asciiTheme="minorEastAsia" w:hAnsiTheme="minorEastAsia"/>
          <w:szCs w:val="21"/>
        </w:rPr>
        <w:t>商</w:t>
      </w:r>
      <w:r w:rsidRPr="0047436C">
        <w:rPr>
          <w:rFonts w:asciiTheme="minorEastAsia" w:hAnsiTheme="minorEastAsia" w:hint="eastAsia"/>
          <w:szCs w:val="21"/>
        </w:rPr>
        <w:t>有类似服务业绩，财务状况及经营业绩良好，具有健全的组织机构，完善的技术经济档案管理制度、内部规章制度和严格的质量保证体系；</w:t>
      </w:r>
    </w:p>
    <w:p w:rsidR="00B57E72" w:rsidRPr="0047436C" w:rsidRDefault="00B57E72">
      <w:pPr>
        <w:spacing w:line="480" w:lineRule="auto"/>
        <w:jc w:val="left"/>
        <w:rPr>
          <w:rFonts w:asciiTheme="minorEastAsia" w:hAnsiTheme="minorEastAsia"/>
          <w:b/>
          <w:szCs w:val="21"/>
        </w:rPr>
      </w:pPr>
      <w:r w:rsidRPr="0047436C">
        <w:rPr>
          <w:rFonts w:asciiTheme="minorEastAsia" w:hAnsiTheme="minorEastAsia" w:hint="eastAsia"/>
          <w:b/>
          <w:szCs w:val="21"/>
        </w:rPr>
        <w:t>五、评标办法</w:t>
      </w:r>
    </w:p>
    <w:p w:rsidR="00B57E72" w:rsidRPr="0047436C" w:rsidRDefault="00CF1DB7">
      <w:pPr>
        <w:spacing w:line="480" w:lineRule="auto"/>
        <w:jc w:val="left"/>
        <w:rPr>
          <w:rFonts w:asciiTheme="minorEastAsia" w:hAnsiTheme="minorEastAsia"/>
          <w:szCs w:val="21"/>
        </w:rPr>
      </w:pPr>
      <w:r w:rsidRPr="0047436C">
        <w:rPr>
          <w:rFonts w:asciiTheme="minorEastAsia" w:hAnsiTheme="minorEastAsia" w:hint="eastAsia"/>
          <w:szCs w:val="21"/>
        </w:rPr>
        <w:t xml:space="preserve">    学校评标小组将在校纪委全程监督下，根据各投标单位的标书完整性、单位资质、报价及综合能力方面综合考虑，择优选定，对未中标单位未中标原因不作解释。</w:t>
      </w:r>
    </w:p>
    <w:sectPr w:rsidR="00B57E72" w:rsidRPr="0047436C" w:rsidSect="00B57E72">
      <w:pgSz w:w="11906" w:h="16838"/>
      <w:pgMar w:top="851"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1D7" w:rsidRDefault="002231D7" w:rsidP="00366DAE">
      <w:r>
        <w:separator/>
      </w:r>
    </w:p>
  </w:endnote>
  <w:endnote w:type="continuationSeparator" w:id="1">
    <w:p w:rsidR="002231D7" w:rsidRDefault="002231D7" w:rsidP="00366D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decorative"/>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1D7" w:rsidRDefault="002231D7" w:rsidP="00366DAE">
      <w:r>
        <w:separator/>
      </w:r>
    </w:p>
  </w:footnote>
  <w:footnote w:type="continuationSeparator" w:id="1">
    <w:p w:rsidR="002231D7" w:rsidRDefault="002231D7" w:rsidP="00366D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B03"/>
    <w:rsid w:val="0001664B"/>
    <w:rsid w:val="000239D8"/>
    <w:rsid w:val="00031D1C"/>
    <w:rsid w:val="00033DAB"/>
    <w:rsid w:val="000347C9"/>
    <w:rsid w:val="00080112"/>
    <w:rsid w:val="000C0268"/>
    <w:rsid w:val="000C54A9"/>
    <w:rsid w:val="000C7E59"/>
    <w:rsid w:val="000D217E"/>
    <w:rsid w:val="000E44FE"/>
    <w:rsid w:val="000F187E"/>
    <w:rsid w:val="000F6759"/>
    <w:rsid w:val="000F6FE4"/>
    <w:rsid w:val="00120CEC"/>
    <w:rsid w:val="0012556C"/>
    <w:rsid w:val="0012574B"/>
    <w:rsid w:val="00133E2B"/>
    <w:rsid w:val="00135AC3"/>
    <w:rsid w:val="0015050C"/>
    <w:rsid w:val="00162F69"/>
    <w:rsid w:val="0016648B"/>
    <w:rsid w:val="00167E65"/>
    <w:rsid w:val="00184BF5"/>
    <w:rsid w:val="001912C6"/>
    <w:rsid w:val="00196831"/>
    <w:rsid w:val="001A34E6"/>
    <w:rsid w:val="001D0EB2"/>
    <w:rsid w:val="00222B98"/>
    <w:rsid w:val="002231D7"/>
    <w:rsid w:val="00232467"/>
    <w:rsid w:val="00270E07"/>
    <w:rsid w:val="002C7F02"/>
    <w:rsid w:val="002E42D2"/>
    <w:rsid w:val="002E64C2"/>
    <w:rsid w:val="0031508B"/>
    <w:rsid w:val="0032595B"/>
    <w:rsid w:val="00345CB5"/>
    <w:rsid w:val="0035699D"/>
    <w:rsid w:val="00362DA6"/>
    <w:rsid w:val="003651E7"/>
    <w:rsid w:val="00366DAE"/>
    <w:rsid w:val="00390DA6"/>
    <w:rsid w:val="003A02DF"/>
    <w:rsid w:val="003A38D9"/>
    <w:rsid w:val="003B04DB"/>
    <w:rsid w:val="003B7338"/>
    <w:rsid w:val="003C3D6D"/>
    <w:rsid w:val="003C4254"/>
    <w:rsid w:val="003C67D2"/>
    <w:rsid w:val="003E32C6"/>
    <w:rsid w:val="00400436"/>
    <w:rsid w:val="00415B3D"/>
    <w:rsid w:val="00416902"/>
    <w:rsid w:val="004402C7"/>
    <w:rsid w:val="00447F4A"/>
    <w:rsid w:val="004516B9"/>
    <w:rsid w:val="00455A62"/>
    <w:rsid w:val="004708B5"/>
    <w:rsid w:val="0047283C"/>
    <w:rsid w:val="0047436C"/>
    <w:rsid w:val="00476CF7"/>
    <w:rsid w:val="004814AA"/>
    <w:rsid w:val="0048208E"/>
    <w:rsid w:val="00492A69"/>
    <w:rsid w:val="004A33BF"/>
    <w:rsid w:val="004C7A76"/>
    <w:rsid w:val="004E7FAF"/>
    <w:rsid w:val="0052303F"/>
    <w:rsid w:val="005454D7"/>
    <w:rsid w:val="00547B66"/>
    <w:rsid w:val="00553FFB"/>
    <w:rsid w:val="00577852"/>
    <w:rsid w:val="005805BA"/>
    <w:rsid w:val="0058641D"/>
    <w:rsid w:val="005944FC"/>
    <w:rsid w:val="005C5286"/>
    <w:rsid w:val="006150D2"/>
    <w:rsid w:val="006173A1"/>
    <w:rsid w:val="00654C5A"/>
    <w:rsid w:val="00662C23"/>
    <w:rsid w:val="00681711"/>
    <w:rsid w:val="00687810"/>
    <w:rsid w:val="00687BC6"/>
    <w:rsid w:val="006A5751"/>
    <w:rsid w:val="006D3093"/>
    <w:rsid w:val="006E358E"/>
    <w:rsid w:val="00717C14"/>
    <w:rsid w:val="00726F60"/>
    <w:rsid w:val="007273F8"/>
    <w:rsid w:val="00760252"/>
    <w:rsid w:val="00761AAA"/>
    <w:rsid w:val="007677F9"/>
    <w:rsid w:val="00795BC5"/>
    <w:rsid w:val="007B2B01"/>
    <w:rsid w:val="007B3891"/>
    <w:rsid w:val="007C6155"/>
    <w:rsid w:val="00801227"/>
    <w:rsid w:val="00855C2D"/>
    <w:rsid w:val="00865AFF"/>
    <w:rsid w:val="008A5813"/>
    <w:rsid w:val="008C2423"/>
    <w:rsid w:val="008C36F7"/>
    <w:rsid w:val="00904536"/>
    <w:rsid w:val="0091782F"/>
    <w:rsid w:val="00946B60"/>
    <w:rsid w:val="0095254E"/>
    <w:rsid w:val="00965380"/>
    <w:rsid w:val="00973A09"/>
    <w:rsid w:val="009B0301"/>
    <w:rsid w:val="00A2556B"/>
    <w:rsid w:val="00A420EE"/>
    <w:rsid w:val="00A738FA"/>
    <w:rsid w:val="00A75C95"/>
    <w:rsid w:val="00A77C3B"/>
    <w:rsid w:val="00A91F35"/>
    <w:rsid w:val="00A94432"/>
    <w:rsid w:val="00AB3F20"/>
    <w:rsid w:val="00AB40E1"/>
    <w:rsid w:val="00B41B03"/>
    <w:rsid w:val="00B53973"/>
    <w:rsid w:val="00B57E72"/>
    <w:rsid w:val="00B64689"/>
    <w:rsid w:val="00B772B5"/>
    <w:rsid w:val="00B7787F"/>
    <w:rsid w:val="00BA62C4"/>
    <w:rsid w:val="00BC06AD"/>
    <w:rsid w:val="00BC6CC3"/>
    <w:rsid w:val="00BE109C"/>
    <w:rsid w:val="00BF1843"/>
    <w:rsid w:val="00C0391B"/>
    <w:rsid w:val="00C04AD9"/>
    <w:rsid w:val="00C16A09"/>
    <w:rsid w:val="00C33D56"/>
    <w:rsid w:val="00C3619C"/>
    <w:rsid w:val="00C431DC"/>
    <w:rsid w:val="00C8401C"/>
    <w:rsid w:val="00CD274E"/>
    <w:rsid w:val="00CD5ABB"/>
    <w:rsid w:val="00CF1DB7"/>
    <w:rsid w:val="00CF209E"/>
    <w:rsid w:val="00D07655"/>
    <w:rsid w:val="00D30B42"/>
    <w:rsid w:val="00D333D5"/>
    <w:rsid w:val="00D36CFB"/>
    <w:rsid w:val="00D40C5B"/>
    <w:rsid w:val="00D54F06"/>
    <w:rsid w:val="00D7005E"/>
    <w:rsid w:val="00D76594"/>
    <w:rsid w:val="00D843B3"/>
    <w:rsid w:val="00D85693"/>
    <w:rsid w:val="00D85E25"/>
    <w:rsid w:val="00D86F32"/>
    <w:rsid w:val="00D95E78"/>
    <w:rsid w:val="00D966DB"/>
    <w:rsid w:val="00DA320F"/>
    <w:rsid w:val="00DB30B6"/>
    <w:rsid w:val="00DC3E28"/>
    <w:rsid w:val="00DD770E"/>
    <w:rsid w:val="00DE120F"/>
    <w:rsid w:val="00DF49D0"/>
    <w:rsid w:val="00E21B17"/>
    <w:rsid w:val="00E3347E"/>
    <w:rsid w:val="00E55A57"/>
    <w:rsid w:val="00E70341"/>
    <w:rsid w:val="00E85D46"/>
    <w:rsid w:val="00EB45ED"/>
    <w:rsid w:val="00EF232A"/>
    <w:rsid w:val="00F02E59"/>
    <w:rsid w:val="00F25F57"/>
    <w:rsid w:val="00F2671B"/>
    <w:rsid w:val="00F569AD"/>
    <w:rsid w:val="00F65169"/>
    <w:rsid w:val="33D32F47"/>
    <w:rsid w:val="3B6C7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57E72"/>
    <w:rPr>
      <w:sz w:val="18"/>
      <w:szCs w:val="18"/>
    </w:rPr>
  </w:style>
  <w:style w:type="paragraph" w:styleId="a4">
    <w:name w:val="footer"/>
    <w:basedOn w:val="a"/>
    <w:link w:val="Char0"/>
    <w:uiPriority w:val="99"/>
    <w:unhideWhenUsed/>
    <w:qFormat/>
    <w:rsid w:val="00B57E72"/>
    <w:pPr>
      <w:tabs>
        <w:tab w:val="center" w:pos="4153"/>
        <w:tab w:val="right" w:pos="8306"/>
      </w:tabs>
      <w:snapToGrid w:val="0"/>
      <w:jc w:val="left"/>
    </w:pPr>
    <w:rPr>
      <w:sz w:val="18"/>
      <w:szCs w:val="18"/>
    </w:rPr>
  </w:style>
  <w:style w:type="paragraph" w:styleId="a5">
    <w:name w:val="header"/>
    <w:basedOn w:val="a"/>
    <w:link w:val="Char1"/>
    <w:uiPriority w:val="99"/>
    <w:unhideWhenUsed/>
    <w:rsid w:val="00B57E7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57E72"/>
    <w:rPr>
      <w:sz w:val="18"/>
      <w:szCs w:val="18"/>
    </w:rPr>
  </w:style>
  <w:style w:type="character" w:customStyle="1" w:styleId="Char0">
    <w:name w:val="页脚 Char"/>
    <w:basedOn w:val="a0"/>
    <w:link w:val="a4"/>
    <w:uiPriority w:val="99"/>
    <w:rsid w:val="00B57E72"/>
    <w:rPr>
      <w:sz w:val="18"/>
      <w:szCs w:val="18"/>
    </w:rPr>
  </w:style>
  <w:style w:type="character" w:customStyle="1" w:styleId="Char">
    <w:name w:val="批注框文本 Char"/>
    <w:basedOn w:val="a0"/>
    <w:link w:val="a3"/>
    <w:uiPriority w:val="99"/>
    <w:semiHidden/>
    <w:qFormat/>
    <w:rsid w:val="00B57E7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FDC137B-EDC7-4745-B9BA-6A5DDAE50B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238</Words>
  <Characters>1359</Characters>
  <Application>Microsoft Office Word</Application>
  <DocSecurity>0</DocSecurity>
  <Lines>11</Lines>
  <Paragraphs>3</Paragraphs>
  <ScaleCrop>false</ScaleCrop>
  <Company>Microsoft</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jerusalem</dc:creator>
  <cp:lastModifiedBy>FZ</cp:lastModifiedBy>
  <cp:revision>71</cp:revision>
  <cp:lastPrinted>2016-01-25T06:56:00Z</cp:lastPrinted>
  <dcterms:created xsi:type="dcterms:W3CDTF">2016-01-06T08:32:00Z</dcterms:created>
  <dcterms:modified xsi:type="dcterms:W3CDTF">2016-01-26T02:13:00Z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