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bCs/>
          <w:sz w:val="24"/>
          <w:szCs w:val="24"/>
        </w:rPr>
      </w:pPr>
      <w:bookmarkStart w:id="0" w:name="_GoBack"/>
      <w:bookmarkEnd w:id="0"/>
      <w:r>
        <w:rPr>
          <w:rFonts w:hint="eastAsia" w:ascii="宋体" w:hAnsi="宋体" w:eastAsia="宋体"/>
          <w:b/>
          <w:bCs/>
          <w:sz w:val="24"/>
          <w:szCs w:val="24"/>
        </w:rPr>
        <w:t>外国语学院托福标准化考场</w:t>
      </w:r>
    </w:p>
    <w:p>
      <w:pPr>
        <w:jc w:val="center"/>
        <w:rPr>
          <w:rFonts w:ascii="宋体" w:hAnsi="宋体" w:eastAsia="宋体"/>
          <w:b/>
          <w:bCs/>
          <w:sz w:val="24"/>
          <w:szCs w:val="24"/>
        </w:rPr>
      </w:pPr>
      <w:r>
        <w:rPr>
          <w:rFonts w:hint="eastAsia" w:ascii="宋体" w:hAnsi="宋体" w:eastAsia="宋体"/>
          <w:b/>
          <w:bCs/>
          <w:sz w:val="24"/>
          <w:szCs w:val="24"/>
        </w:rPr>
        <w:t>监控与多媒体设备采购项目</w:t>
      </w:r>
    </w:p>
    <w:p>
      <w:pPr>
        <w:pStyle w:val="13"/>
        <w:numPr>
          <w:ilvl w:val="0"/>
          <w:numId w:val="1"/>
        </w:numPr>
        <w:spacing w:before="156" w:beforeLines="50" w:after="156" w:afterLines="50" w:line="360" w:lineRule="auto"/>
        <w:ind w:left="482" w:hanging="482" w:hangingChars="200"/>
        <w:rPr>
          <w:rFonts w:ascii="宋体" w:hAnsi="宋体" w:eastAsia="宋体"/>
          <w:b/>
          <w:bCs/>
          <w:sz w:val="24"/>
          <w:szCs w:val="24"/>
        </w:rPr>
      </w:pPr>
      <w:r>
        <w:rPr>
          <w:rFonts w:hint="eastAsia" w:ascii="宋体" w:hAnsi="宋体" w:eastAsia="宋体"/>
          <w:b/>
          <w:bCs/>
          <w:sz w:val="24"/>
          <w:szCs w:val="24"/>
        </w:rPr>
        <w:t>总则</w:t>
      </w:r>
    </w:p>
    <w:p>
      <w:pPr>
        <w:rPr>
          <w:sz w:val="24"/>
          <w:szCs w:val="24"/>
        </w:rPr>
      </w:pPr>
      <w:r>
        <w:rPr>
          <w:sz w:val="24"/>
          <w:szCs w:val="24"/>
        </w:rPr>
        <w:t>1. 本技术规格所提出的要求是对本次招标欲采购货物及配套服务的基本技术要求，并未涉及所有技术细节，也未充分引述有关标准、规范的全部条款。投标人应保证其提供的货物及配套服务除了满足本技术规格的要求外，还应符合国家、行业、地方的有关标准、规范。当上述标准、规范的有关规定之间存在差异时，应以要求高的为准；当上述标准、规范的有关规定与本技术规格的规定之间存在差异时，应以本技术规格为准。</w:t>
      </w:r>
    </w:p>
    <w:p>
      <w:pPr>
        <w:rPr>
          <w:sz w:val="24"/>
          <w:szCs w:val="24"/>
        </w:rPr>
      </w:pPr>
      <w:r>
        <w:rPr>
          <w:sz w:val="24"/>
          <w:szCs w:val="24"/>
        </w:rPr>
        <w:t>2. 本技术规格中所有指定的具体技术参数或参数范围，均应理解为是招标人可接受的最低要求。当对应技术参数或参数范围是越小越好时，则指定的具体技术参数或参数范围应理解为是上限值或最大允许范围；当对应技术参数或参数范围是越大越好时，则指定的具体技术参数或参数范围应理解为是下限值或最小允许范围。除有特殊说明之外。</w:t>
      </w:r>
    </w:p>
    <w:p>
      <w:pPr>
        <w:rPr>
          <w:sz w:val="24"/>
          <w:szCs w:val="24"/>
        </w:rPr>
      </w:pPr>
      <w:r>
        <w:rPr>
          <w:sz w:val="24"/>
          <w:szCs w:val="24"/>
        </w:rPr>
        <w:t>3. 本技术规格中指定的工艺、材料和设备的标准以及参照的商标、品牌、原产地或型号（若有时）仅说明使用，并没有任何限制性。投标人在投标中可以选用替代工艺、材料、标准、商标、品牌、原产地或型号，但这些替代要实质上满足或优于本技术规格的要求。</w:t>
      </w:r>
    </w:p>
    <w:p>
      <w:pPr>
        <w:rPr>
          <w:sz w:val="24"/>
          <w:szCs w:val="24"/>
        </w:rPr>
      </w:pPr>
      <w:r>
        <w:rPr>
          <w:sz w:val="24"/>
          <w:szCs w:val="24"/>
        </w:rPr>
        <w:t>4. 本技术规格中加注"▲"号的技术规格要求为重要要求，投标人须对此技术规格进行详细说明，并按要求提供相关证明材料，如投标人有任意一项不符合或存在负偏离，或按照要求未提供证明文件的，将可能被评标委员会做出不利的评估。</w:t>
      </w:r>
    </w:p>
    <w:p>
      <w:pPr>
        <w:rPr>
          <w:sz w:val="24"/>
          <w:szCs w:val="24"/>
        </w:rPr>
      </w:pPr>
      <w:r>
        <w:rPr>
          <w:sz w:val="24"/>
          <w:szCs w:val="24"/>
        </w:rPr>
        <w:t>5. "▲"为方便评标，主要设备必须提供对应品牌型号的产品链接</w:t>
      </w:r>
      <w:r>
        <w:rPr>
          <w:rFonts w:hint="eastAsia"/>
          <w:sz w:val="24"/>
          <w:szCs w:val="24"/>
        </w:rPr>
        <w:t>电子版文档</w:t>
      </w:r>
      <w:r>
        <w:rPr>
          <w:sz w:val="24"/>
          <w:szCs w:val="24"/>
        </w:rPr>
        <w:t>（主流在线商场可查）。</w:t>
      </w:r>
    </w:p>
    <w:p>
      <w:pPr>
        <w:pStyle w:val="13"/>
        <w:numPr>
          <w:ilvl w:val="0"/>
          <w:numId w:val="1"/>
        </w:numPr>
        <w:spacing w:before="156" w:beforeLines="50" w:after="156" w:afterLines="50" w:line="360" w:lineRule="auto"/>
        <w:ind w:left="482" w:hanging="482" w:hangingChars="200"/>
        <w:rPr>
          <w:rFonts w:ascii="宋体" w:hAnsi="宋体" w:eastAsia="宋体"/>
          <w:b/>
          <w:bCs/>
          <w:sz w:val="24"/>
          <w:szCs w:val="24"/>
        </w:rPr>
      </w:pPr>
      <w:r>
        <w:rPr>
          <w:rFonts w:hint="eastAsia" w:ascii="宋体" w:hAnsi="宋体" w:eastAsia="宋体"/>
          <w:b/>
          <w:bCs/>
          <w:sz w:val="24"/>
          <w:szCs w:val="24"/>
        </w:rPr>
        <w:t>监控系统需求</w:t>
      </w:r>
    </w:p>
    <w:p>
      <w:pPr>
        <w:rPr>
          <w:sz w:val="24"/>
          <w:szCs w:val="24"/>
        </w:rPr>
      </w:pPr>
      <w:r>
        <w:rPr>
          <w:rFonts w:hint="eastAsia"/>
          <w:sz w:val="24"/>
          <w:szCs w:val="24"/>
        </w:rPr>
        <w:t>为了提高托福考试的安全性和公正性，考场监控是必要的。以下是托福考场监控所需的一些功能和要求：</w:t>
      </w:r>
    </w:p>
    <w:p>
      <w:pPr>
        <w:rPr>
          <w:sz w:val="24"/>
          <w:szCs w:val="24"/>
        </w:rPr>
      </w:pPr>
      <w:r>
        <w:rPr>
          <w:sz w:val="24"/>
          <w:szCs w:val="24"/>
        </w:rPr>
        <w:t>1. 音视频监控：在托福考场的各个角落安装视频监控摄像头，以实时记录考生的考试行为和考场情况。监控摄像头应能够提供清晰的图像和可靠的录像功能。音频监控设备</w:t>
      </w:r>
      <w:r>
        <w:rPr>
          <w:rFonts w:hint="eastAsia"/>
          <w:sz w:val="24"/>
          <w:szCs w:val="24"/>
        </w:rPr>
        <w:t>能够</w:t>
      </w:r>
      <w:r>
        <w:rPr>
          <w:sz w:val="24"/>
          <w:szCs w:val="24"/>
        </w:rPr>
        <w:t>监听考生的语言交流和可能的作弊行为，确保考试的公正性。</w:t>
      </w:r>
    </w:p>
    <w:p>
      <w:pPr>
        <w:rPr>
          <w:sz w:val="24"/>
          <w:szCs w:val="24"/>
        </w:rPr>
      </w:pPr>
      <w:r>
        <w:rPr>
          <w:rFonts w:hint="eastAsia"/>
          <w:sz w:val="24"/>
          <w:szCs w:val="24"/>
        </w:rPr>
        <w:t>2</w:t>
      </w:r>
      <w:r>
        <w:rPr>
          <w:sz w:val="24"/>
          <w:szCs w:val="24"/>
        </w:rPr>
        <w:t xml:space="preserve"> 考场布局设计：考场的摄像头布置应能够覆盖所有考生的位置，并确保能够清晰捕捉到每位考生的行为。摄像头的角度和位置应该经过合理规划和测试，以免出现盲区或视野受限的情况。</w:t>
      </w:r>
    </w:p>
    <w:p>
      <w:pPr>
        <w:rPr>
          <w:sz w:val="24"/>
          <w:szCs w:val="24"/>
        </w:rPr>
      </w:pPr>
      <w:r>
        <w:rPr>
          <w:rFonts w:hint="eastAsia"/>
          <w:sz w:val="24"/>
          <w:szCs w:val="24"/>
        </w:rPr>
        <w:t>3</w:t>
      </w:r>
      <w:r>
        <w:rPr>
          <w:sz w:val="24"/>
          <w:szCs w:val="24"/>
        </w:rPr>
        <w:t xml:space="preserve"> 存储和备份：考场监控系统应具备足够的存储空间，能够保存</w:t>
      </w:r>
      <w:r>
        <w:rPr>
          <w:rFonts w:hint="eastAsia"/>
          <w:sz w:val="24"/>
          <w:szCs w:val="24"/>
        </w:rPr>
        <w:t>半年以上</w:t>
      </w:r>
      <w:r>
        <w:rPr>
          <w:sz w:val="24"/>
          <w:szCs w:val="24"/>
        </w:rPr>
        <w:t>的监控数据。此外，系统还应该具备数据备份功能，以防止数据丢失或损坏。</w:t>
      </w:r>
    </w:p>
    <w:p>
      <w:pPr>
        <w:rPr>
          <w:sz w:val="24"/>
          <w:szCs w:val="24"/>
        </w:rPr>
      </w:pPr>
      <w:r>
        <w:rPr>
          <w:rFonts w:hint="eastAsia"/>
          <w:sz w:val="24"/>
          <w:szCs w:val="24"/>
        </w:rPr>
        <w:t>4</w:t>
      </w:r>
      <w:r>
        <w:rPr>
          <w:sz w:val="24"/>
          <w:szCs w:val="24"/>
        </w:rPr>
        <w:t>. 数据保护和访问权限：考场监控数据应受到严格的保护，只允许授权人员访问和管理。数据的传输和存储应采用加密等安全措施，以防止非法获取或篡改。</w:t>
      </w:r>
    </w:p>
    <w:p>
      <w:pPr>
        <w:rPr>
          <w:sz w:val="24"/>
          <w:szCs w:val="24"/>
        </w:rPr>
      </w:pPr>
      <w:r>
        <w:rPr>
          <w:rFonts w:hint="eastAsia"/>
          <w:sz w:val="24"/>
          <w:szCs w:val="24"/>
        </w:rPr>
        <w:t>5</w:t>
      </w:r>
      <w:r>
        <w:rPr>
          <w:sz w:val="24"/>
          <w:szCs w:val="24"/>
        </w:rPr>
        <w:t>. 远程监控和报警功能：监控系统应支持远程实时监控，允许监考人员或管理人员通过网络查看考场情况。同时，系统还应具备报警功能，能够自动检测异常行为并及时通知相关人员。</w:t>
      </w:r>
    </w:p>
    <w:p>
      <w:pPr>
        <w:pStyle w:val="13"/>
        <w:numPr>
          <w:ilvl w:val="0"/>
          <w:numId w:val="1"/>
        </w:numPr>
        <w:spacing w:before="156" w:beforeLines="50" w:after="156" w:afterLines="50" w:line="360" w:lineRule="auto"/>
        <w:ind w:left="482" w:hanging="482" w:hangingChars="200"/>
        <w:rPr>
          <w:rFonts w:ascii="宋体" w:hAnsi="宋体" w:eastAsia="宋体"/>
          <w:b/>
          <w:bCs/>
          <w:sz w:val="24"/>
          <w:szCs w:val="24"/>
        </w:rPr>
      </w:pPr>
      <w:r>
        <w:rPr>
          <w:rFonts w:hint="eastAsia" w:ascii="宋体" w:hAnsi="宋体" w:eastAsia="宋体"/>
          <w:b/>
          <w:bCs/>
          <w:sz w:val="24"/>
          <w:szCs w:val="24"/>
        </w:rPr>
        <w:t>多媒体主要设备需求</w:t>
      </w:r>
    </w:p>
    <w:p>
      <w:pPr>
        <w:widowControl/>
        <w:numPr>
          <w:ilvl w:val="0"/>
          <w:numId w:val="2"/>
        </w:numPr>
        <w:jc w:val="left"/>
        <w:rPr>
          <w:rFonts w:cs="宋体" w:asciiTheme="minorEastAsia" w:hAnsiTheme="minorEastAsia"/>
          <w:color w:val="343541"/>
          <w:kern w:val="0"/>
          <w:sz w:val="24"/>
          <w:szCs w:val="24"/>
          <w14:ligatures w14:val="none"/>
        </w:rPr>
      </w:pPr>
      <w:r>
        <w:rPr>
          <w:rFonts w:cs="宋体" w:asciiTheme="minorEastAsia" w:hAnsiTheme="minorEastAsia"/>
          <w:color w:val="343541"/>
          <w:kern w:val="0"/>
          <w:sz w:val="24"/>
          <w:szCs w:val="24"/>
          <w14:ligatures w14:val="none"/>
        </w:rPr>
        <w:t>功放：</w:t>
      </w:r>
    </w:p>
    <w:p>
      <w:pPr>
        <w:widowControl/>
        <w:numPr>
          <w:ilvl w:val="1"/>
          <w:numId w:val="2"/>
        </w:numPr>
        <w:jc w:val="left"/>
        <w:rPr>
          <w:rFonts w:cs="宋体" w:asciiTheme="minorEastAsia" w:hAnsiTheme="minorEastAsia"/>
          <w:color w:val="343541"/>
          <w:kern w:val="0"/>
          <w:sz w:val="24"/>
          <w:szCs w:val="24"/>
          <w14:ligatures w14:val="none"/>
        </w:rPr>
      </w:pPr>
      <w:r>
        <w:rPr>
          <w:rFonts w:cs="宋体" w:asciiTheme="minorEastAsia" w:hAnsiTheme="minorEastAsia"/>
          <w:color w:val="343541"/>
          <w:kern w:val="0"/>
          <w:sz w:val="24"/>
          <w:szCs w:val="24"/>
          <w14:ligatures w14:val="none"/>
        </w:rPr>
        <w:t>多通道功放：选择具有多个通道的功放，以便可以同时驱动多个扬声器。</w:t>
      </w:r>
    </w:p>
    <w:p>
      <w:pPr>
        <w:widowControl/>
        <w:numPr>
          <w:ilvl w:val="1"/>
          <w:numId w:val="2"/>
        </w:numPr>
        <w:jc w:val="left"/>
        <w:rPr>
          <w:rFonts w:cs="宋体" w:asciiTheme="minorEastAsia" w:hAnsiTheme="minorEastAsia"/>
          <w:color w:val="343541"/>
          <w:kern w:val="0"/>
          <w:sz w:val="24"/>
          <w:szCs w:val="24"/>
          <w14:ligatures w14:val="none"/>
        </w:rPr>
      </w:pPr>
      <w:r>
        <w:rPr>
          <w:rFonts w:cs="宋体" w:asciiTheme="minorEastAsia" w:hAnsiTheme="minorEastAsia"/>
          <w:color w:val="343541"/>
          <w:kern w:val="0"/>
          <w:sz w:val="24"/>
          <w:szCs w:val="24"/>
          <w14:ligatures w14:val="none"/>
        </w:rPr>
        <w:t>功率适配：根据房间的大小和预期的音量需求，选择适当功率的功放。</w:t>
      </w:r>
    </w:p>
    <w:p>
      <w:pPr>
        <w:widowControl/>
        <w:numPr>
          <w:ilvl w:val="0"/>
          <w:numId w:val="2"/>
        </w:numPr>
        <w:jc w:val="left"/>
        <w:rPr>
          <w:rFonts w:cs="宋体" w:asciiTheme="minorEastAsia" w:hAnsiTheme="minorEastAsia"/>
          <w:color w:val="343541"/>
          <w:kern w:val="0"/>
          <w:sz w:val="24"/>
          <w:szCs w:val="24"/>
          <w14:ligatures w14:val="none"/>
        </w:rPr>
      </w:pPr>
      <w:r>
        <w:rPr>
          <w:rFonts w:hint="eastAsia" w:cs="宋体" w:asciiTheme="minorEastAsia" w:hAnsiTheme="minorEastAsia"/>
          <w:color w:val="343541"/>
          <w:kern w:val="0"/>
          <w:sz w:val="24"/>
          <w:szCs w:val="24"/>
          <w14:ligatures w14:val="none"/>
        </w:rPr>
        <w:t>音视频</w:t>
      </w:r>
      <w:r>
        <w:rPr>
          <w:rFonts w:cs="宋体" w:asciiTheme="minorEastAsia" w:hAnsiTheme="minorEastAsia"/>
          <w:color w:val="343541"/>
          <w:kern w:val="0"/>
          <w:sz w:val="24"/>
          <w:szCs w:val="24"/>
          <w14:ligatures w14:val="none"/>
        </w:rPr>
        <w:t>矩阵：</w:t>
      </w:r>
    </w:p>
    <w:p>
      <w:pPr>
        <w:widowControl/>
        <w:numPr>
          <w:ilvl w:val="1"/>
          <w:numId w:val="2"/>
        </w:numPr>
        <w:jc w:val="left"/>
        <w:rPr>
          <w:rFonts w:cs="宋体" w:asciiTheme="minorEastAsia" w:hAnsiTheme="minorEastAsia"/>
          <w:color w:val="343541"/>
          <w:kern w:val="0"/>
          <w:sz w:val="24"/>
          <w:szCs w:val="24"/>
          <w14:ligatures w14:val="none"/>
        </w:rPr>
      </w:pPr>
      <w:r>
        <w:rPr>
          <w:rFonts w:cs="宋体" w:asciiTheme="minorEastAsia" w:hAnsiTheme="minorEastAsia"/>
          <w:color w:val="343541"/>
          <w:kern w:val="0"/>
          <w:sz w:val="24"/>
          <w:szCs w:val="24"/>
          <w14:ligatures w14:val="none"/>
        </w:rPr>
        <w:t>多路复用：音视频矩阵可以同时处理多个音频和视频信号，使其能够在同一时间内传输多个信号。这对于多个会议室或多个音频/视频源的环境非常有用。</w:t>
      </w:r>
    </w:p>
    <w:p>
      <w:pPr>
        <w:widowControl/>
        <w:numPr>
          <w:ilvl w:val="1"/>
          <w:numId w:val="2"/>
        </w:numPr>
        <w:jc w:val="left"/>
        <w:rPr>
          <w:rFonts w:cs="宋体" w:asciiTheme="minorEastAsia" w:hAnsiTheme="minorEastAsia"/>
          <w:color w:val="343541"/>
          <w:kern w:val="0"/>
          <w:sz w:val="24"/>
          <w:szCs w:val="24"/>
          <w14:ligatures w14:val="none"/>
        </w:rPr>
      </w:pPr>
      <w:r>
        <w:rPr>
          <w:rFonts w:cs="宋体" w:asciiTheme="minorEastAsia" w:hAnsiTheme="minorEastAsia"/>
          <w:color w:val="343541"/>
          <w:kern w:val="0"/>
          <w:sz w:val="24"/>
          <w:szCs w:val="24"/>
          <w14:ligatures w14:val="none"/>
        </w:rPr>
        <w:t>信号转换：音视频矩阵可以支持不同的音频和视频格式，并具有信号转换功能。这意味着它可以将不同格式的信号转换为兼容的格式，以便与不同类型的设备进行连接和交互。</w:t>
      </w:r>
    </w:p>
    <w:p>
      <w:pPr>
        <w:widowControl/>
        <w:numPr>
          <w:ilvl w:val="1"/>
          <w:numId w:val="2"/>
        </w:numPr>
        <w:jc w:val="left"/>
        <w:rPr>
          <w:rFonts w:cs="宋体" w:asciiTheme="minorEastAsia" w:hAnsiTheme="minorEastAsia"/>
          <w:color w:val="343541"/>
          <w:kern w:val="0"/>
          <w:sz w:val="24"/>
          <w:szCs w:val="24"/>
          <w14:ligatures w14:val="none"/>
        </w:rPr>
      </w:pPr>
      <w:r>
        <w:rPr>
          <w:rFonts w:cs="宋体" w:asciiTheme="minorEastAsia" w:hAnsiTheme="minorEastAsia"/>
          <w:color w:val="343541"/>
          <w:kern w:val="0"/>
          <w:sz w:val="24"/>
          <w:szCs w:val="24"/>
          <w14:ligatures w14:val="none"/>
        </w:rPr>
        <w:t>控制和管理：音视频矩阵通常配备了一个控制界面，可以通过该界面进行信号路由、输入/输出设置和其他参数的调整。这使得用户可以方便地控制和管理音视频信号的流动。</w:t>
      </w:r>
    </w:p>
    <w:p>
      <w:pPr>
        <w:widowControl/>
        <w:numPr>
          <w:ilvl w:val="0"/>
          <w:numId w:val="2"/>
        </w:numPr>
        <w:jc w:val="left"/>
        <w:rPr>
          <w:rFonts w:cs="宋体" w:asciiTheme="minorEastAsia" w:hAnsiTheme="minorEastAsia"/>
          <w:color w:val="343541"/>
          <w:kern w:val="0"/>
          <w:sz w:val="24"/>
          <w:szCs w:val="24"/>
          <w14:ligatures w14:val="none"/>
        </w:rPr>
      </w:pPr>
      <w:r>
        <w:rPr>
          <w:rFonts w:hint="eastAsia" w:cs="宋体" w:asciiTheme="minorEastAsia" w:hAnsiTheme="minorEastAsia"/>
          <w:color w:val="343541"/>
          <w:kern w:val="0"/>
          <w:sz w:val="24"/>
          <w:szCs w:val="24"/>
          <w14:ligatures w14:val="none"/>
        </w:rPr>
        <w:t>音响</w:t>
      </w:r>
      <w:r>
        <w:rPr>
          <w:rFonts w:cs="宋体" w:asciiTheme="minorEastAsia" w:hAnsiTheme="minorEastAsia"/>
          <w:color w:val="343541"/>
          <w:kern w:val="0"/>
          <w:sz w:val="24"/>
          <w:szCs w:val="24"/>
          <w14:ligatures w14:val="none"/>
        </w:rPr>
        <w:t>系统：</w:t>
      </w:r>
    </w:p>
    <w:p>
      <w:pPr>
        <w:widowControl/>
        <w:numPr>
          <w:ilvl w:val="1"/>
          <w:numId w:val="2"/>
        </w:numPr>
        <w:jc w:val="left"/>
        <w:rPr>
          <w:rFonts w:cs="宋体" w:asciiTheme="minorEastAsia" w:hAnsiTheme="minorEastAsia"/>
          <w:color w:val="343541"/>
          <w:kern w:val="0"/>
          <w:sz w:val="24"/>
          <w:szCs w:val="24"/>
          <w14:ligatures w14:val="none"/>
        </w:rPr>
      </w:pPr>
      <w:r>
        <w:rPr>
          <w:rFonts w:cs="宋体" w:asciiTheme="minorEastAsia" w:hAnsiTheme="minorEastAsia"/>
          <w:color w:val="343541"/>
          <w:kern w:val="0"/>
          <w:sz w:val="24"/>
          <w:szCs w:val="24"/>
          <w14:ligatures w14:val="none"/>
        </w:rPr>
        <w:t>立体声/环绕声：根据房间的大小和预期的音效需求，选择适当的立体声或环绕声扬声器系统。</w:t>
      </w:r>
    </w:p>
    <w:p>
      <w:pPr>
        <w:widowControl/>
        <w:numPr>
          <w:ilvl w:val="1"/>
          <w:numId w:val="2"/>
        </w:numPr>
        <w:jc w:val="left"/>
        <w:rPr>
          <w:rFonts w:cs="宋体" w:asciiTheme="minorEastAsia" w:hAnsiTheme="minorEastAsia"/>
          <w:color w:val="343541"/>
          <w:kern w:val="0"/>
          <w:sz w:val="24"/>
          <w:szCs w:val="24"/>
          <w14:ligatures w14:val="none"/>
        </w:rPr>
      </w:pPr>
      <w:r>
        <w:rPr>
          <w:rFonts w:cs="宋体" w:asciiTheme="minorEastAsia" w:hAnsiTheme="minorEastAsia"/>
          <w:color w:val="343541"/>
          <w:kern w:val="0"/>
          <w:sz w:val="24"/>
          <w:szCs w:val="24"/>
          <w14:ligatures w14:val="none"/>
        </w:rPr>
        <w:t>分布式音响：如果需要在整个房间中实现均衡的音响效果，可以考虑使用分布式音响系统。</w:t>
      </w:r>
    </w:p>
    <w:p>
      <w:pPr>
        <w:widowControl/>
        <w:numPr>
          <w:ilvl w:val="0"/>
          <w:numId w:val="2"/>
        </w:numPr>
        <w:jc w:val="left"/>
        <w:rPr>
          <w:rFonts w:cs="宋体" w:asciiTheme="minorEastAsia" w:hAnsiTheme="minorEastAsia"/>
          <w:color w:val="343541"/>
          <w:kern w:val="0"/>
          <w:sz w:val="24"/>
          <w:szCs w:val="24"/>
          <w14:ligatures w14:val="none"/>
        </w:rPr>
      </w:pPr>
      <w:r>
        <w:rPr>
          <w:rFonts w:hint="eastAsia" w:cs="宋体" w:asciiTheme="minorEastAsia" w:hAnsiTheme="minorEastAsia"/>
          <w:color w:val="343541"/>
          <w:kern w:val="0"/>
          <w:sz w:val="24"/>
          <w:szCs w:val="24"/>
          <w14:ligatures w14:val="none"/>
        </w:rPr>
        <w:t>视频会议设备</w:t>
      </w:r>
      <w:r>
        <w:rPr>
          <w:rFonts w:cs="宋体" w:asciiTheme="minorEastAsia" w:hAnsiTheme="minorEastAsia"/>
          <w:color w:val="343541"/>
          <w:kern w:val="0"/>
          <w:sz w:val="24"/>
          <w:szCs w:val="24"/>
          <w14:ligatures w14:val="none"/>
        </w:rPr>
        <w:t>：</w:t>
      </w:r>
    </w:p>
    <w:p>
      <w:pPr>
        <w:widowControl/>
        <w:numPr>
          <w:ilvl w:val="1"/>
          <w:numId w:val="2"/>
        </w:numPr>
        <w:jc w:val="left"/>
        <w:rPr>
          <w:rFonts w:cs="宋体" w:asciiTheme="minorEastAsia" w:hAnsiTheme="minorEastAsia"/>
          <w:color w:val="343541"/>
          <w:kern w:val="0"/>
          <w:sz w:val="24"/>
          <w:szCs w:val="24"/>
          <w14:ligatures w14:val="none"/>
        </w:rPr>
      </w:pPr>
      <w:r>
        <w:rPr>
          <w:rFonts w:cs="宋体" w:asciiTheme="minorEastAsia" w:hAnsiTheme="minorEastAsia"/>
          <w:color w:val="343541"/>
          <w:kern w:val="0"/>
          <w:sz w:val="24"/>
          <w:szCs w:val="24"/>
          <w14:ligatures w14:val="none"/>
        </w:rPr>
        <w:t>视频通话：视频会议设备可以通过网络连接，实现实时的视频通话功能。用户可以通过摄像头捕捉自己的图像，并在远程会议中与其他参与者进行面对面的交流。</w:t>
      </w:r>
    </w:p>
    <w:p>
      <w:pPr>
        <w:widowControl/>
        <w:numPr>
          <w:ilvl w:val="1"/>
          <w:numId w:val="2"/>
        </w:numPr>
        <w:jc w:val="left"/>
        <w:rPr>
          <w:rFonts w:cs="宋体" w:asciiTheme="minorEastAsia" w:hAnsiTheme="minorEastAsia"/>
          <w:color w:val="343541"/>
          <w:kern w:val="0"/>
          <w:sz w:val="24"/>
          <w:szCs w:val="24"/>
          <w14:ligatures w14:val="none"/>
        </w:rPr>
      </w:pPr>
      <w:r>
        <w:rPr>
          <w:rFonts w:cs="宋体" w:asciiTheme="minorEastAsia" w:hAnsiTheme="minorEastAsia"/>
          <w:color w:val="343541"/>
          <w:kern w:val="0"/>
          <w:sz w:val="24"/>
          <w:szCs w:val="24"/>
          <w14:ligatures w14:val="none"/>
        </w:rPr>
        <w:t>音频通话：视频会议设备通常配备高质量的麦克风和扬声器，以实现清晰的音频通话。用户可以通过麦克风捕捉自己的声音，并通过扬声器听到其他参与者的声音。</w:t>
      </w:r>
    </w:p>
    <w:p>
      <w:pPr>
        <w:pStyle w:val="13"/>
        <w:numPr>
          <w:ilvl w:val="0"/>
          <w:numId w:val="1"/>
        </w:numPr>
        <w:spacing w:before="156" w:beforeLines="50" w:after="156" w:afterLines="50" w:line="360" w:lineRule="auto"/>
        <w:ind w:left="480" w:hanging="480" w:hangingChars="200"/>
        <w:rPr>
          <w:rFonts w:asciiTheme="minorEastAsia" w:hAnsiTheme="minorEastAsia"/>
          <w:b/>
          <w:bCs/>
          <w:sz w:val="24"/>
          <w:szCs w:val="24"/>
        </w:rPr>
      </w:pPr>
      <w:r>
        <w:rPr>
          <w:rFonts w:hint="eastAsia" w:asciiTheme="minorEastAsia" w:hAnsiTheme="minorEastAsia"/>
          <w:b/>
          <w:bCs/>
          <w:sz w:val="24"/>
          <w:szCs w:val="24"/>
        </w:rPr>
        <w:t>设备与施工清单</w:t>
      </w:r>
    </w:p>
    <w:tbl>
      <w:tblPr>
        <w:tblStyle w:val="7"/>
        <w:tblW w:w="9265" w:type="dxa"/>
        <w:jc w:val="center"/>
        <w:tblLayout w:type="autofit"/>
        <w:tblCellMar>
          <w:top w:w="0" w:type="dxa"/>
          <w:left w:w="108" w:type="dxa"/>
          <w:bottom w:w="0" w:type="dxa"/>
          <w:right w:w="108" w:type="dxa"/>
        </w:tblCellMar>
      </w:tblPr>
      <w:tblGrid>
        <w:gridCol w:w="772"/>
        <w:gridCol w:w="1638"/>
        <w:gridCol w:w="5335"/>
        <w:gridCol w:w="743"/>
        <w:gridCol w:w="777"/>
      </w:tblGrid>
      <w:tr>
        <w:tblPrEx>
          <w:tblCellMar>
            <w:top w:w="0" w:type="dxa"/>
            <w:left w:w="108" w:type="dxa"/>
            <w:bottom w:w="0" w:type="dxa"/>
            <w:right w:w="108" w:type="dxa"/>
          </w:tblCellMar>
        </w:tblPrEx>
        <w:trPr>
          <w:trHeight w:val="426" w:hRule="atLeast"/>
          <w:jc w:val="center"/>
        </w:trPr>
        <w:tc>
          <w:tcPr>
            <w:tcW w:w="9265" w:type="dxa"/>
            <w:gridSpan w:val="5"/>
            <w:tcBorders>
              <w:top w:val="nil"/>
              <w:left w:val="nil"/>
              <w:bottom w:val="single" w:color="auto" w:sz="4" w:space="0"/>
              <w:right w:val="nil"/>
            </w:tcBorders>
            <w:shd w:val="clear" w:color="auto" w:fill="auto"/>
            <w:noWrap/>
            <w:vAlign w:val="center"/>
          </w:tcPr>
          <w:p>
            <w:pPr>
              <w:widowControl/>
              <w:jc w:val="left"/>
              <w:rPr>
                <w:rFonts w:ascii="宋体" w:hAnsi="宋体" w:eastAsia="宋体" w:cs="宋体"/>
                <w:b/>
                <w:bCs/>
                <w:color w:val="000000"/>
                <w:kern w:val="0"/>
                <w:szCs w:val="21"/>
                <w14:ligatures w14:val="none"/>
              </w:rPr>
            </w:pPr>
            <w:r>
              <w:rPr>
                <w:rFonts w:hint="eastAsia" w:ascii="宋体" w:hAnsi="宋体" w:eastAsia="宋体" w:cs="宋体"/>
                <w:b/>
                <w:bCs/>
                <w:color w:val="000000"/>
                <w:kern w:val="0"/>
                <w:szCs w:val="21"/>
                <w14:ligatures w14:val="none"/>
              </w:rPr>
              <w:t>1.主要设备</w:t>
            </w:r>
          </w:p>
        </w:tc>
      </w:tr>
      <w:tr>
        <w:tblPrEx>
          <w:tblCellMar>
            <w:top w:w="0" w:type="dxa"/>
            <w:left w:w="108" w:type="dxa"/>
            <w:bottom w:w="0" w:type="dxa"/>
            <w:right w:w="108" w:type="dxa"/>
          </w:tblCellMar>
        </w:tblPrEx>
        <w:trPr>
          <w:trHeight w:val="293"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14:ligatures w14:val="none"/>
              </w:rPr>
            </w:pPr>
            <w:r>
              <w:rPr>
                <w:rFonts w:hint="eastAsia" w:ascii="宋体" w:hAnsi="宋体" w:eastAsia="宋体" w:cs="宋体"/>
                <w:b/>
                <w:bCs/>
                <w:color w:val="000000"/>
                <w:kern w:val="0"/>
                <w:szCs w:val="21"/>
                <w14:ligatures w14:val="none"/>
              </w:rPr>
              <w:t>序号</w:t>
            </w:r>
          </w:p>
        </w:tc>
        <w:tc>
          <w:tcPr>
            <w:tcW w:w="163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14:ligatures w14:val="none"/>
              </w:rPr>
            </w:pPr>
            <w:r>
              <w:rPr>
                <w:rFonts w:hint="eastAsia" w:ascii="宋体" w:hAnsi="宋体" w:eastAsia="宋体" w:cs="宋体"/>
                <w:b/>
                <w:bCs/>
                <w:color w:val="000000"/>
                <w:kern w:val="0"/>
                <w:szCs w:val="21"/>
                <w14:ligatures w14:val="none"/>
              </w:rPr>
              <w:t>产品类别</w:t>
            </w:r>
          </w:p>
        </w:tc>
        <w:tc>
          <w:tcPr>
            <w:tcW w:w="533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14:ligatures w14:val="none"/>
              </w:rPr>
            </w:pPr>
            <w:r>
              <w:rPr>
                <w:rFonts w:hint="eastAsia" w:ascii="宋体" w:hAnsi="宋体" w:eastAsia="宋体" w:cs="宋体"/>
                <w:b/>
                <w:bCs/>
                <w:color w:val="000000"/>
                <w:kern w:val="0"/>
                <w:szCs w:val="21"/>
                <w14:ligatures w14:val="none"/>
              </w:rPr>
              <w:t>技术规格</w:t>
            </w:r>
          </w:p>
        </w:tc>
        <w:tc>
          <w:tcPr>
            <w:tcW w:w="7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14:ligatures w14:val="none"/>
              </w:rPr>
            </w:pPr>
            <w:r>
              <w:rPr>
                <w:rFonts w:hint="eastAsia" w:ascii="宋体" w:hAnsi="宋体" w:eastAsia="宋体" w:cs="宋体"/>
                <w:b/>
                <w:bCs/>
                <w:color w:val="000000"/>
                <w:kern w:val="0"/>
                <w:szCs w:val="21"/>
                <w14:ligatures w14:val="none"/>
              </w:rPr>
              <w:t>单位</w:t>
            </w:r>
          </w:p>
        </w:tc>
        <w:tc>
          <w:tcPr>
            <w:tcW w:w="7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14:ligatures w14:val="none"/>
              </w:rPr>
            </w:pPr>
            <w:r>
              <w:rPr>
                <w:rFonts w:hint="eastAsia" w:ascii="宋体" w:hAnsi="宋体" w:eastAsia="宋体" w:cs="宋体"/>
                <w:b/>
                <w:bCs/>
                <w:color w:val="000000"/>
                <w:kern w:val="0"/>
                <w:szCs w:val="21"/>
                <w14:ligatures w14:val="none"/>
              </w:rPr>
              <w:t>数量</w:t>
            </w:r>
          </w:p>
        </w:tc>
      </w:tr>
      <w:tr>
        <w:tblPrEx>
          <w:tblCellMar>
            <w:top w:w="0" w:type="dxa"/>
            <w:left w:w="108" w:type="dxa"/>
            <w:bottom w:w="0" w:type="dxa"/>
            <w:right w:w="108" w:type="dxa"/>
          </w:tblCellMar>
        </w:tblPrEx>
        <w:trPr>
          <w:trHeight w:val="699"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1</w:t>
            </w:r>
          </w:p>
        </w:tc>
        <w:tc>
          <w:tcPr>
            <w:tcW w:w="163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超脑NVR（含硬盘）</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具有2个HDMI接口、2个VGA接口、2个RJ45千兆网络接口、2个USB2.0接口、2个USB3.0接口、1个RS232接口、1个RS485接口（可接入RS485键盘）、1个eSata接口，1个CVBS接口；具有1路音频输入接口、2路音频输出接口，16路报警输入接口、9路报警输出接口（其中第9路支持受控直流12V输出）；具有1路直流12V输出接口；可内置16个SATA接口硬盘</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可接入1T、2T、3T、4T、6T、8T、10T、12TB、14TB、16TB、18TB容量的SATA接口硬盘</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▲可接入64路分辨率为1920×1080的视频图像，支持最大接入带宽640Mbps，最大存储带宽640Mbps，最大转发带宽640Mbps，最大回放带宽640Mbps</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▲设备具有2个HDMI接口，2个VGA接口，1个CVBS接口，支持3组异源输出，每组输出可独立配置全局音频预览</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 xml:space="preserve">▲显示输出分辨率具有8K(7680×4320)/30Hz, 4K(3840×2160)/60Hz、4K(3840×2160)/30Hz、2K（2560×1440）/60Hz，1080P（1920×1080）/60Hz，UXGA（1600×1200）/60Hz，SXGA（1280×1024）/60Hz，720P（1280×720）/60Hz，XGA（1024×768）/60Hz设置选项    </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▲满配6t*16监控级硬盘</w:t>
            </w:r>
          </w:p>
        </w:tc>
        <w:tc>
          <w:tcPr>
            <w:tcW w:w="7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台</w:t>
            </w:r>
          </w:p>
        </w:tc>
        <w:tc>
          <w:tcPr>
            <w:tcW w:w="7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1</w:t>
            </w:r>
          </w:p>
        </w:tc>
      </w:tr>
      <w:tr>
        <w:tblPrEx>
          <w:tblCellMar>
            <w:top w:w="0" w:type="dxa"/>
            <w:left w:w="108" w:type="dxa"/>
            <w:bottom w:w="0" w:type="dxa"/>
            <w:right w:w="108" w:type="dxa"/>
          </w:tblCellMar>
        </w:tblPrEx>
        <w:trPr>
          <w:trHeight w:val="224"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2</w:t>
            </w:r>
          </w:p>
        </w:tc>
        <w:tc>
          <w:tcPr>
            <w:tcW w:w="163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监控显示屏</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27英寸 2K监控显示屏 IPS 75Hz 接口：HDMI，VGA</w:t>
            </w:r>
          </w:p>
        </w:tc>
        <w:tc>
          <w:tcPr>
            <w:tcW w:w="7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台</w:t>
            </w:r>
          </w:p>
        </w:tc>
        <w:tc>
          <w:tcPr>
            <w:tcW w:w="7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1</w:t>
            </w:r>
          </w:p>
        </w:tc>
      </w:tr>
      <w:tr>
        <w:tblPrEx>
          <w:tblCellMar>
            <w:top w:w="0" w:type="dxa"/>
            <w:left w:w="108" w:type="dxa"/>
            <w:bottom w:w="0" w:type="dxa"/>
            <w:right w:w="108" w:type="dxa"/>
          </w:tblCellMar>
        </w:tblPrEx>
        <w:trPr>
          <w:trHeight w:val="1297"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3</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24口千兆poe交换机</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提供24个千兆PoE电口，1个千兆电口，1个千兆光口</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支持IEEE 802.3at/af</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支持IEEE 802.3、IEEE 802.3u、IEEE 802.3x、IEEE802.3ab、IEEE802.3z</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支持6KV防浪涌（PoE口）</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支持PoE输出功率管理，交换能力不小于52 Gbps，包转发率不低于：38.688 Mpps</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千兆网络接入设计，整机最大poe供电功率不小于：370 W</w:t>
            </w:r>
          </w:p>
        </w:tc>
        <w:tc>
          <w:tcPr>
            <w:tcW w:w="7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台</w:t>
            </w:r>
          </w:p>
        </w:tc>
        <w:tc>
          <w:tcPr>
            <w:tcW w:w="7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6</w:t>
            </w:r>
          </w:p>
        </w:tc>
      </w:tr>
      <w:tr>
        <w:tblPrEx>
          <w:tblCellMar>
            <w:top w:w="0" w:type="dxa"/>
            <w:left w:w="108" w:type="dxa"/>
            <w:bottom w:w="0" w:type="dxa"/>
            <w:right w:w="108" w:type="dxa"/>
          </w:tblCellMar>
        </w:tblPrEx>
        <w:trPr>
          <w:trHeight w:val="1291"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4</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视频矩阵切换器</w:t>
            </w:r>
          </w:p>
        </w:tc>
        <w:tc>
          <w:tcPr>
            <w:tcW w:w="5335" w:type="dxa"/>
            <w:tcBorders>
              <w:top w:val="nil"/>
              <w:left w:val="nil"/>
              <w:bottom w:val="nil"/>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1.支持视频分辨率高达4K 60Hz，画质更细腻，细节更丰重4:4:4全带宽与全色度高采样录制，保证图像品质、2，智能EDID配置，可根据连接的显示器自动配置视频分辨率可根据连接设备同时输出不同分辨率信号3，配置音频接口，实现音频视频同步传输，无需另外音频切换设备4具备性能表现高灵敏度保证即使在低功率输出的情况下也能提供很高的声压级，且其宽广的插盖角度保证了其优良的和盖性</w:t>
            </w:r>
          </w:p>
        </w:tc>
        <w:tc>
          <w:tcPr>
            <w:tcW w:w="7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套</w:t>
            </w:r>
          </w:p>
        </w:tc>
        <w:tc>
          <w:tcPr>
            <w:tcW w:w="7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1</w:t>
            </w:r>
          </w:p>
        </w:tc>
      </w:tr>
      <w:tr>
        <w:tblPrEx>
          <w:tblCellMar>
            <w:top w:w="0" w:type="dxa"/>
            <w:left w:w="108" w:type="dxa"/>
            <w:bottom w:w="0" w:type="dxa"/>
            <w:right w:w="108" w:type="dxa"/>
          </w:tblCellMar>
        </w:tblPrEx>
        <w:trPr>
          <w:trHeight w:val="852"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5</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功放</w:t>
            </w:r>
          </w:p>
        </w:tc>
        <w:tc>
          <w:tcPr>
            <w:tcW w:w="533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Cs w:val="21"/>
                <w14:ligatures w14:val="none"/>
              </w:rPr>
            </w:pPr>
            <w:r>
              <w:rPr>
                <w:rFonts w:hint="eastAsia" w:ascii="宋体" w:hAnsi="宋体" w:eastAsia="宋体" w:cs="宋体"/>
                <w:kern w:val="0"/>
                <w:szCs w:val="21"/>
                <w14:ligatures w14:val="none"/>
              </w:rPr>
              <w:t>具备高性价比的合并式定压定阻两用功放系列，具有低阻抗功能(4欧，8欧)和高组抗70V和100V输出，▲</w:t>
            </w:r>
            <w:r>
              <w:rPr>
                <w:rFonts w:ascii="宋体" w:hAnsi="宋体" w:eastAsia="宋体" w:cs="宋体"/>
                <w:kern w:val="0"/>
                <w:szCs w:val="21"/>
                <w14:ligatures w14:val="none"/>
              </w:rPr>
              <w:t>带48V幻象电源</w:t>
            </w:r>
            <w:r>
              <w:rPr>
                <w:rFonts w:hint="eastAsia" w:ascii="宋体" w:hAnsi="宋体" w:eastAsia="宋体" w:cs="宋体"/>
                <w:kern w:val="0"/>
                <w:szCs w:val="21"/>
                <w14:ligatures w14:val="none"/>
              </w:rPr>
              <w:t>。具备5路音频输入和2分区输出。独立控制音量。支持蓝牙、USB、双莲花以及凤凰插接口，便于手机、电视、电脑、平板等设备。同时还配有6.35(麦克风接口)。</w:t>
            </w:r>
            <w:r>
              <w:rPr>
                <w:rFonts w:hint="eastAsia" w:ascii="宋体" w:hAnsi="宋体" w:eastAsia="宋体" w:cs="宋体"/>
                <w:color w:val="000000"/>
                <w:kern w:val="0"/>
                <w:szCs w:val="21"/>
                <w14:ligatures w14:val="none"/>
              </w:rPr>
              <w:t>配备6个吸顶音响，配无线接收器。</w:t>
            </w:r>
          </w:p>
        </w:tc>
        <w:tc>
          <w:tcPr>
            <w:tcW w:w="7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套</w:t>
            </w:r>
          </w:p>
        </w:tc>
        <w:tc>
          <w:tcPr>
            <w:tcW w:w="7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1</w:t>
            </w:r>
          </w:p>
        </w:tc>
      </w:tr>
      <w:tr>
        <w:tblPrEx>
          <w:tblCellMar>
            <w:top w:w="0" w:type="dxa"/>
            <w:left w:w="108" w:type="dxa"/>
            <w:bottom w:w="0" w:type="dxa"/>
            <w:right w:w="108" w:type="dxa"/>
          </w:tblCellMar>
        </w:tblPrEx>
        <w:trPr>
          <w:trHeight w:val="224"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6</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视频会议套装</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6米拾音半径全向麦克风BM31*2＋1080P高清会议摄像头SC61A云台可旋转高清光学变焦</w:t>
            </w:r>
          </w:p>
        </w:tc>
        <w:tc>
          <w:tcPr>
            <w:tcW w:w="7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套</w:t>
            </w:r>
          </w:p>
        </w:tc>
        <w:tc>
          <w:tcPr>
            <w:tcW w:w="7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1</w:t>
            </w:r>
          </w:p>
        </w:tc>
      </w:tr>
      <w:tr>
        <w:tblPrEx>
          <w:tblCellMar>
            <w:top w:w="0" w:type="dxa"/>
            <w:left w:w="108" w:type="dxa"/>
            <w:bottom w:w="0" w:type="dxa"/>
            <w:right w:w="108" w:type="dxa"/>
          </w:tblCellMar>
        </w:tblPrEx>
        <w:trPr>
          <w:trHeight w:val="1345"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7</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电子变焦半球摄像机</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▲最大分辨率1920 × 1080，水平分辨率不低于1000线。</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最低照度彩色：0.01 lx。</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红外补光可识别不小于50米处的人体。</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宽动态能力检验应不小于120。</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内置一个麦克风，具有一个RJ45网络接口。支持电子变焦</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不低于IP66防尘防水等</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支持DC12V和PoE供电。</w:t>
            </w:r>
          </w:p>
        </w:tc>
        <w:tc>
          <w:tcPr>
            <w:tcW w:w="7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台</w:t>
            </w:r>
          </w:p>
        </w:tc>
        <w:tc>
          <w:tcPr>
            <w:tcW w:w="7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26</w:t>
            </w:r>
          </w:p>
        </w:tc>
      </w:tr>
      <w:tr>
        <w:tblPrEx>
          <w:tblCellMar>
            <w:top w:w="0" w:type="dxa"/>
            <w:left w:w="108" w:type="dxa"/>
            <w:bottom w:w="0" w:type="dxa"/>
            <w:right w:w="108" w:type="dxa"/>
          </w:tblCellMar>
        </w:tblPrEx>
        <w:trPr>
          <w:trHeight w:val="1374"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8</w:t>
            </w:r>
          </w:p>
        </w:tc>
        <w:tc>
          <w:tcPr>
            <w:tcW w:w="163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半球摄像机</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▲最大分辨率1920 × 1080，水平分辨率不低于1000线。</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最低照度彩色：0.01 lx。</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红外补光可识别不小于50米处的人体。</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宽动态能力检验应不小于120。</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不低于IP66防尘防水等级。</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支持DC12V和PoE供电</w:t>
            </w:r>
          </w:p>
        </w:tc>
        <w:tc>
          <w:tcPr>
            <w:tcW w:w="7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台</w:t>
            </w:r>
          </w:p>
        </w:tc>
        <w:tc>
          <w:tcPr>
            <w:tcW w:w="7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19</w:t>
            </w:r>
          </w:p>
        </w:tc>
      </w:tr>
      <w:tr>
        <w:tblPrEx>
          <w:tblCellMar>
            <w:top w:w="0" w:type="dxa"/>
            <w:left w:w="108" w:type="dxa"/>
            <w:bottom w:w="0" w:type="dxa"/>
            <w:right w:w="108" w:type="dxa"/>
          </w:tblCellMar>
        </w:tblPrEx>
        <w:trPr>
          <w:trHeight w:val="2560"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9</w:t>
            </w:r>
          </w:p>
        </w:tc>
        <w:tc>
          <w:tcPr>
            <w:tcW w:w="163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会议鹅颈话筒</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 xml:space="preserve">1、自主开模，外观新颖，不与市面其它产品雷同； </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2、抗RF射频干扰能力强，减少手机等信号影响；</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3、音质清晰自然，灵敏度高，拾音距离佳，品质卓越；</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4、咪杆与底座采用旋转式卡侬连接，牢固可靠；</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5、适于各种会议室、演讲扩声之用。</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 xml:space="preserve">技术参数: </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换能方式:  ECM电容式</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指 向 性:  心形单指向</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频率响应:  90Hz-15KHz</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灵 敏 度:  -29±3dB(XLR)</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输出阻抗:  1KΩ±30%</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工作电压:  两节五号（AA）电池或幻像48V</w:t>
            </w:r>
          </w:p>
        </w:tc>
        <w:tc>
          <w:tcPr>
            <w:tcW w:w="7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套</w:t>
            </w:r>
          </w:p>
        </w:tc>
        <w:tc>
          <w:tcPr>
            <w:tcW w:w="7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2</w:t>
            </w:r>
          </w:p>
        </w:tc>
      </w:tr>
      <w:tr>
        <w:tblPrEx>
          <w:tblCellMar>
            <w:top w:w="0" w:type="dxa"/>
            <w:left w:w="108" w:type="dxa"/>
            <w:bottom w:w="0" w:type="dxa"/>
            <w:right w:w="108" w:type="dxa"/>
          </w:tblCellMar>
        </w:tblPrEx>
        <w:trPr>
          <w:trHeight w:val="702"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10</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无线话筒</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1、领夹式无线麦克风</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2、载波频段: UHF530-690.000MHZ（常规：640.000MHZ-690.000MHZ）</w:t>
            </w:r>
            <w:r>
              <w:rPr>
                <w:rFonts w:hint="eastAsia" w:ascii="宋体" w:hAnsi="宋体" w:eastAsia="宋体" w:cs="宋体"/>
                <w:kern w:val="0"/>
                <w:szCs w:val="21"/>
                <w14:ligatures w14:val="none"/>
              </w:rPr>
              <w:br w:type="textWrapping"/>
            </w:r>
            <w:r>
              <w:rPr>
                <w:rFonts w:hint="eastAsia" w:ascii="宋体" w:hAnsi="宋体" w:eastAsia="宋体" w:cs="宋体"/>
                <w:kern w:val="0"/>
                <w:szCs w:val="21"/>
                <w14:ligatures w14:val="none"/>
              </w:rPr>
              <w:t xml:space="preserve">3、单机频带宽度 :50 MHz </w:t>
            </w:r>
          </w:p>
        </w:tc>
        <w:tc>
          <w:tcPr>
            <w:tcW w:w="7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套</w:t>
            </w:r>
          </w:p>
        </w:tc>
        <w:tc>
          <w:tcPr>
            <w:tcW w:w="7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2</w:t>
            </w:r>
          </w:p>
        </w:tc>
      </w:tr>
      <w:tr>
        <w:tblPrEx>
          <w:tblCellMar>
            <w:top w:w="0" w:type="dxa"/>
            <w:left w:w="108" w:type="dxa"/>
            <w:bottom w:w="0" w:type="dxa"/>
            <w:right w:w="108" w:type="dxa"/>
          </w:tblCellMar>
        </w:tblPrEx>
        <w:trPr>
          <w:trHeight w:val="734"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11</w:t>
            </w:r>
          </w:p>
        </w:tc>
        <w:tc>
          <w:tcPr>
            <w:tcW w:w="163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耳机</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usb接口 立体声/驻极体电容麦克立体声；/耳机：频率响应：20～20KHZ；阻抗：32Ω；灵敏度：≥108dB（1mw,500Hz）/麦克：频率响应：200～5000HZ；阻抗：2200Ω；灵敏度：-42dB；指向：单指向。动圈式工作方式.</w:t>
            </w:r>
          </w:p>
        </w:tc>
        <w:tc>
          <w:tcPr>
            <w:tcW w:w="7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副</w:t>
            </w:r>
          </w:p>
        </w:tc>
        <w:tc>
          <w:tcPr>
            <w:tcW w:w="77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1"/>
                <w14:ligatures w14:val="none"/>
              </w:rPr>
            </w:pPr>
            <w:r>
              <w:rPr>
                <w:rFonts w:hint="eastAsia" w:ascii="宋体" w:hAnsi="宋体" w:eastAsia="宋体" w:cs="宋体"/>
                <w:kern w:val="0"/>
                <w:szCs w:val="21"/>
                <w14:ligatures w14:val="none"/>
              </w:rPr>
              <w:t>60</w:t>
            </w:r>
          </w:p>
        </w:tc>
      </w:tr>
      <w:tr>
        <w:tblPrEx>
          <w:tblCellMar>
            <w:top w:w="0" w:type="dxa"/>
            <w:left w:w="108" w:type="dxa"/>
            <w:bottom w:w="0" w:type="dxa"/>
            <w:right w:w="108" w:type="dxa"/>
          </w:tblCellMar>
        </w:tblPrEx>
        <w:trPr>
          <w:trHeight w:val="224" w:hRule="atLeast"/>
          <w:jc w:val="center"/>
        </w:trPr>
        <w:tc>
          <w:tcPr>
            <w:tcW w:w="2410" w:type="dxa"/>
            <w:gridSpan w:val="2"/>
            <w:tcBorders>
              <w:top w:val="nil"/>
              <w:left w:val="nil"/>
              <w:bottom w:val="single" w:color="auto" w:sz="4" w:space="0"/>
              <w:right w:val="nil"/>
            </w:tcBorders>
            <w:shd w:val="clear" w:color="auto" w:fill="auto"/>
            <w:noWrap/>
            <w:vAlign w:val="center"/>
          </w:tcPr>
          <w:p>
            <w:pPr>
              <w:widowControl/>
              <w:jc w:val="left"/>
              <w:rPr>
                <w:rFonts w:ascii="宋体" w:hAnsi="宋体" w:eastAsia="宋体" w:cs="宋体"/>
                <w:b/>
                <w:bCs/>
                <w:color w:val="000000"/>
                <w:kern w:val="0"/>
                <w:szCs w:val="21"/>
                <w14:ligatures w14:val="none"/>
              </w:rPr>
            </w:pPr>
            <w:r>
              <w:rPr>
                <w:rFonts w:hint="eastAsia" w:ascii="宋体" w:hAnsi="宋体" w:eastAsia="宋体" w:cs="宋体"/>
                <w:b/>
                <w:bCs/>
                <w:color w:val="000000"/>
                <w:kern w:val="0"/>
                <w:szCs w:val="21"/>
                <w14:ligatures w14:val="none"/>
              </w:rPr>
              <w:t>2.施工部分　</w:t>
            </w:r>
          </w:p>
        </w:tc>
        <w:tc>
          <w:tcPr>
            <w:tcW w:w="5335" w:type="dxa"/>
            <w:tcBorders>
              <w:top w:val="nil"/>
              <w:left w:val="nil"/>
              <w:bottom w:val="single" w:color="auto" w:sz="4" w:space="0"/>
              <w:right w:val="nil"/>
            </w:tcBorders>
            <w:shd w:val="clear" w:color="auto" w:fill="auto"/>
            <w:noWrap/>
            <w:vAlign w:val="center"/>
          </w:tcPr>
          <w:p>
            <w:pPr>
              <w:widowControl/>
              <w:jc w:val="left"/>
              <w:rPr>
                <w:rFonts w:ascii="宋体" w:hAnsi="宋体" w:eastAsia="宋体" w:cs="宋体"/>
                <w:b/>
                <w:bCs/>
                <w:color w:val="000000"/>
                <w:kern w:val="0"/>
                <w:szCs w:val="21"/>
                <w14:ligatures w14:val="none"/>
              </w:rPr>
            </w:pPr>
            <w:r>
              <w:rPr>
                <w:rFonts w:hint="eastAsia" w:ascii="宋体" w:hAnsi="宋体" w:eastAsia="宋体" w:cs="宋体"/>
                <w:b/>
                <w:bCs/>
                <w:color w:val="000000"/>
                <w:kern w:val="0"/>
                <w:szCs w:val="21"/>
                <w14:ligatures w14:val="none"/>
              </w:rPr>
              <w:t>　</w:t>
            </w:r>
          </w:p>
        </w:tc>
        <w:tc>
          <w:tcPr>
            <w:tcW w:w="743" w:type="dxa"/>
            <w:tcBorders>
              <w:top w:val="nil"/>
              <w:left w:val="nil"/>
              <w:bottom w:val="single" w:color="auto" w:sz="4" w:space="0"/>
              <w:right w:val="nil"/>
            </w:tcBorders>
            <w:shd w:val="clear" w:color="auto" w:fill="auto"/>
            <w:noWrap/>
            <w:vAlign w:val="center"/>
          </w:tcPr>
          <w:p>
            <w:pPr>
              <w:widowControl/>
              <w:jc w:val="left"/>
              <w:rPr>
                <w:rFonts w:ascii="宋体" w:hAnsi="宋体" w:eastAsia="宋体" w:cs="宋体"/>
                <w:b/>
                <w:bCs/>
                <w:color w:val="000000"/>
                <w:kern w:val="0"/>
                <w:szCs w:val="21"/>
                <w14:ligatures w14:val="none"/>
              </w:rPr>
            </w:pPr>
            <w:r>
              <w:rPr>
                <w:rFonts w:hint="eastAsia" w:ascii="宋体" w:hAnsi="宋体" w:eastAsia="宋体" w:cs="宋体"/>
                <w:b/>
                <w:bCs/>
                <w:color w:val="000000"/>
                <w:kern w:val="0"/>
                <w:szCs w:val="21"/>
                <w14:ligatures w14:val="none"/>
              </w:rPr>
              <w:t>　</w:t>
            </w:r>
          </w:p>
        </w:tc>
        <w:tc>
          <w:tcPr>
            <w:tcW w:w="777" w:type="dxa"/>
            <w:tcBorders>
              <w:top w:val="nil"/>
              <w:left w:val="nil"/>
              <w:bottom w:val="single" w:color="auto" w:sz="4" w:space="0"/>
              <w:right w:val="nil"/>
            </w:tcBorders>
            <w:shd w:val="clear" w:color="auto" w:fill="auto"/>
            <w:noWrap/>
            <w:vAlign w:val="center"/>
          </w:tcPr>
          <w:p>
            <w:pPr>
              <w:widowControl/>
              <w:jc w:val="left"/>
              <w:rPr>
                <w:rFonts w:ascii="宋体" w:hAnsi="宋体" w:eastAsia="宋体" w:cs="宋体"/>
                <w:b/>
                <w:bCs/>
                <w:color w:val="000000"/>
                <w:kern w:val="0"/>
                <w:szCs w:val="21"/>
                <w14:ligatures w14:val="none"/>
              </w:rPr>
            </w:pPr>
            <w:r>
              <w:rPr>
                <w:rFonts w:hint="eastAsia" w:ascii="宋体" w:hAnsi="宋体" w:eastAsia="宋体" w:cs="宋体"/>
                <w:b/>
                <w:bCs/>
                <w:color w:val="000000"/>
                <w:kern w:val="0"/>
                <w:szCs w:val="21"/>
                <w14:ligatures w14:val="none"/>
              </w:rPr>
              <w:t>　</w:t>
            </w:r>
          </w:p>
        </w:tc>
      </w:tr>
      <w:tr>
        <w:tblPrEx>
          <w:tblCellMar>
            <w:top w:w="0" w:type="dxa"/>
            <w:left w:w="108" w:type="dxa"/>
            <w:bottom w:w="0" w:type="dxa"/>
            <w:right w:w="108" w:type="dxa"/>
          </w:tblCellMar>
        </w:tblPrEx>
        <w:trPr>
          <w:trHeight w:val="224"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序号</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名称</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品牌\规格</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单位</w:t>
            </w:r>
          </w:p>
        </w:tc>
        <w:tc>
          <w:tcPr>
            <w:tcW w:w="7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数量</w:t>
            </w:r>
          </w:p>
        </w:tc>
      </w:tr>
      <w:tr>
        <w:tblPrEx>
          <w:tblCellMar>
            <w:top w:w="0" w:type="dxa"/>
            <w:left w:w="108" w:type="dxa"/>
            <w:bottom w:w="0" w:type="dxa"/>
            <w:right w:w="108" w:type="dxa"/>
          </w:tblCellMar>
        </w:tblPrEx>
        <w:trPr>
          <w:trHeight w:val="224"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1</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桥架</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国标100x100</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米</w:t>
            </w:r>
          </w:p>
        </w:tc>
        <w:tc>
          <w:tcPr>
            <w:tcW w:w="7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15</w:t>
            </w:r>
          </w:p>
        </w:tc>
      </w:tr>
      <w:tr>
        <w:tblPrEx>
          <w:tblCellMar>
            <w:top w:w="0" w:type="dxa"/>
            <w:left w:w="108" w:type="dxa"/>
            <w:bottom w:w="0" w:type="dxa"/>
            <w:right w:w="108" w:type="dxa"/>
          </w:tblCellMar>
        </w:tblPrEx>
        <w:trPr>
          <w:trHeight w:val="224"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2</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镀锌管</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国标2x1.0</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米</w:t>
            </w:r>
          </w:p>
        </w:tc>
        <w:tc>
          <w:tcPr>
            <w:tcW w:w="7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120</w:t>
            </w:r>
          </w:p>
        </w:tc>
      </w:tr>
      <w:tr>
        <w:tblPrEx>
          <w:tblCellMar>
            <w:top w:w="0" w:type="dxa"/>
            <w:left w:w="108" w:type="dxa"/>
            <w:bottom w:w="0" w:type="dxa"/>
            <w:right w:w="108" w:type="dxa"/>
          </w:tblCellMar>
        </w:tblPrEx>
        <w:trPr>
          <w:trHeight w:val="224"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3</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监控安装及调试</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安装</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台</w:t>
            </w:r>
          </w:p>
        </w:tc>
        <w:tc>
          <w:tcPr>
            <w:tcW w:w="7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45</w:t>
            </w:r>
          </w:p>
        </w:tc>
      </w:tr>
      <w:tr>
        <w:tblPrEx>
          <w:tblCellMar>
            <w:top w:w="0" w:type="dxa"/>
            <w:left w:w="108" w:type="dxa"/>
            <w:bottom w:w="0" w:type="dxa"/>
            <w:right w:w="108" w:type="dxa"/>
          </w:tblCellMar>
        </w:tblPrEx>
        <w:trPr>
          <w:trHeight w:val="224"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4</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交换机及nvr安装调试</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　</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台</w:t>
            </w:r>
          </w:p>
        </w:tc>
        <w:tc>
          <w:tcPr>
            <w:tcW w:w="7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7</w:t>
            </w:r>
          </w:p>
        </w:tc>
      </w:tr>
      <w:tr>
        <w:tblPrEx>
          <w:tblCellMar>
            <w:top w:w="0" w:type="dxa"/>
            <w:left w:w="108" w:type="dxa"/>
            <w:bottom w:w="0" w:type="dxa"/>
            <w:right w:w="108" w:type="dxa"/>
          </w:tblCellMar>
        </w:tblPrEx>
        <w:trPr>
          <w:trHeight w:val="254" w:hRule="atLeast"/>
          <w:jc w:val="center"/>
        </w:trPr>
        <w:tc>
          <w:tcPr>
            <w:tcW w:w="7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4</w:t>
            </w:r>
          </w:p>
        </w:tc>
        <w:tc>
          <w:tcPr>
            <w:tcW w:w="163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网线</w:t>
            </w:r>
          </w:p>
        </w:tc>
        <w:tc>
          <w:tcPr>
            <w:tcW w:w="53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cat6• 支持千兆以太网信号传输• 无氧铜芯，直流电阻小，信号衰减小</w:t>
            </w:r>
          </w:p>
        </w:tc>
        <w:tc>
          <w:tcPr>
            <w:tcW w:w="7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点</w:t>
            </w:r>
          </w:p>
        </w:tc>
        <w:tc>
          <w:tcPr>
            <w:tcW w:w="7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93</w:t>
            </w:r>
          </w:p>
        </w:tc>
      </w:tr>
      <w:tr>
        <w:tblPrEx>
          <w:tblCellMar>
            <w:top w:w="0" w:type="dxa"/>
            <w:left w:w="108" w:type="dxa"/>
            <w:bottom w:w="0" w:type="dxa"/>
            <w:right w:w="108" w:type="dxa"/>
          </w:tblCellMar>
        </w:tblPrEx>
        <w:trPr>
          <w:trHeight w:val="224"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5</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投影机及幕布</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安装</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套</w:t>
            </w:r>
          </w:p>
        </w:tc>
        <w:tc>
          <w:tcPr>
            <w:tcW w:w="7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1</w:t>
            </w:r>
          </w:p>
        </w:tc>
      </w:tr>
      <w:tr>
        <w:tblPrEx>
          <w:tblCellMar>
            <w:top w:w="0" w:type="dxa"/>
            <w:left w:w="108" w:type="dxa"/>
            <w:bottom w:w="0" w:type="dxa"/>
            <w:right w:w="108" w:type="dxa"/>
          </w:tblCellMar>
        </w:tblPrEx>
        <w:trPr>
          <w:trHeight w:val="224"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6</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辅材</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水晶头、软管、排插、hdmi线等</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点</w:t>
            </w:r>
          </w:p>
        </w:tc>
        <w:tc>
          <w:tcPr>
            <w:tcW w:w="7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95</w:t>
            </w:r>
          </w:p>
        </w:tc>
      </w:tr>
      <w:tr>
        <w:tblPrEx>
          <w:tblCellMar>
            <w:top w:w="0" w:type="dxa"/>
            <w:left w:w="108" w:type="dxa"/>
            <w:bottom w:w="0" w:type="dxa"/>
            <w:right w:w="108" w:type="dxa"/>
          </w:tblCellMar>
        </w:tblPrEx>
        <w:trPr>
          <w:trHeight w:val="224" w:hRule="atLeast"/>
          <w:jc w:val="center"/>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　</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　</w:t>
            </w:r>
          </w:p>
        </w:tc>
        <w:tc>
          <w:tcPr>
            <w:tcW w:w="533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　</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　</w:t>
            </w:r>
          </w:p>
        </w:tc>
        <w:tc>
          <w:tcPr>
            <w:tcW w:w="7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14:ligatures w14:val="none"/>
              </w:rPr>
            </w:pPr>
            <w:r>
              <w:rPr>
                <w:rFonts w:hint="eastAsia" w:ascii="宋体" w:hAnsi="宋体" w:eastAsia="宋体" w:cs="宋体"/>
                <w:kern w:val="0"/>
                <w:szCs w:val="21"/>
                <w14:ligatures w14:val="none"/>
              </w:rPr>
              <w:t>　</w:t>
            </w:r>
          </w:p>
        </w:tc>
      </w:tr>
    </w:tbl>
    <w:p>
      <w:pPr>
        <w:widowControl/>
        <w:jc w:val="left"/>
        <w:rPr>
          <w:rFonts w:asciiTheme="minorEastAsia" w:hAnsiTheme="minorEastAsia"/>
          <w:b/>
          <w:bCs/>
          <w:sz w:val="24"/>
          <w:szCs w:val="24"/>
          <w14:ligatures w14:val="none"/>
        </w:rPr>
      </w:pPr>
    </w:p>
    <w:p>
      <w:pPr>
        <w:widowControl/>
        <w:jc w:val="left"/>
        <w:rPr>
          <w:rFonts w:asciiTheme="minorEastAsia" w:hAnsiTheme="minorEastAsia"/>
          <w:b/>
          <w:bCs/>
          <w:sz w:val="24"/>
          <w:szCs w:val="24"/>
          <w14:ligatures w14:val="none"/>
        </w:rPr>
      </w:pPr>
      <w:r>
        <w:rPr>
          <w:rFonts w:asciiTheme="minorEastAsia" w:hAnsiTheme="minorEastAsia"/>
          <w:b/>
          <w:bCs/>
          <w:sz w:val="24"/>
          <w:szCs w:val="24"/>
          <w14:ligatures w14:val="none"/>
        </w:rPr>
        <w:br w:type="page"/>
      </w:r>
    </w:p>
    <w:p>
      <w:pPr>
        <w:pStyle w:val="13"/>
        <w:numPr>
          <w:ilvl w:val="0"/>
          <w:numId w:val="1"/>
        </w:numPr>
        <w:spacing w:before="156" w:beforeLines="50" w:after="156" w:afterLines="50" w:line="360" w:lineRule="auto"/>
        <w:ind w:left="480" w:hanging="480" w:hangingChars="200"/>
        <w:rPr>
          <w:rFonts w:asciiTheme="minorEastAsia" w:hAnsiTheme="minorEastAsia"/>
          <w:b/>
          <w:bCs/>
          <w:sz w:val="24"/>
          <w:szCs w:val="24"/>
        </w:rPr>
      </w:pPr>
      <w:r>
        <w:rPr>
          <w:rFonts w:hint="eastAsia" w:asciiTheme="minorEastAsia" w:hAnsiTheme="minorEastAsia"/>
          <w:b/>
          <w:bCs/>
          <w:sz w:val="24"/>
          <w:szCs w:val="24"/>
        </w:rPr>
        <w:t>教室平面图</w:t>
      </w:r>
    </w:p>
    <w:p>
      <w:pPr>
        <w:rPr>
          <w:rFonts w:ascii="宋体" w:hAnsi="宋体" w:eastAsia="宋体"/>
          <w:sz w:val="24"/>
          <w:szCs w:val="24"/>
        </w:rPr>
      </w:pPr>
      <w:r>
        <w:rPr>
          <w:rFonts w:ascii="宋体" w:hAnsi="宋体" w:eastAsia="宋体"/>
          <w:sz w:val="24"/>
          <w:szCs w:val="24"/>
        </w:rPr>
        <w:drawing>
          <wp:inline distT="0" distB="0" distL="0" distR="0">
            <wp:extent cx="5173980" cy="7410450"/>
            <wp:effectExtent l="0" t="0" r="7620" b="0"/>
            <wp:docPr id="3784501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450143"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182645" cy="7422524"/>
                    </a:xfrm>
                    <a:prstGeom prst="rect">
                      <a:avLst/>
                    </a:prstGeom>
                    <a:noFill/>
                    <a:ln>
                      <a:noFill/>
                    </a:ln>
                  </pic:spPr>
                </pic:pic>
              </a:graphicData>
            </a:graphic>
          </wp:inline>
        </w:drawing>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030B71"/>
    <w:multiLevelType w:val="multilevel"/>
    <w:tmpl w:val="59030B71"/>
    <w:lvl w:ilvl="0" w:tentative="0">
      <w:start w:val="1"/>
      <w:numFmt w:val="decimal"/>
      <w:lvlText w:val="%1."/>
      <w:lvlJc w:val="left"/>
      <w:pPr>
        <w:tabs>
          <w:tab w:val="left" w:pos="360"/>
        </w:tabs>
        <w:ind w:left="360" w:hanging="360"/>
      </w:pPr>
    </w:lvl>
    <w:lvl w:ilvl="1" w:tentative="0">
      <w:start w:val="1"/>
      <w:numFmt w:val="bullet"/>
      <w:lvlText w:val="o"/>
      <w:lvlJc w:val="left"/>
      <w:pPr>
        <w:tabs>
          <w:tab w:val="left" w:pos="1080"/>
        </w:tabs>
        <w:ind w:left="1080" w:hanging="360"/>
      </w:pPr>
      <w:rPr>
        <w:rFonts w:hint="default" w:ascii="Courier New" w:hAnsi="Courier New"/>
        <w:sz w:val="20"/>
      </w:rPr>
    </w:lvl>
    <w:lvl w:ilvl="2" w:tentative="0">
      <w:start w:val="1"/>
      <w:numFmt w:val="decimal"/>
      <w:lvlText w:val="%3."/>
      <w:lvlJc w:val="left"/>
      <w:pPr>
        <w:tabs>
          <w:tab w:val="left" w:pos="1800"/>
        </w:tabs>
        <w:ind w:left="1800" w:hanging="360"/>
      </w:pPr>
    </w:lvl>
    <w:lvl w:ilvl="3" w:tentative="0">
      <w:start w:val="1"/>
      <w:numFmt w:val="decimal"/>
      <w:lvlText w:val="%4."/>
      <w:lvlJc w:val="left"/>
      <w:pPr>
        <w:tabs>
          <w:tab w:val="left" w:pos="2520"/>
        </w:tabs>
        <w:ind w:left="2520" w:hanging="360"/>
      </w:pPr>
    </w:lvl>
    <w:lvl w:ilvl="4" w:tentative="0">
      <w:start w:val="1"/>
      <w:numFmt w:val="decimal"/>
      <w:lvlText w:val="%5."/>
      <w:lvlJc w:val="left"/>
      <w:pPr>
        <w:tabs>
          <w:tab w:val="left" w:pos="3240"/>
        </w:tabs>
        <w:ind w:left="3240" w:hanging="360"/>
      </w:pPr>
    </w:lvl>
    <w:lvl w:ilvl="5" w:tentative="0">
      <w:start w:val="1"/>
      <w:numFmt w:val="decimal"/>
      <w:lvlText w:val="%6."/>
      <w:lvlJc w:val="left"/>
      <w:pPr>
        <w:tabs>
          <w:tab w:val="left" w:pos="3960"/>
        </w:tabs>
        <w:ind w:left="3960" w:hanging="360"/>
      </w:pPr>
    </w:lvl>
    <w:lvl w:ilvl="6" w:tentative="0">
      <w:start w:val="1"/>
      <w:numFmt w:val="decimal"/>
      <w:lvlText w:val="%7."/>
      <w:lvlJc w:val="left"/>
      <w:pPr>
        <w:tabs>
          <w:tab w:val="left" w:pos="4680"/>
        </w:tabs>
        <w:ind w:left="4680" w:hanging="360"/>
      </w:pPr>
    </w:lvl>
    <w:lvl w:ilvl="7" w:tentative="0">
      <w:start w:val="1"/>
      <w:numFmt w:val="decimal"/>
      <w:lvlText w:val="%8."/>
      <w:lvlJc w:val="left"/>
      <w:pPr>
        <w:tabs>
          <w:tab w:val="left" w:pos="5400"/>
        </w:tabs>
        <w:ind w:left="5400" w:hanging="360"/>
      </w:pPr>
    </w:lvl>
    <w:lvl w:ilvl="8" w:tentative="0">
      <w:start w:val="1"/>
      <w:numFmt w:val="decimal"/>
      <w:lvlText w:val="%9."/>
      <w:lvlJc w:val="left"/>
      <w:pPr>
        <w:tabs>
          <w:tab w:val="left" w:pos="6120"/>
        </w:tabs>
        <w:ind w:left="6120" w:hanging="360"/>
      </w:pPr>
    </w:lvl>
  </w:abstractNum>
  <w:abstractNum w:abstractNumId="1">
    <w:nsid w:val="6C7D4739"/>
    <w:multiLevelType w:val="multilevel"/>
    <w:tmpl w:val="6C7D4739"/>
    <w:lvl w:ilvl="0" w:tentative="0">
      <w:start w:val="1"/>
      <w:numFmt w:val="chineseCountingThousand"/>
      <w:lvlText w:val="%1、"/>
      <w:lvlJc w:val="left"/>
      <w:pPr>
        <w:ind w:left="562" w:hanging="420"/>
      </w:p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VmM2YzZmUwZjIwOWQ5MzUzZGEwZTI1OTc3MjFhOGYifQ=="/>
  </w:docVars>
  <w:rsids>
    <w:rsidRoot w:val="00422FA2"/>
    <w:rsid w:val="001513BA"/>
    <w:rsid w:val="001B0680"/>
    <w:rsid w:val="003429FB"/>
    <w:rsid w:val="003906A0"/>
    <w:rsid w:val="00422FA2"/>
    <w:rsid w:val="00587E1D"/>
    <w:rsid w:val="005C0B5C"/>
    <w:rsid w:val="006B3339"/>
    <w:rsid w:val="007B7C33"/>
    <w:rsid w:val="009667B1"/>
    <w:rsid w:val="00A05267"/>
    <w:rsid w:val="00C74F38"/>
    <w:rsid w:val="00D2065E"/>
    <w:rsid w:val="00D6064C"/>
    <w:rsid w:val="00DF0687"/>
    <w:rsid w:val="00E63885"/>
    <w:rsid w:val="00F209A9"/>
    <w:rsid w:val="00FD1A51"/>
    <w:rsid w:val="78A679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2"/>
    <w:basedOn w:val="1"/>
    <w:next w:val="1"/>
    <w:link w:val="11"/>
    <w:qFormat/>
    <w:uiPriority w:val="0"/>
    <w:pPr>
      <w:adjustRightInd w:val="0"/>
      <w:spacing w:line="360" w:lineRule="atLeast"/>
      <w:textAlignment w:val="baseline"/>
      <w:outlineLvl w:val="1"/>
    </w:pPr>
    <w:rPr>
      <w:rFonts w:ascii="Times New Roman" w:hAnsi="Times New Roman" w:eastAsia="宋体" w:cs="Times New Roman"/>
      <w:kern w:val="0"/>
      <w:sz w:val="24"/>
      <w:szCs w:val="20"/>
      <w:lang w:val="zh-CN" w:eastAsia="zh-CN"/>
      <w14:ligatures w14:val="none"/>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link w:val="12"/>
    <w:qFormat/>
    <w:uiPriority w:val="0"/>
    <w:pPr>
      <w:adjustRightInd w:val="0"/>
      <w:spacing w:line="360" w:lineRule="atLeast"/>
      <w:ind w:firstLine="482"/>
      <w:textAlignment w:val="baseline"/>
    </w:pPr>
    <w:rPr>
      <w:rFonts w:eastAsia="宋体"/>
      <w:sz w:val="24"/>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tabs>
        <w:tab w:val="center" w:pos="4153"/>
        <w:tab w:val="right" w:pos="8306"/>
      </w:tabs>
      <w:snapToGrid w:val="0"/>
      <w:jc w:val="center"/>
    </w:pPr>
    <w:rPr>
      <w:sz w:val="18"/>
      <w:szCs w:val="18"/>
    </w:rPr>
  </w:style>
  <w:style w:type="paragraph" w:styleId="6">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14:ligatures w14:val="none"/>
    </w:rPr>
  </w:style>
  <w:style w:type="character" w:customStyle="1" w:styleId="9">
    <w:name w:val="页眉 字符"/>
    <w:basedOn w:val="8"/>
    <w:link w:val="5"/>
    <w:qFormat/>
    <w:uiPriority w:val="99"/>
    <w:rPr>
      <w:sz w:val="18"/>
      <w:szCs w:val="18"/>
    </w:rPr>
  </w:style>
  <w:style w:type="character" w:customStyle="1" w:styleId="10">
    <w:name w:val="页脚 字符"/>
    <w:basedOn w:val="8"/>
    <w:link w:val="4"/>
    <w:uiPriority w:val="99"/>
    <w:rPr>
      <w:sz w:val="18"/>
      <w:szCs w:val="18"/>
    </w:rPr>
  </w:style>
  <w:style w:type="character" w:customStyle="1" w:styleId="11">
    <w:name w:val="标题 2 字符"/>
    <w:basedOn w:val="8"/>
    <w:link w:val="2"/>
    <w:qFormat/>
    <w:uiPriority w:val="0"/>
    <w:rPr>
      <w:rFonts w:ascii="Times New Roman" w:hAnsi="Times New Roman" w:eastAsia="宋体" w:cs="Times New Roman"/>
      <w:kern w:val="0"/>
      <w:sz w:val="24"/>
      <w:szCs w:val="20"/>
      <w:lang w:val="zh-CN" w:eastAsia="zh-CN"/>
      <w14:ligatures w14:val="none"/>
    </w:rPr>
  </w:style>
  <w:style w:type="character" w:customStyle="1" w:styleId="12">
    <w:name w:val="正文缩进 字符"/>
    <w:link w:val="3"/>
    <w:qFormat/>
    <w:uiPriority w:val="0"/>
    <w:rPr>
      <w:rFonts w:eastAsia="宋体"/>
      <w:sz w:val="24"/>
    </w:rPr>
  </w:style>
  <w:style w:type="paragraph" w:styleId="13">
    <w:name w:val="List Paragraph"/>
    <w:basedOn w:val="1"/>
    <w:link w:val="14"/>
    <w:qFormat/>
    <w:uiPriority w:val="0"/>
    <w:pPr>
      <w:ind w:firstLine="420" w:firstLineChars="200"/>
    </w:pPr>
    <w:rPr>
      <w14:ligatures w14:val="none"/>
    </w:rPr>
  </w:style>
  <w:style w:type="character" w:customStyle="1" w:styleId="14">
    <w:name w:val="列表段落 字符"/>
    <w:link w:val="13"/>
    <w:uiPriority w:val="0"/>
    <w:rPr>
      <w14:ligatures w14: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3170</Words>
  <Characters>3733</Characters>
  <Lines>28</Lines>
  <Paragraphs>7</Paragraphs>
  <TotalTime>64</TotalTime>
  <ScaleCrop>false</ScaleCrop>
  <LinksUpToDate>false</LinksUpToDate>
  <CharactersWithSpaces>3801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2023-07-08T01:05:00Z</dcterms:created>
  <dc:creator>Administrator</dc:creator>
  <cp:lastModifiedBy>仲杰</cp:lastModifiedBy>
  <dcterms:modified xsi:type="dcterms:W3CDTF">2023-07-12T18:37:01Z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487EAB640FF24B4D946C486742D2596E_12</vt:lpwstr>
  </property>
</Properties>
</file>