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5" w:hanging="425"/>
        <w:jc w:val="center"/>
        <w:rPr>
          <w:rFonts w:hint="eastAsia" w:asciiTheme="minorEastAsia" w:hAnsiTheme="minorEastAsia" w:eastAsiaTheme="minorEastAsia"/>
          <w:color w:val="000000" w:themeColor="text1"/>
          <w:sz w:val="44"/>
          <w:szCs w:val="44"/>
          <w:lang w:val="en-US" w:eastAsia="zh-Hans"/>
          <w14:textFill>
            <w14:solidFill>
              <w14:schemeClr w14:val="tx1"/>
            </w14:solidFill>
          </w14:textFill>
        </w:rPr>
      </w:pPr>
      <w:r>
        <w:rPr>
          <w:rFonts w:hint="eastAsia" w:asciiTheme="minorEastAsia" w:hAnsiTheme="minorEastAsia"/>
          <w:color w:val="000000" w:themeColor="text1"/>
          <w:sz w:val="44"/>
          <w:szCs w:val="44"/>
          <w14:textFill>
            <w14:solidFill>
              <w14:schemeClr w14:val="tx1"/>
            </w14:solidFill>
          </w14:textFill>
        </w:rPr>
        <w:t>上海海事大学港湾</w:t>
      </w:r>
      <w:r>
        <w:rPr>
          <w:rFonts w:hint="eastAsia" w:asciiTheme="minorEastAsia" w:hAnsiTheme="minorEastAsia"/>
          <w:color w:val="000000" w:themeColor="text1"/>
          <w:sz w:val="44"/>
          <w:szCs w:val="44"/>
          <w:lang w:val="en-US" w:eastAsia="zh-Hans"/>
          <w14:textFill>
            <w14:solidFill>
              <w14:schemeClr w14:val="tx1"/>
            </w14:solidFill>
          </w14:textFill>
        </w:rPr>
        <w:t>校区</w:t>
      </w:r>
    </w:p>
    <w:p>
      <w:pPr>
        <w:ind w:left="425" w:hanging="425"/>
        <w:jc w:val="center"/>
        <w:rPr>
          <w:rFonts w:asciiTheme="minorEastAsia" w:hAnsiTheme="minorEastAsia"/>
          <w:color w:val="000000" w:themeColor="text1"/>
          <w:sz w:val="44"/>
          <w:szCs w:val="44"/>
          <w14:textFill>
            <w14:solidFill>
              <w14:schemeClr w14:val="tx1"/>
            </w14:solidFill>
          </w14:textFill>
        </w:rPr>
      </w:pPr>
      <w:r>
        <w:rPr>
          <w:rFonts w:hint="eastAsia" w:asciiTheme="minorEastAsia" w:hAnsiTheme="minorEastAsia"/>
          <w:color w:val="000000" w:themeColor="text1"/>
          <w:sz w:val="44"/>
          <w:szCs w:val="44"/>
          <w14:textFill>
            <w14:solidFill>
              <w14:schemeClr w14:val="tx1"/>
            </w14:solidFill>
          </w14:textFill>
        </w:rPr>
        <w:t>平台安全服务</w:t>
      </w:r>
    </w:p>
    <w:p>
      <w:pPr>
        <w:pStyle w:val="2"/>
        <w:numPr>
          <w:ilvl w:val="0"/>
          <w:numId w:val="2"/>
        </w:numP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项目</w:t>
      </w:r>
      <w:r>
        <w:rPr>
          <w:rFonts w:hint="eastAsia" w:asciiTheme="minorEastAsia" w:hAnsiTheme="minorEastAsia"/>
          <w:color w:val="000000" w:themeColor="text1"/>
          <w14:textFill>
            <w14:solidFill>
              <w14:schemeClr w14:val="tx1"/>
            </w14:solidFill>
          </w14:textFill>
        </w:rPr>
        <w:t>概述</w:t>
      </w:r>
    </w:p>
    <w:p>
      <w:pPr>
        <w:spacing w:line="360" w:lineRule="auto"/>
        <w:ind w:firstLine="44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上海海事大学</w:t>
      </w:r>
      <w:r>
        <w:rPr>
          <w:rFonts w:hint="eastAsia" w:asciiTheme="minorEastAsia" w:hAnsiTheme="minorEastAsia"/>
          <w:color w:val="000000" w:themeColor="text1"/>
          <w:sz w:val="22"/>
          <w:lang w:val="en-US" w:eastAsia="zh-Hans"/>
          <w14:textFill>
            <w14:solidFill>
              <w14:schemeClr w14:val="tx1"/>
            </w14:solidFill>
          </w14:textFill>
        </w:rPr>
        <w:t>港湾校区</w:t>
      </w:r>
      <w:r>
        <w:rPr>
          <w:rFonts w:hint="eastAsia" w:asciiTheme="minorEastAsia" w:hAnsiTheme="minorEastAsia"/>
          <w:color w:val="000000" w:themeColor="text1"/>
          <w:sz w:val="22"/>
          <w14:textFill>
            <w14:solidFill>
              <w14:schemeClr w14:val="tx1"/>
            </w14:solidFill>
          </w14:textFill>
        </w:rPr>
        <w:t>信息化建设以来，网络安全事件频发，学校已经有部分安全设备部署，包括深信服安全态势感知SIP</w:t>
      </w:r>
      <w:r>
        <w:rPr>
          <w:rFonts w:asciiTheme="minorEastAsia" w:hAnsiTheme="minorEastAsia"/>
          <w:color w:val="000000" w:themeColor="text1"/>
          <w:sz w:val="22"/>
          <w14:textFill>
            <w14:solidFill>
              <w14:schemeClr w14:val="tx1"/>
            </w14:solidFill>
          </w14:textFill>
        </w:rPr>
        <w:t>、</w:t>
      </w:r>
      <w:r>
        <w:rPr>
          <w:rFonts w:hint="eastAsia" w:asciiTheme="minorEastAsia" w:hAnsiTheme="minorEastAsia"/>
          <w:color w:val="000000" w:themeColor="text1"/>
          <w:sz w:val="22"/>
          <w14:textFill>
            <w14:solidFill>
              <w14:schemeClr w14:val="tx1"/>
            </w14:solidFill>
          </w14:textFill>
        </w:rPr>
        <w:t>深信服AF防火墙、深信服终端检测响应平台EDR等，需持之有效的安全运营管理服务。学校目前有服务器虚拟机</w:t>
      </w:r>
      <w:r>
        <w:rPr>
          <w:rFonts w:asciiTheme="minorEastAsia" w:hAnsiTheme="minorEastAsia"/>
          <w:color w:val="000000" w:themeColor="text1"/>
          <w:sz w:val="22"/>
          <w14:textFill>
            <w14:solidFill>
              <w14:schemeClr w14:val="tx1"/>
            </w14:solidFill>
          </w14:textFill>
        </w:rPr>
        <w:t>5</w:t>
      </w:r>
      <w:r>
        <w:rPr>
          <w:rFonts w:hint="eastAsia" w:asciiTheme="minorEastAsia" w:hAnsiTheme="minorEastAsia"/>
          <w:color w:val="000000" w:themeColor="text1"/>
          <w:sz w:val="22"/>
          <w14:textFill>
            <w14:solidFill>
              <w14:schemeClr w14:val="tx1"/>
            </w14:solidFill>
          </w14:textFill>
        </w:rPr>
        <w:t>0台，重要的网站和U</w:t>
      </w:r>
      <w:r>
        <w:rPr>
          <w:rFonts w:asciiTheme="minorEastAsia" w:hAnsiTheme="minorEastAsia"/>
          <w:color w:val="000000" w:themeColor="text1"/>
          <w:sz w:val="22"/>
          <w14:textFill>
            <w14:solidFill>
              <w14:schemeClr w14:val="tx1"/>
            </w14:solidFill>
          </w14:textFill>
        </w:rPr>
        <w:t>RL</w:t>
      </w:r>
      <w:r>
        <w:rPr>
          <w:rFonts w:hint="eastAsia" w:asciiTheme="minorEastAsia" w:hAnsiTheme="minorEastAsia"/>
          <w:color w:val="000000" w:themeColor="text1"/>
          <w:sz w:val="22"/>
          <w14:textFill>
            <w14:solidFill>
              <w14:schemeClr w14:val="tx1"/>
            </w14:solidFill>
          </w14:textFill>
        </w:rPr>
        <w:t>应用</w:t>
      </w:r>
      <w:r>
        <w:rPr>
          <w:rFonts w:asciiTheme="minorEastAsia" w:hAnsiTheme="minorEastAsia"/>
          <w:color w:val="000000" w:themeColor="text1"/>
          <w:sz w:val="22"/>
          <w14:textFill>
            <w14:solidFill>
              <w14:schemeClr w14:val="tx1"/>
            </w14:solidFill>
          </w14:textFill>
        </w:rPr>
        <w:t>1</w:t>
      </w:r>
      <w:r>
        <w:rPr>
          <w:rFonts w:hint="eastAsia" w:asciiTheme="minorEastAsia" w:hAnsiTheme="minorEastAsia"/>
          <w:color w:val="000000" w:themeColor="text1"/>
          <w:sz w:val="22"/>
          <w14:textFill>
            <w14:solidFill>
              <w14:schemeClr w14:val="tx1"/>
            </w14:solidFill>
          </w14:textFill>
        </w:rPr>
        <w:t>0多个，大约</w:t>
      </w:r>
      <w:r>
        <w:rPr>
          <w:rFonts w:asciiTheme="minorEastAsia" w:hAnsiTheme="minorEastAsia"/>
          <w:color w:val="000000" w:themeColor="text1"/>
          <w:sz w:val="22"/>
          <w14:textFill>
            <w14:solidFill>
              <w14:schemeClr w14:val="tx1"/>
            </w14:solidFill>
          </w14:textFill>
        </w:rPr>
        <w:t>2</w:t>
      </w:r>
      <w:r>
        <w:rPr>
          <w:rFonts w:hint="eastAsia" w:asciiTheme="minorEastAsia" w:hAnsiTheme="minorEastAsia"/>
          <w:color w:val="000000" w:themeColor="text1"/>
          <w:sz w:val="22"/>
          <w14:textFill>
            <w14:solidFill>
              <w14:schemeClr w14:val="tx1"/>
            </w14:solidFill>
          </w14:textFill>
        </w:rPr>
        <w:t>00台办公电脑，为有效防止信息化网络系统被非法访问和黑客攻击，亟待建立网络安全服务以提供最大限度地防范，在受到侵扰的破坏后将损失尽旦降低。通过安全服务分析报告提供恢复被破坏的数据和系统的手段，尽量降低损失；并且分析侵入者的手段。采用现有网络安全基础，通过对网络系统的风险分析及需要解决的安全问题，制定合理的安全策略及安全方案来确保网络系统的机密性、完整性、可用性、可控性与可审查性。</w:t>
      </w:r>
    </w:p>
    <w:p>
      <w:pPr>
        <w:spacing w:line="360" w:lineRule="auto"/>
        <w:ind w:firstLine="42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教育部关于印发《教育信息化2.0行动计划》的通知（五）担当责任，保障安全中提出：加强教育系统党组织对网络安全和信息化工作的领导，明确主要负责人为网络安全工作的第一负责人，建立网络安全和信息化统筹协调的领导体制，做到网络安全和信息化统一谋划、统筹推进。完善网络安全监督考核机制，将网络安全工作纳入对领导班子、干部的考核当中。以《网络安全法》等法律法规为纲，全面提高教育系统网络安全防护能力。全面落实网络安全等级保护制度，深入开展网络安全监测预警，提高网络安全态势感知水平。做好关键信息基础设施保障，重点保障数据和信息安全，强化隐私保护，建立严密保护、逐层开放、有序共享的良性机制，切实维护好广大师生的切身利益。</w:t>
      </w:r>
    </w:p>
    <w:p>
      <w:pPr>
        <w:widowControl/>
        <w:jc w:val="left"/>
        <w:rPr>
          <w:rFonts w:asciiTheme="minorEastAsia" w:hAnsiTheme="minorEastAsia"/>
          <w:color w:val="000000" w:themeColor="text1"/>
          <w14:textFill>
            <w14:solidFill>
              <w14:schemeClr w14:val="tx1"/>
            </w14:solidFill>
          </w14:textFill>
        </w:rPr>
      </w:pPr>
    </w:p>
    <w:p>
      <w:pPr>
        <w:pStyle w:val="2"/>
        <w:numPr>
          <w:ilvl w:val="0"/>
          <w:numId w:val="2"/>
        </w:num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整体要求</w:t>
      </w:r>
    </w:p>
    <w:p>
      <w:pPr>
        <w:pStyle w:val="17"/>
        <w:numPr>
          <w:ilvl w:val="0"/>
          <w:numId w:val="3"/>
        </w:numPr>
        <w:spacing w:line="360" w:lineRule="auto"/>
        <w:ind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本项目服务期为一年。</w:t>
      </w:r>
    </w:p>
    <w:p>
      <w:pPr>
        <w:pStyle w:val="17"/>
        <w:numPr>
          <w:ilvl w:val="0"/>
          <w:numId w:val="3"/>
        </w:numPr>
        <w:spacing w:line="360" w:lineRule="auto"/>
        <w:ind w:firstLineChars="0"/>
        <w:jc w:val="left"/>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投标方须针对</w:t>
      </w:r>
      <w:r>
        <w:rPr>
          <w:rFonts w:hint="eastAsia" w:cs="宋体" w:asciiTheme="minorEastAsia" w:hAnsiTheme="minorEastAsia"/>
          <w:color w:val="000000" w:themeColor="text1"/>
          <w:kern w:val="0"/>
          <w:szCs w:val="21"/>
          <w14:textFill>
            <w14:solidFill>
              <w14:schemeClr w14:val="tx1"/>
            </w14:solidFill>
          </w14:textFill>
        </w:rPr>
        <w:t>招标</w:t>
      </w:r>
      <w:r>
        <w:rPr>
          <w:rFonts w:cs="宋体" w:asciiTheme="minorEastAsia" w:hAnsiTheme="minorEastAsia"/>
          <w:color w:val="000000" w:themeColor="text1"/>
          <w:kern w:val="0"/>
          <w:szCs w:val="21"/>
          <w14:textFill>
            <w14:solidFill>
              <w14:schemeClr w14:val="tx1"/>
            </w14:solidFill>
          </w14:textFill>
        </w:rPr>
        <w:t>技术参数给出偏离表，</w:t>
      </w:r>
      <w:r>
        <w:rPr>
          <w:rFonts w:hint="eastAsia" w:cs="宋体" w:asciiTheme="minorEastAsia" w:hAnsiTheme="minorEastAsia"/>
          <w:color w:val="000000" w:themeColor="text1"/>
          <w:kern w:val="0"/>
          <w:szCs w:val="21"/>
          <w14:textFill>
            <w14:solidFill>
              <w14:schemeClr w14:val="tx1"/>
            </w14:solidFill>
          </w14:textFill>
        </w:rPr>
        <w:t>提供相应截图和必要说明</w:t>
      </w:r>
      <w:r>
        <w:rPr>
          <w:rFonts w:cs="宋体" w:asciiTheme="minorEastAsia" w:hAnsiTheme="minorEastAsia"/>
          <w:color w:val="000000" w:themeColor="text1"/>
          <w:kern w:val="0"/>
          <w:szCs w:val="21"/>
          <w14:textFill>
            <w14:solidFill>
              <w14:schemeClr w14:val="tx1"/>
            </w14:solidFill>
          </w14:textFill>
        </w:rPr>
        <w:t>，否则该</w:t>
      </w:r>
      <w:r>
        <w:rPr>
          <w:rFonts w:hint="eastAsia" w:cs="宋体" w:asciiTheme="minorEastAsia" w:hAnsiTheme="minorEastAsia"/>
          <w:color w:val="000000" w:themeColor="text1"/>
          <w:kern w:val="0"/>
          <w:szCs w:val="21"/>
          <w14:textFill>
            <w14:solidFill>
              <w14:schemeClr w14:val="tx1"/>
            </w14:solidFill>
          </w14:textFill>
        </w:rPr>
        <w:t>参数</w:t>
      </w:r>
      <w:r>
        <w:rPr>
          <w:rFonts w:cs="宋体" w:asciiTheme="minorEastAsia" w:hAnsiTheme="minorEastAsia"/>
          <w:color w:val="000000" w:themeColor="text1"/>
          <w:kern w:val="0"/>
          <w:szCs w:val="21"/>
          <w14:textFill>
            <w14:solidFill>
              <w14:schemeClr w14:val="tx1"/>
            </w14:solidFill>
          </w14:textFill>
        </w:rPr>
        <w:t>被视为非实质性响应，</w:t>
      </w:r>
      <w:r>
        <w:rPr>
          <w:rFonts w:hint="eastAsia" w:cs="宋体" w:asciiTheme="minorEastAsia" w:hAnsiTheme="minorEastAsia"/>
          <w:color w:val="000000" w:themeColor="text1"/>
          <w:kern w:val="0"/>
          <w:szCs w:val="21"/>
          <w14:textFill>
            <w14:solidFill>
              <w14:schemeClr w14:val="tx1"/>
            </w14:solidFill>
          </w14:textFill>
        </w:rPr>
        <w:t>扣分处理</w:t>
      </w:r>
      <w:r>
        <w:rPr>
          <w:rFonts w:cs="宋体" w:asciiTheme="minorEastAsia" w:hAnsiTheme="minorEastAsia"/>
          <w:color w:val="000000" w:themeColor="text1"/>
          <w:kern w:val="0"/>
          <w:szCs w:val="21"/>
          <w14:textFill>
            <w14:solidFill>
              <w14:schemeClr w14:val="tx1"/>
            </w14:solidFill>
          </w14:textFill>
        </w:rPr>
        <w:t>。</w:t>
      </w:r>
    </w:p>
    <w:p>
      <w:pPr>
        <w:pStyle w:val="17"/>
        <w:numPr>
          <w:ilvl w:val="0"/>
          <w:numId w:val="3"/>
        </w:numPr>
        <w:spacing w:line="360" w:lineRule="auto"/>
        <w:ind w:firstLineChars="0"/>
        <w:jc w:val="left"/>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★所投安全服务不是投标人自己的，需提供服务厂商针对本项目的授权书和服务承诺函</w:t>
      </w:r>
    </w:p>
    <w:p>
      <w:pPr>
        <w:pStyle w:val="17"/>
        <w:numPr>
          <w:ilvl w:val="0"/>
          <w:numId w:val="3"/>
        </w:numPr>
        <w:spacing w:line="360" w:lineRule="auto"/>
        <w:ind w:firstLineChars="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项目采用一次招标三年有效，分年度签订合同，每次签约有效期一年，每年度合同有效期终止前2个月，由采购人对中标人进行年度考核和验收，如通过则可续签第二年合同，第二年合同价为第一年的原合同价，如遇特殊情况，则以当年度法定程序批准的预算执行或者甲方有权重新招标。</w:t>
      </w:r>
    </w:p>
    <w:p>
      <w:pPr>
        <w:pStyle w:val="2"/>
        <w:numPr>
          <w:ilvl w:val="0"/>
          <w:numId w:val="2"/>
        </w:num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安全服务清单</w:t>
      </w:r>
    </w:p>
    <w:tbl>
      <w:tblPr>
        <w:tblStyle w:val="10"/>
        <w:tblW w:w="7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837"/>
        <w:gridCol w:w="29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1135" w:type="dxa"/>
            <w:shd w:val="clear" w:color="auto" w:fill="auto"/>
            <w:noWrap/>
            <w:vAlign w:val="center"/>
          </w:tcPr>
          <w:p>
            <w:pPr>
              <w:widowControl/>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序号</w:t>
            </w:r>
          </w:p>
        </w:tc>
        <w:tc>
          <w:tcPr>
            <w:tcW w:w="1837" w:type="dxa"/>
            <w:vAlign w:val="center"/>
          </w:tcPr>
          <w:p>
            <w:pPr>
              <w:widowControl/>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服务名称</w:t>
            </w:r>
          </w:p>
        </w:tc>
        <w:tc>
          <w:tcPr>
            <w:tcW w:w="2977" w:type="dxa"/>
            <w:shd w:val="clear" w:color="auto" w:fill="auto"/>
            <w:vAlign w:val="center"/>
          </w:tcPr>
          <w:p>
            <w:pPr>
              <w:widowControl/>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服务内容</w:t>
            </w:r>
          </w:p>
        </w:tc>
        <w:tc>
          <w:tcPr>
            <w:tcW w:w="1559" w:type="dxa"/>
            <w:shd w:val="clear" w:color="auto" w:fill="auto"/>
            <w:noWrap/>
            <w:vAlign w:val="center"/>
          </w:tcPr>
          <w:p>
            <w:pPr>
              <w:widowControl/>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1135" w:type="dxa"/>
            <w:shd w:val="clear" w:color="auto" w:fill="auto"/>
            <w:noWrap/>
            <w:vAlign w:val="center"/>
          </w:tcPr>
          <w:p>
            <w:pPr>
              <w:widowControl/>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c>
          <w:tcPr>
            <w:tcW w:w="1837" w:type="dxa"/>
            <w:vMerge w:val="restart"/>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平台安全服务</w:t>
            </w:r>
          </w:p>
        </w:tc>
        <w:tc>
          <w:tcPr>
            <w:tcW w:w="2977" w:type="dxa"/>
            <w:shd w:val="clear" w:color="auto" w:fill="auto"/>
            <w:vAlign w:val="center"/>
          </w:tcPr>
          <w:p>
            <w:pPr>
              <w:widowControl/>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安全运营服务</w:t>
            </w:r>
          </w:p>
        </w:tc>
        <w:tc>
          <w:tcPr>
            <w:tcW w:w="1559" w:type="dxa"/>
            <w:shd w:val="clear" w:color="auto" w:fill="auto"/>
            <w:noWrap/>
            <w:vAlign w:val="center"/>
          </w:tcPr>
          <w:p>
            <w:pPr>
              <w:widowControl/>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1135" w:type="dxa"/>
            <w:shd w:val="clear" w:color="auto" w:fill="auto"/>
            <w:noWrap/>
            <w:vAlign w:val="center"/>
          </w:tcPr>
          <w:p>
            <w:pPr>
              <w:widowControl/>
              <w:jc w:val="center"/>
              <w:rPr>
                <w:rFonts w:hint="default" w:cs="宋体" w:asciiTheme="minorEastAsia" w:hAnsiTheme="minorEastAsia"/>
                <w:color w:val="000000" w:themeColor="text1"/>
                <w:kern w:val="0"/>
                <w:szCs w:val="21"/>
                <w14:textFill>
                  <w14:solidFill>
                    <w14:schemeClr w14:val="tx1"/>
                  </w14:solidFill>
                </w14:textFill>
              </w:rPr>
            </w:pPr>
            <w:r>
              <w:rPr>
                <w:rFonts w:hint="default" w:cs="宋体" w:asciiTheme="minorEastAsia" w:hAnsiTheme="minorEastAsia"/>
                <w:color w:val="000000" w:themeColor="text1"/>
                <w:kern w:val="0"/>
                <w:szCs w:val="21"/>
                <w14:textFill>
                  <w14:solidFill>
                    <w14:schemeClr w14:val="tx1"/>
                  </w14:solidFill>
                </w14:textFill>
              </w:rPr>
              <w:t>2</w:t>
            </w:r>
          </w:p>
        </w:tc>
        <w:tc>
          <w:tcPr>
            <w:tcW w:w="1837" w:type="dxa"/>
            <w:vMerge w:val="continue"/>
          </w:tcPr>
          <w:p>
            <w:pPr>
              <w:widowControl/>
              <w:jc w:val="center"/>
              <w:rPr>
                <w:rFonts w:cs="宋体" w:asciiTheme="minorEastAsia" w:hAnsiTheme="minorEastAsia"/>
                <w:color w:val="000000" w:themeColor="text1"/>
                <w:kern w:val="0"/>
                <w:sz w:val="22"/>
                <w14:textFill>
                  <w14:solidFill>
                    <w14:schemeClr w14:val="tx1"/>
                  </w14:solidFill>
                </w14:textFill>
              </w:rPr>
            </w:pPr>
          </w:p>
        </w:tc>
        <w:tc>
          <w:tcPr>
            <w:tcW w:w="2977" w:type="dxa"/>
            <w:shd w:val="clear" w:color="auto" w:fill="auto"/>
            <w:vAlign w:val="center"/>
          </w:tcPr>
          <w:p>
            <w:pPr>
              <w:widowControl/>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7*24网站安全实时监测</w:t>
            </w:r>
          </w:p>
        </w:tc>
        <w:tc>
          <w:tcPr>
            <w:tcW w:w="1559" w:type="dxa"/>
            <w:shd w:val="clear" w:color="auto" w:fill="auto"/>
            <w:noWrap/>
            <w:vAlign w:val="center"/>
          </w:tcPr>
          <w:p>
            <w:pPr>
              <w:widowControl/>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1年</w:t>
            </w:r>
          </w:p>
        </w:tc>
      </w:tr>
    </w:tbl>
    <w:p>
      <w:pPr>
        <w:rPr>
          <w:rFonts w:asciiTheme="minorEastAsia" w:hAnsiTheme="minorEastAsia"/>
          <w:color w:val="000000" w:themeColor="text1"/>
          <w14:textFill>
            <w14:solidFill>
              <w14:schemeClr w14:val="tx1"/>
            </w14:solidFill>
          </w14:textFill>
        </w:rPr>
      </w:pPr>
    </w:p>
    <w:p>
      <w:pPr>
        <w:pStyle w:val="2"/>
        <w:numPr>
          <w:ilvl w:val="0"/>
          <w:numId w:val="2"/>
        </w:numP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服务</w:t>
      </w:r>
      <w:r>
        <w:rPr>
          <w:rFonts w:hint="eastAsia" w:asciiTheme="minorEastAsia" w:hAnsiTheme="minorEastAsia"/>
          <w:color w:val="000000" w:themeColor="text1"/>
          <w14:textFill>
            <w14:solidFill>
              <w14:schemeClr w14:val="tx1"/>
            </w14:solidFill>
          </w14:textFill>
        </w:rPr>
        <w:t>内容和要求</w:t>
      </w:r>
    </w:p>
    <w:p>
      <w:pPr>
        <w:pStyle w:val="3"/>
        <w:numPr>
          <w:ilvl w:val="1"/>
          <w:numId w:val="2"/>
        </w:numP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安全运营服务</w:t>
      </w:r>
    </w:p>
    <w:tbl>
      <w:tblPr>
        <w:tblStyle w:val="10"/>
        <w:tblpPr w:leftFromText="180" w:rightFromText="180" w:vertAnchor="text" w:horzAnchor="page" w:tblpX="1049" w:tblpY="178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090"/>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475" w:type="pct"/>
            <w:tcBorders>
              <w:top w:val="single" w:color="auto" w:sz="4" w:space="0"/>
              <w:left w:val="single" w:color="auto" w:sz="4" w:space="0"/>
              <w:bottom w:val="single" w:color="auto" w:sz="4" w:space="0"/>
              <w:right w:val="single" w:color="auto" w:sz="4" w:space="0"/>
            </w:tcBorders>
            <w:shd w:val="clear" w:color="auto" w:fill="44546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Theme="minorEastAsia" w:hAnsiTheme="minorEastAsia"/>
                <w:b/>
                <w:color w:val="000000" w:themeColor="text1"/>
                <w:kern w:val="0"/>
                <w:sz w:val="21"/>
                <w:szCs w:val="21"/>
                <w14:textFill>
                  <w14:solidFill>
                    <w14:schemeClr w14:val="tx1"/>
                  </w14:solidFill>
                </w14:textFill>
              </w:rPr>
            </w:pPr>
            <w:r>
              <w:rPr>
                <w:rFonts w:hint="eastAsia" w:asciiTheme="minorEastAsia" w:hAnsiTheme="minorEastAsia"/>
                <w:b/>
                <w:color w:val="000000" w:themeColor="text1"/>
                <w:kern w:val="0"/>
                <w:sz w:val="21"/>
                <w:szCs w:val="21"/>
                <w14:textFill>
                  <w14:solidFill>
                    <w14:schemeClr w14:val="tx1"/>
                  </w14:solidFill>
                </w14:textFill>
              </w:rPr>
              <w:t>服务类</w:t>
            </w:r>
          </w:p>
        </w:tc>
        <w:tc>
          <w:tcPr>
            <w:tcW w:w="547" w:type="pct"/>
            <w:tcBorders>
              <w:top w:val="single" w:color="auto" w:sz="4" w:space="0"/>
              <w:left w:val="single" w:color="auto" w:sz="4" w:space="0"/>
              <w:bottom w:val="single" w:color="auto" w:sz="4" w:space="0"/>
              <w:right w:val="single" w:color="auto" w:sz="4" w:space="0"/>
            </w:tcBorders>
            <w:shd w:val="clear" w:color="auto" w:fill="44546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Theme="minorEastAsia" w:hAnsiTheme="minorEastAsia"/>
                <w:b/>
                <w:color w:val="000000" w:themeColor="text1"/>
                <w:kern w:val="0"/>
                <w:sz w:val="21"/>
                <w:szCs w:val="21"/>
                <w14:textFill>
                  <w14:solidFill>
                    <w14:schemeClr w14:val="tx1"/>
                  </w14:solidFill>
                </w14:textFill>
              </w:rPr>
            </w:pPr>
            <w:r>
              <w:rPr>
                <w:rFonts w:hint="eastAsia" w:asciiTheme="minorEastAsia" w:hAnsiTheme="minorEastAsia"/>
                <w:b/>
                <w:color w:val="000000" w:themeColor="text1"/>
                <w:kern w:val="0"/>
                <w:sz w:val="21"/>
                <w:szCs w:val="21"/>
                <w14:textFill>
                  <w14:solidFill>
                    <w14:schemeClr w14:val="tx1"/>
                  </w14:solidFill>
                </w14:textFill>
              </w:rPr>
              <w:t>服务类型</w:t>
            </w:r>
          </w:p>
        </w:tc>
        <w:tc>
          <w:tcPr>
            <w:tcW w:w="3977" w:type="pct"/>
            <w:tcBorders>
              <w:top w:val="single" w:color="auto" w:sz="4" w:space="0"/>
              <w:left w:val="single" w:color="auto" w:sz="4" w:space="0"/>
              <w:bottom w:val="single" w:color="auto" w:sz="4" w:space="0"/>
              <w:right w:val="single" w:color="auto" w:sz="4" w:space="0"/>
            </w:tcBorders>
            <w:shd w:val="clear" w:color="auto" w:fill="44546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Theme="minorEastAsia" w:hAnsiTheme="minorEastAsia"/>
                <w:b/>
                <w:color w:val="000000" w:themeColor="text1"/>
                <w:kern w:val="0"/>
                <w:sz w:val="21"/>
                <w:szCs w:val="21"/>
                <w14:textFill>
                  <w14:solidFill>
                    <w14:schemeClr w14:val="tx1"/>
                  </w14:solidFill>
                </w14:textFill>
              </w:rPr>
            </w:pPr>
            <w:r>
              <w:rPr>
                <w:rFonts w:hint="eastAsia" w:asciiTheme="minorEastAsia" w:hAnsiTheme="minorEastAsia"/>
                <w:b/>
                <w:color w:val="000000" w:themeColor="text1"/>
                <w:kern w:val="0"/>
                <w:sz w:val="21"/>
                <w:szCs w:val="21"/>
                <w14:textFill>
                  <w14:solidFill>
                    <w14:schemeClr w14:val="tx1"/>
                  </w14:solidFill>
                </w14:textFill>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Theme="minorEastAsia" w:hAnsiTheme="minorEastAsia"/>
                <w:b/>
                <w:color w:val="000000" w:themeColor="text1"/>
                <w:kern w:val="0"/>
                <w:sz w:val="21"/>
                <w:szCs w:val="21"/>
                <w14:textFill>
                  <w14:solidFill>
                    <w14:schemeClr w14:val="tx1"/>
                  </w14:solidFill>
                </w14:textFill>
              </w:rPr>
            </w:pPr>
            <w:r>
              <w:rPr>
                <w:rFonts w:hint="eastAsia" w:asciiTheme="minorEastAsia" w:hAnsiTheme="minorEastAsia"/>
                <w:color w:val="000000" w:themeColor="text1"/>
                <w:kern w:val="0"/>
                <w:sz w:val="21"/>
                <w:szCs w:val="21"/>
                <w14:textFill>
                  <w14:solidFill>
                    <w14:schemeClr w14:val="tx1"/>
                  </w14:solidFill>
                </w14:textFill>
              </w:rPr>
              <w:t>服务内容</w:t>
            </w:r>
          </w:p>
        </w:tc>
        <w:tc>
          <w:tcPr>
            <w:tcW w:w="547"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Theme="minorEastAsia" w:hAnsiTheme="minorEastAsia"/>
                <w:b/>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首次威胁分析和处置</w:t>
            </w: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heme="minorEastAsia" w:hAnsiTheme="minorEastAsia"/>
                <w:bCs/>
                <w:color w:val="000000" w:themeColor="text1"/>
                <w:kern w:val="0"/>
                <w:sz w:val="21"/>
                <w:szCs w:val="21"/>
                <w14:textFill>
                  <w14:solidFill>
                    <w14:schemeClr w14:val="tx1"/>
                  </w14:solidFill>
                </w14:textFill>
              </w:rPr>
            </w:pPr>
            <w:r>
              <w:rPr>
                <w:rFonts w:hint="eastAsia" w:asciiTheme="minorEastAsia" w:hAnsiTheme="minorEastAsia"/>
                <w:bCs/>
                <w:color w:val="000000" w:themeColor="text1"/>
                <w:kern w:val="0"/>
                <w:sz w:val="21"/>
                <w:szCs w:val="21"/>
                <w14:textFill>
                  <w14:solidFill>
                    <w14:schemeClr w14:val="tx1"/>
                  </w14:solidFill>
                </w14:textFill>
              </w:rPr>
              <w:t>安全威胁分析：安全服务平台被动发现配合安全专家主动日志分析，识别服务范围内资产发现的病毒类事件、漏洞类事件、攻击类事件，并建立安全事件的进度监控机制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heme="minorEastAsia" w:hAnsiTheme="minorEastAsia"/>
                <w:bCs/>
                <w:color w:val="000000" w:themeColor="text1"/>
                <w:kern w:val="0"/>
                <w:sz w:val="21"/>
                <w:szCs w:val="21"/>
                <w14:textFill>
                  <w14:solidFill>
                    <w14:schemeClr w14:val="tx1"/>
                  </w14:solidFill>
                </w14:textFill>
              </w:rPr>
            </w:pPr>
            <w:r>
              <w:rPr>
                <w:rFonts w:hint="eastAsia" w:asciiTheme="minorEastAsia" w:hAnsiTheme="minorEastAsia"/>
                <w:bCs/>
                <w:color w:val="000000" w:themeColor="text1"/>
                <w:kern w:val="0"/>
                <w:sz w:val="21"/>
                <w:szCs w:val="21"/>
                <w14:textFill>
                  <w14:solidFill>
                    <w14:schemeClr w14:val="tx1"/>
                  </w14:solidFill>
                </w14:textFill>
              </w:rPr>
              <w:t>对外服务威胁检查：针对对外的服务器，着重对webshell、病毒进行重点排查，主动发现服务器风险隐患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heme="minorEastAsia" w:hAnsiTheme="minorEastAsia"/>
                <w:bCs/>
                <w:color w:val="000000" w:themeColor="text1"/>
                <w:kern w:val="0"/>
                <w:sz w:val="21"/>
                <w:szCs w:val="21"/>
                <w14:textFill>
                  <w14:solidFill>
                    <w14:schemeClr w14:val="tx1"/>
                  </w14:solidFill>
                </w14:textFill>
              </w:rPr>
            </w:pPr>
            <w:r>
              <w:rPr>
                <w:rFonts w:hint="eastAsia" w:asciiTheme="minorEastAsia" w:hAnsiTheme="minorEastAsia"/>
                <w:bCs/>
                <w:color w:val="000000" w:themeColor="text1"/>
                <w:kern w:val="0"/>
                <w:sz w:val="21"/>
                <w:szCs w:val="21"/>
                <w14:textFill>
                  <w14:solidFill>
                    <w14:schemeClr w14:val="tx1"/>
                  </w14:solidFill>
                </w14:textFill>
              </w:rPr>
              <w:t>首次威胁处置：投标方输出首次威胁分析报告，提供处置方法和工具，并上门提供首次处置服务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heme="minorEastAsia" w:hAnsiTheme="minorEastAsia"/>
                <w:bCs/>
                <w:color w:val="000000" w:themeColor="text1"/>
                <w:kern w:val="0"/>
                <w:sz w:val="21"/>
                <w:szCs w:val="21"/>
                <w14:textFill>
                  <w14:solidFill>
                    <w14:schemeClr w14:val="tx1"/>
                  </w14:solidFill>
                </w14:textFill>
              </w:rPr>
            </w:pPr>
            <w:r>
              <w:rPr>
                <w:rFonts w:hint="eastAsia" w:asciiTheme="minorEastAsia" w:hAnsiTheme="minorEastAsia"/>
                <w:bCs/>
                <w:color w:val="000000" w:themeColor="text1"/>
                <w:kern w:val="0"/>
                <w:sz w:val="21"/>
                <w:szCs w:val="21"/>
                <w14:textFill>
                  <w14:solidFill>
                    <w14:schemeClr w14:val="tx1"/>
                  </w14:solidFill>
                </w14:textFill>
              </w:rPr>
              <w:t>首次威胁汇报：处置完毕后，进行本次处置汇报，并进行报告解读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威胁分析和预警</w:t>
            </w: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结合大数据分析、人工智能、安全专家提供安全事件发现服务：依托于安全防护组件、检测响应组件和安全平台，将海量安全数据脱敏，包括漏洞信息、共享威胁情报、异常流量、攻击日志、病毒日志等数据，经由大数据处理平台结合人工智能和安全专家使用多种数据分析算法模型进行数据归因关联分析，实时监测网络安全状态,发现各类安全事件，并自动生成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color w:val="000000" w:themeColor="text1"/>
                <w:kern w:val="0"/>
                <w:sz w:val="21"/>
                <w:szCs w:val="21"/>
                <w14:textFill>
                  <w14:solidFill>
                    <w14:schemeClr w14:val="tx1"/>
                  </w14:solidFill>
                </w14:textFill>
              </w:rPr>
            </w:pP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实时监测网络安全状态，对攻击事件自动化生成工单，及时进行分析与预警。攻击事件包含境外黑客攻击事件、暴力破解攻击事件、持续攻击事件（提供安全事件（如暴力破解）的工单截图，需展示当前安全事件的处置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color w:val="000000" w:themeColor="text1"/>
                <w:kern w:val="0"/>
                <w:sz w:val="21"/>
                <w:szCs w:val="21"/>
                <w14:textFill>
                  <w14:solidFill>
                    <w14:schemeClr w14:val="tx1"/>
                  </w14:solidFill>
                </w14:textFill>
              </w:rPr>
            </w:pP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实时监测网络安全状态，对病毒事件自动化生成工单,及时进行分析与预警。病毒类型包含勒索型、流行病毒、挖矿型、蠕虫型、外发DOS型、C&amp;C访问型、文件感染型、木马型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color w:val="000000" w:themeColor="text1"/>
                <w:kern w:val="0"/>
                <w:sz w:val="21"/>
                <w:szCs w:val="21"/>
                <w14:textFill>
                  <w14:solidFill>
                    <w14:schemeClr w14:val="tx1"/>
                  </w14:solidFill>
                </w14:textFill>
              </w:rPr>
            </w:pP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安全专家针对每一类威胁，进行深度分析验证，分析判断是否存在其他可疑主机，将深度关联分析的结果通过邮件、微信等方式告知用户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流行威胁通告与排查</w:t>
            </w: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结合最新威胁情报，及时对流行威胁进行评估、风险通告预警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color w:val="000000" w:themeColor="text1"/>
                <w:kern w:val="0"/>
                <w:sz w:val="21"/>
                <w:szCs w:val="21"/>
                <w14:textFill>
                  <w14:solidFill>
                    <w14:schemeClr w14:val="tx1"/>
                  </w14:solidFill>
                </w14:textFill>
              </w:rPr>
            </w:pP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安全专家排查是否对用户资产造成威胁，通知用户协助及时修复或调整安全策略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主动响应服务</w:t>
            </w: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策略调配：新增资产、业务变更策略调优服务，业务变更时策略随业务变化而同步更新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color w:val="000000" w:themeColor="text1"/>
                <w:kern w:val="0"/>
                <w:sz w:val="21"/>
                <w:szCs w:val="21"/>
                <w14:textFill>
                  <w14:solidFill>
                    <w14:schemeClr w14:val="tx1"/>
                  </w14:solidFill>
                </w14:textFill>
              </w:rPr>
            </w:pP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策略定期管理：安全专家每月对安全组件上的安全策略进行统一管理工作，确保安全组件上的安全策略始终处于最优水平，针对威胁能起到最好的防护效果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color w:val="000000" w:themeColor="text1"/>
                <w:kern w:val="0"/>
                <w:sz w:val="21"/>
                <w:szCs w:val="21"/>
                <w14:textFill>
                  <w14:solidFill>
                    <w14:schemeClr w14:val="tx1"/>
                  </w14:solidFill>
                </w14:textFill>
              </w:rPr>
            </w:pP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策略调整：安全专家根据安全事件分析的结果以及处置方式，根据用户授权情况按需对安全组件上的安全策略进行调整工作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color w:val="000000" w:themeColor="text1"/>
                <w:kern w:val="0"/>
                <w:sz w:val="21"/>
                <w:szCs w:val="21"/>
                <w14:textFill>
                  <w14:solidFill>
                    <w14:schemeClr w14:val="tx1"/>
                  </w14:solidFill>
                </w14:textFill>
              </w:rPr>
            </w:pP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针对病毒类的安全事件：安全专家提供病毒处置工具，并针对服务范围内的业务资产使用病毒处置工具进行病毒查杀，对于服务范围外的业务资产，安全专家提供病毒查杀方法和工具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color w:val="000000" w:themeColor="text1"/>
                <w:kern w:val="0"/>
                <w:sz w:val="21"/>
                <w:szCs w:val="21"/>
                <w14:textFill>
                  <w14:solidFill>
                    <w14:schemeClr w14:val="tx1"/>
                  </w14:solidFill>
                </w14:textFill>
              </w:rPr>
            </w:pP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针对攻击类的安全事件：通过攻击日志分析，发现持续性攻击，获取用户授权后采取行动实时对抗，当用户无防御措施时，投标方需提供攻击类安全事件的处置建议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color w:val="000000" w:themeColor="text1"/>
                <w:kern w:val="0"/>
                <w:sz w:val="21"/>
                <w:szCs w:val="21"/>
                <w14:textFill>
                  <w14:solidFill>
                    <w14:schemeClr w14:val="tx1"/>
                  </w14:solidFill>
                </w14:textFill>
              </w:rPr>
            </w:pP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针对漏洞利用类的安全事件：安全专家验证该漏洞是否利用成功，提供工具协助处置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color w:val="000000" w:themeColor="text1"/>
                <w:kern w:val="0"/>
                <w:sz w:val="21"/>
                <w:szCs w:val="21"/>
                <w14:textFill>
                  <w14:solidFill>
                    <w14:schemeClr w14:val="tx1"/>
                  </w14:solidFill>
                </w14:textFill>
              </w:rPr>
            </w:pP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针对失陷类的安全事件：安全专家协助用户处置，并提供溯源服务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color w:val="000000" w:themeColor="text1"/>
                <w:kern w:val="0"/>
                <w:sz w:val="21"/>
                <w:szCs w:val="21"/>
                <w14:textFill>
                  <w14:solidFill>
                    <w14:schemeClr w14:val="tx1"/>
                  </w14:solidFill>
                </w14:textFill>
              </w:rPr>
            </w:pP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▲基于主动响应和被动响应流程，对页面篡改、通报、断网、webshell、黑链等各类严重安全事件进行紧急响应和处置的解决方案（提供在服务平台申请主动响应的实际界面截图证明）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color w:val="000000" w:themeColor="text1"/>
                <w:kern w:val="0"/>
                <w:sz w:val="21"/>
                <w:szCs w:val="21"/>
                <w14:textFill>
                  <w14:solidFill>
                    <w14:schemeClr w14:val="tx1"/>
                  </w14:solidFill>
                </w14:textFill>
              </w:rPr>
            </w:pP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根据事件发生的根因、影响范围，针对性给出安全加固方案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color w:val="000000" w:themeColor="text1"/>
                <w:kern w:val="0"/>
                <w:sz w:val="21"/>
                <w:szCs w:val="21"/>
                <w14:textFill>
                  <w14:solidFill>
                    <w14:schemeClr w14:val="tx1"/>
                  </w14:solidFill>
                </w14:textFill>
              </w:rPr>
            </w:pP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安全专家通过现象深入分析安全事件的成因，发现用户网络中存在的薄弱点，通过技术手段和方法溯源攻击路径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color w:val="000000" w:themeColor="text1"/>
                <w:kern w:val="0"/>
                <w:sz w:val="21"/>
                <w:szCs w:val="21"/>
                <w14:textFill>
                  <w14:solidFill>
                    <w14:schemeClr w14:val="tx1"/>
                  </w14:solidFill>
                </w14:textFill>
              </w:rPr>
            </w:pP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针对勒索病毒、挖矿病毒、篡改事件、webshell、僵尸网络等安全事件，通过工具和方法对恶意文件、代码进行根除，快速恢复业务，消除或减轻影响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color w:val="000000" w:themeColor="text1"/>
                <w:kern w:val="0"/>
                <w:sz w:val="21"/>
                <w:szCs w:val="21"/>
                <w14:textFill>
                  <w14:solidFill>
                    <w14:schemeClr w14:val="tx1"/>
                  </w14:solidFill>
                </w14:textFill>
              </w:rPr>
            </w:pP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通过结合主动发现、主动处置、被动响应流程，对僵尸网络、病毒、后门、黑链等各类安全事件的处置服务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服务质量监督</w:t>
            </w: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服务监控：投标方需为用户提供服务监控门户，在门户中用户可查看业务安全状态，处置中的失陷事件以及针对这些事件的处置进度，处置责任人、联系方式等信息，方便用户时刻了解投标方的服务效果（提供服务监控门户，需展示上述相关信息）</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投标方需有可视化的措施监督安全专家的服务水平，从工单的响应、工单的审核以及工单处理等维度判断服务是否出现停滞（提供可视化的服务监督措施截图，需展示工单认领、工单响应等维度）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color w:val="000000" w:themeColor="text1"/>
                <w:kern w:val="0"/>
                <w:sz w:val="21"/>
                <w:szCs w:val="21"/>
                <w14:textFill>
                  <w14:solidFill>
                    <w14:schemeClr w14:val="tx1"/>
                  </w14:solidFill>
                </w14:textFill>
              </w:rPr>
            </w:pP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▲服务进度督促：针对服务平台生成的工单，招标方可按需催单，服务平台采用短信方式通知安全专家，督促投标方第一时间处理（提供短信催单实际图片）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服务可视</w:t>
            </w:r>
          </w:p>
        </w:tc>
        <w:tc>
          <w:tcPr>
            <w:tcW w:w="39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▲通过安全服务平台，可随时查看业务资产安全状态（提供业务资产安全状态截图证明）在线展示所有事件监测结果、防御过程和防御结果</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本项目使用服务工具支持将学校的安全态势感知、防火墙、终端检测响应平台收集的安全日志上传到安全服务平台上，并支持在该平台上对服务工具进行管理（提供安全日志上传配置截图、联动响应截图、平台远端管理截图）</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heme="minorEastAsia" w:hAnsiTheme="minorEastAsia"/>
                <w:b/>
                <w:color w:val="000000" w:themeColor="text1"/>
                <w:kern w:val="0"/>
                <w:sz w:val="21"/>
                <w:szCs w:val="21"/>
                <w14:textFill>
                  <w14:solidFill>
                    <w14:schemeClr w14:val="tx1"/>
                  </w14:solidFill>
                </w14:textFill>
              </w:rPr>
            </w:pPr>
            <w:bookmarkStart w:id="0" w:name="_Hlk36130858"/>
            <w:r>
              <w:rPr>
                <w:rFonts w:hint="eastAsia" w:asciiTheme="minorEastAsia" w:hAnsiTheme="minorEastAsia"/>
                <w:color w:val="000000" w:themeColor="text1"/>
                <w:kern w:val="0"/>
                <w:sz w:val="21"/>
                <w:szCs w:val="21"/>
                <w14:textFill>
                  <w14:solidFill>
                    <w14:schemeClr w14:val="tx1"/>
                  </w14:solidFill>
                </w14:textFill>
              </w:rPr>
              <w:t>▲为了保证安全监测的效果，需要安全服务平台具备检测规则的自定义功能，以满足日益复杂的安全趋势所带来的安全需求（提供服务平台上检测规则的自定义功能截图）</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0" w:hRule="atLeast"/>
        </w:trPr>
        <w:tc>
          <w:tcPr>
            <w:tcW w:w="4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Theme="minorEastAsia" w:hAnsiTheme="minorEastAsia"/>
                <w:color w:val="000000" w:themeColor="text1"/>
                <w:kern w:val="0"/>
                <w:sz w:val="21"/>
                <w:szCs w:val="21"/>
                <w14:textFill>
                  <w14:solidFill>
                    <w14:schemeClr w14:val="tx1"/>
                  </w14:solidFill>
                </w14:textFill>
              </w:rPr>
            </w:pPr>
            <w:r>
              <w:rPr>
                <w:rFonts w:hint="eastAsia" w:asciiTheme="minorEastAsia" w:hAnsiTheme="minorEastAsia"/>
                <w:color w:val="000000" w:themeColor="text1"/>
                <w:kern w:val="0"/>
                <w:sz w:val="21"/>
                <w:szCs w:val="21"/>
                <w14:textFill>
                  <w14:solidFill>
                    <w14:schemeClr w14:val="tx1"/>
                  </w14:solidFill>
                </w14:textFill>
              </w:rPr>
              <w:t>服务交付物</w:t>
            </w:r>
          </w:p>
        </w:tc>
        <w:tc>
          <w:tcPr>
            <w:tcW w:w="4524"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交付物名称：《安全服务运营报告》</w:t>
            </w:r>
          </w:p>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交付物名称：《首次威胁分析与处置报告》</w:t>
            </w:r>
          </w:p>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交付物名称：《事件分析与处置报告》</w:t>
            </w:r>
          </w:p>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交付物名称：《安全通告》</w:t>
            </w:r>
          </w:p>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交付物名称：《综合分析报告》</w:t>
            </w:r>
          </w:p>
          <w:p>
            <w:pPr>
              <w:keepNext w:val="0"/>
              <w:keepLines w:val="0"/>
              <w:pageBreakBefore w:val="0"/>
              <w:widowControl/>
              <w:kinsoku/>
              <w:wordWrap/>
              <w:overflowPunct/>
              <w:topLinePunct w:val="0"/>
              <w:autoSpaceDE/>
              <w:autoSpaceDN/>
              <w:bidi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交付物名称：《季度汇报PPT》</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交付物名称：《年度汇报PPT》</w:t>
            </w:r>
          </w:p>
        </w:tc>
      </w:tr>
    </w:tbl>
    <w:p>
      <w:pPr>
        <w:rPr>
          <w:rFonts w:asciiTheme="minorEastAsia" w:hAnsiTheme="minorEastAsia"/>
          <w:color w:val="000000" w:themeColor="text1"/>
          <w14:textFill>
            <w14:solidFill>
              <w14:schemeClr w14:val="tx1"/>
            </w14:solidFill>
          </w14:textFill>
        </w:rPr>
      </w:pPr>
    </w:p>
    <w:p>
      <w:pPr>
        <w:pStyle w:val="3"/>
        <w:numPr>
          <w:ilvl w:val="1"/>
          <w:numId w:val="2"/>
        </w:numP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7*24网站安全实时监测</w:t>
      </w:r>
    </w:p>
    <w:tbl>
      <w:tblPr>
        <w:tblStyle w:val="10"/>
        <w:tblW w:w="5000" w:type="pct"/>
        <w:tblInd w:w="0" w:type="dxa"/>
        <w:tblLayout w:type="fixed"/>
        <w:tblCellMar>
          <w:top w:w="0" w:type="dxa"/>
          <w:left w:w="108" w:type="dxa"/>
          <w:bottom w:w="0" w:type="dxa"/>
          <w:right w:w="108" w:type="dxa"/>
        </w:tblCellMar>
      </w:tblPr>
      <w:tblGrid>
        <w:gridCol w:w="1638"/>
        <w:gridCol w:w="1315"/>
        <w:gridCol w:w="7009"/>
      </w:tblGrid>
      <w:tr>
        <w:trPr>
          <w:trHeight w:val="324" w:hRule="atLeast"/>
        </w:trPr>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b/>
                <w:bCs/>
                <w:color w:val="000000" w:themeColor="text1"/>
                <w:kern w:val="0"/>
                <w:sz w:val="21"/>
                <w:szCs w:val="21"/>
                <w14:textFill>
                  <w14:solidFill>
                    <w14:schemeClr w14:val="tx1"/>
                  </w14:solidFill>
                </w14:textFill>
              </w:rPr>
            </w:pPr>
            <w:bookmarkStart w:id="3" w:name="_GoBack"/>
            <w:r>
              <w:rPr>
                <w:rFonts w:hint="eastAsia" w:cs="Helvetica" w:asciiTheme="minorEastAsia" w:hAnsiTheme="minorEastAsia"/>
                <w:b/>
                <w:bCs/>
                <w:color w:val="000000" w:themeColor="text1"/>
                <w:kern w:val="0"/>
                <w:sz w:val="21"/>
                <w:szCs w:val="21"/>
                <w14:textFill>
                  <w14:solidFill>
                    <w14:schemeClr w14:val="tx1"/>
                  </w14:solidFill>
                </w14:textFill>
              </w:rPr>
              <w:t>服务类别</w:t>
            </w:r>
          </w:p>
        </w:tc>
        <w:tc>
          <w:tcPr>
            <w:tcW w:w="6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b/>
                <w:bCs/>
                <w:color w:val="000000" w:themeColor="text1"/>
                <w:kern w:val="0"/>
                <w:sz w:val="21"/>
                <w:szCs w:val="21"/>
                <w14:textFill>
                  <w14:solidFill>
                    <w14:schemeClr w14:val="tx1"/>
                  </w14:solidFill>
                </w14:textFill>
              </w:rPr>
            </w:pPr>
            <w:r>
              <w:rPr>
                <w:rFonts w:hint="eastAsia" w:cs="Helvetica" w:asciiTheme="minorEastAsia" w:hAnsiTheme="minorEastAsia"/>
                <w:b/>
                <w:bCs/>
                <w:color w:val="000000" w:themeColor="text1"/>
                <w:kern w:val="0"/>
                <w:sz w:val="21"/>
                <w:szCs w:val="21"/>
                <w14:textFill>
                  <w14:solidFill>
                    <w14:schemeClr w14:val="tx1"/>
                  </w14:solidFill>
                </w14:textFill>
              </w:rPr>
              <w:t>服务名称</w:t>
            </w:r>
          </w:p>
        </w:tc>
        <w:tc>
          <w:tcPr>
            <w:tcW w:w="35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b/>
                <w:bCs/>
                <w:color w:val="000000" w:themeColor="text1"/>
                <w:kern w:val="0"/>
                <w:sz w:val="21"/>
                <w:szCs w:val="21"/>
                <w14:textFill>
                  <w14:solidFill>
                    <w14:schemeClr w14:val="tx1"/>
                  </w14:solidFill>
                </w14:textFill>
              </w:rPr>
            </w:pPr>
            <w:r>
              <w:rPr>
                <w:rFonts w:hint="eastAsia" w:cs="Helvetica" w:asciiTheme="minorEastAsia" w:hAnsiTheme="minorEastAsia"/>
                <w:b/>
                <w:bCs/>
                <w:color w:val="000000" w:themeColor="text1"/>
                <w:kern w:val="0"/>
                <w:sz w:val="21"/>
                <w:szCs w:val="21"/>
                <w14:textFill>
                  <w14:solidFill>
                    <w14:schemeClr w14:val="tx1"/>
                  </w14:solidFill>
                </w14:textFill>
              </w:rPr>
              <w:t>详细参数</w:t>
            </w:r>
          </w:p>
        </w:tc>
      </w:tr>
      <w:tr>
        <w:trPr>
          <w:trHeight w:val="324" w:hRule="atLeast"/>
        </w:trPr>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b/>
                <w:bCs/>
                <w:color w:val="000000" w:themeColor="text1"/>
                <w:kern w:val="0"/>
                <w:sz w:val="21"/>
                <w:szCs w:val="21"/>
                <w14:textFill>
                  <w14:solidFill>
                    <w14:schemeClr w14:val="tx1"/>
                  </w14:solidFill>
                </w14:textFill>
              </w:rPr>
            </w:pPr>
            <w:r>
              <w:rPr>
                <w:rFonts w:hint="eastAsia" w:cs="Helvetica" w:asciiTheme="minorEastAsia" w:hAnsiTheme="minorEastAsia"/>
                <w:b/>
                <w:bCs/>
                <w:color w:val="000000" w:themeColor="text1"/>
                <w:kern w:val="0"/>
                <w:sz w:val="21"/>
                <w:szCs w:val="21"/>
                <w14:textFill>
                  <w14:solidFill>
                    <w14:schemeClr w14:val="tx1"/>
                  </w14:solidFill>
                </w14:textFill>
              </w:rPr>
              <w:t>服务内容</w:t>
            </w:r>
          </w:p>
        </w:tc>
        <w:tc>
          <w:tcPr>
            <w:tcW w:w="6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b/>
                <w:bCs/>
                <w:color w:val="000000" w:themeColor="text1"/>
                <w:kern w:val="0"/>
                <w:sz w:val="21"/>
                <w:szCs w:val="21"/>
                <w14:textFill>
                  <w14:solidFill>
                    <w14:schemeClr w14:val="tx1"/>
                  </w14:solidFill>
                </w14:textFill>
              </w:rPr>
            </w:pPr>
            <w:r>
              <w:rPr>
                <w:rFonts w:hint="eastAsia" w:cs="Helvetica" w:asciiTheme="minorEastAsia" w:hAnsiTheme="minorEastAsia"/>
                <w:b/>
                <w:bCs/>
                <w:color w:val="000000" w:themeColor="text1"/>
                <w:kern w:val="0"/>
                <w:sz w:val="21"/>
                <w:szCs w:val="21"/>
                <w14:textFill>
                  <w14:solidFill>
                    <w14:schemeClr w14:val="tx1"/>
                  </w14:solidFill>
                </w14:textFill>
              </w:rPr>
              <w:t>保护网站</w:t>
            </w:r>
          </w:p>
        </w:tc>
        <w:tc>
          <w:tcPr>
            <w:tcW w:w="35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b/>
                <w:bCs/>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学校官方网站、统一身份认证、云盘、VPN等对外的网站系统。</w:t>
            </w:r>
          </w:p>
        </w:tc>
      </w:tr>
      <w:tr>
        <w:trPr>
          <w:trHeight w:val="390" w:hRule="atLeast"/>
        </w:trPr>
        <w:tc>
          <w:tcPr>
            <w:tcW w:w="822" w:type="pct"/>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b/>
                <w:bCs/>
                <w:color w:val="000000" w:themeColor="text1"/>
                <w:kern w:val="0"/>
                <w:sz w:val="21"/>
                <w:szCs w:val="21"/>
                <w14:textFill>
                  <w14:solidFill>
                    <w14:schemeClr w14:val="tx1"/>
                  </w14:solidFill>
                </w14:textFill>
              </w:rPr>
            </w:pPr>
            <w:r>
              <w:rPr>
                <w:rFonts w:hint="eastAsia" w:cs="Helvetica" w:asciiTheme="minorEastAsia" w:hAnsiTheme="minorEastAsia"/>
                <w:b/>
                <w:bCs/>
                <w:color w:val="000000" w:themeColor="text1"/>
                <w:kern w:val="0"/>
                <w:sz w:val="21"/>
                <w:szCs w:val="21"/>
                <w14:textFill>
                  <w14:solidFill>
                    <w14:schemeClr w14:val="tx1"/>
                  </w14:solidFill>
                </w14:textFill>
              </w:rPr>
              <w:t>定期风险评估（云评估）</w:t>
            </w:r>
          </w:p>
        </w:tc>
        <w:tc>
          <w:tcPr>
            <w:tcW w:w="660"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暴露面检测</w:t>
            </w:r>
          </w:p>
        </w:tc>
        <w:tc>
          <w:tcPr>
            <w:tcW w:w="351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支持关键资产系统域名发现，自动发现客户所填入域名相关的所有子域名；</w:t>
            </w:r>
          </w:p>
        </w:tc>
      </w:tr>
      <w:tr>
        <w:trPr>
          <w:trHeight w:val="387" w:hRule="atLeast"/>
        </w:trPr>
        <w:tc>
          <w:tcPr>
            <w:tcW w:w="822"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b/>
                <w:bCs/>
                <w:color w:val="000000" w:themeColor="text1"/>
                <w:kern w:val="0"/>
                <w:sz w:val="21"/>
                <w:szCs w:val="21"/>
                <w14:textFill>
                  <w14:solidFill>
                    <w14:schemeClr w14:val="tx1"/>
                  </w14:solidFill>
                </w14:textFill>
              </w:rPr>
            </w:pPr>
          </w:p>
        </w:tc>
        <w:tc>
          <w:tcPr>
            <w:tcW w:w="660"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color w:val="000000" w:themeColor="text1"/>
                <w:kern w:val="0"/>
                <w:sz w:val="21"/>
                <w:szCs w:val="21"/>
                <w14:textFill>
                  <w14:solidFill>
                    <w14:schemeClr w14:val="tx1"/>
                  </w14:solidFill>
                </w14:textFill>
              </w:rPr>
            </w:pPr>
          </w:p>
        </w:tc>
        <w:tc>
          <w:tcPr>
            <w:tcW w:w="351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支持检测网站服务器端口开放情况，比如数据库端口、Ftp服务端口等；</w:t>
            </w:r>
          </w:p>
        </w:tc>
      </w:tr>
      <w:tr>
        <w:trPr>
          <w:trHeight w:val="576" w:hRule="atLeast"/>
        </w:trPr>
        <w:tc>
          <w:tcPr>
            <w:tcW w:w="822"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b/>
                <w:bCs/>
                <w:color w:val="000000" w:themeColor="text1"/>
                <w:kern w:val="0"/>
                <w:sz w:val="21"/>
                <w:szCs w:val="21"/>
                <w14:textFill>
                  <w14:solidFill>
                    <w14:schemeClr w14:val="tx1"/>
                  </w14:solidFill>
                </w14:textFill>
              </w:rPr>
            </w:pPr>
          </w:p>
        </w:tc>
        <w:tc>
          <w:tcPr>
            <w:tcW w:w="6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漏洞脆弱性检测</w:t>
            </w:r>
          </w:p>
        </w:tc>
        <w:tc>
          <w:tcPr>
            <w:tcW w:w="351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支持对Web漏洞进行扫描，覆盖通用漏洞和常规漏洞。支持SQL注入、XSS、安全配置错误、已知漏洞组件包含、敏感信息泄露等常见漏洞的检测；</w:t>
            </w:r>
          </w:p>
        </w:tc>
      </w:tr>
      <w:tr>
        <w:trPr>
          <w:trHeight w:val="996" w:hRule="atLeast"/>
        </w:trPr>
        <w:tc>
          <w:tcPr>
            <w:tcW w:w="82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b/>
                <w:bCs/>
                <w:color w:val="000000" w:themeColor="text1"/>
                <w:kern w:val="0"/>
                <w:sz w:val="21"/>
                <w:szCs w:val="21"/>
                <w14:textFill>
                  <w14:solidFill>
                    <w14:schemeClr w14:val="tx1"/>
                  </w14:solidFill>
                </w14:textFill>
              </w:rPr>
            </w:pPr>
          </w:p>
        </w:tc>
        <w:tc>
          <w:tcPr>
            <w:tcW w:w="66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专家漏洞验证服务</w:t>
            </w:r>
          </w:p>
        </w:tc>
        <w:tc>
          <w:tcPr>
            <w:tcW w:w="351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对风险评估报告中的高危漏洞进行专家验证，确保高危事件的准确性，并定期给用户推送云扫描报告。</w:t>
            </w:r>
          </w:p>
        </w:tc>
      </w:tr>
      <w:tr>
        <w:trPr>
          <w:trHeight w:val="981" w:hRule="atLeast"/>
        </w:trPr>
        <w:tc>
          <w:tcPr>
            <w:tcW w:w="822" w:type="pc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b/>
                <w:bCs/>
                <w:color w:val="000000" w:themeColor="text1"/>
                <w:kern w:val="0"/>
                <w:sz w:val="21"/>
                <w:szCs w:val="21"/>
                <w14:textFill>
                  <w14:solidFill>
                    <w14:schemeClr w14:val="tx1"/>
                  </w14:solidFill>
                </w14:textFill>
              </w:rPr>
            </w:pPr>
          </w:p>
        </w:tc>
        <w:tc>
          <w:tcPr>
            <w:tcW w:w="6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高危0day事件告警</w:t>
            </w:r>
          </w:p>
        </w:tc>
        <w:tc>
          <w:tcPr>
            <w:tcW w:w="351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支持高危0day实时检测，出现0D</w:t>
            </w:r>
            <w:r>
              <w:rPr>
                <w:rFonts w:cs="Helvetica" w:asciiTheme="minorEastAsia" w:hAnsiTheme="minorEastAsia"/>
                <w:color w:val="000000" w:themeColor="text1"/>
                <w:kern w:val="0"/>
                <w:sz w:val="21"/>
                <w:szCs w:val="21"/>
                <w14:textFill>
                  <w14:solidFill>
                    <w14:schemeClr w14:val="tx1"/>
                  </w14:solidFill>
                </w14:textFill>
              </w:rPr>
              <w:t>ay</w:t>
            </w:r>
            <w:r>
              <w:rPr>
                <w:rFonts w:hint="eastAsia" w:cs="Helvetica" w:asciiTheme="minorEastAsia" w:hAnsiTheme="minorEastAsia"/>
                <w:color w:val="000000" w:themeColor="text1"/>
                <w:kern w:val="0"/>
                <w:sz w:val="21"/>
                <w:szCs w:val="21"/>
                <w14:textFill>
                  <w14:solidFill>
                    <w14:schemeClr w14:val="tx1"/>
                  </w14:solidFill>
                </w14:textFill>
              </w:rPr>
              <w:t>漏洞时，主动对所监控用户业务做扫描发现，重要网络安全事件和安全漏洞快速预警通告和检测，检测结果第一时间定向推送到客户，能够支持微信端实时推送告警信息（提供截图证明）；</w:t>
            </w:r>
          </w:p>
        </w:tc>
      </w:tr>
      <w:tr>
        <w:trPr>
          <w:trHeight w:val="981" w:hRule="atLeast"/>
        </w:trPr>
        <w:tc>
          <w:tcPr>
            <w:tcW w:w="822" w:type="pct"/>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b/>
                <w:bCs/>
                <w:color w:val="000000" w:themeColor="text1"/>
                <w:kern w:val="0"/>
                <w:sz w:val="21"/>
                <w:szCs w:val="21"/>
                <w14:textFill>
                  <w14:solidFill>
                    <w14:schemeClr w14:val="tx1"/>
                  </w14:solidFill>
                </w14:textFill>
              </w:rPr>
            </w:pPr>
            <w:r>
              <w:rPr>
                <w:rFonts w:hint="eastAsia" w:cs="Helvetica" w:asciiTheme="minorEastAsia" w:hAnsiTheme="minorEastAsia"/>
                <w:b/>
                <w:bCs/>
                <w:color w:val="000000" w:themeColor="text1"/>
                <w:kern w:val="0"/>
                <w:sz w:val="21"/>
                <w:szCs w:val="21"/>
                <w14:textFill>
                  <w14:solidFill>
                    <w14:schemeClr w14:val="tx1"/>
                  </w14:solidFill>
                </w14:textFill>
              </w:rPr>
              <w:t>实时异常监测（云监测）</w:t>
            </w:r>
          </w:p>
        </w:tc>
        <w:tc>
          <w:tcPr>
            <w:tcW w:w="6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敏感词监测</w:t>
            </w:r>
          </w:p>
        </w:tc>
        <w:tc>
          <w:tcPr>
            <w:tcW w:w="351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支持对目标站点提供7×24小时网页敏感词检测能力。发现网页敏感词事件第一时间通过微信通知用户，监测内容能够在报告中进行呈现；</w:t>
            </w:r>
          </w:p>
        </w:tc>
      </w:tr>
      <w:tr>
        <w:trPr>
          <w:trHeight w:val="864" w:hRule="atLeast"/>
        </w:trPr>
        <w:tc>
          <w:tcPr>
            <w:tcW w:w="822"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b/>
                <w:bCs/>
                <w:color w:val="000000" w:themeColor="text1"/>
                <w:kern w:val="0"/>
                <w:sz w:val="21"/>
                <w:szCs w:val="21"/>
                <w14:textFill>
                  <w14:solidFill>
                    <w14:schemeClr w14:val="tx1"/>
                  </w14:solidFill>
                </w14:textFill>
              </w:rPr>
            </w:pPr>
          </w:p>
        </w:tc>
        <w:tc>
          <w:tcPr>
            <w:tcW w:w="660"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业务可用性监测</w:t>
            </w:r>
          </w:p>
        </w:tc>
        <w:tc>
          <w:tcPr>
            <w:tcW w:w="351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支持页面响应监测，通过固定的频率模拟用户请求访问被监控站点，实时获取站点的响应状态和请求详情，精准的探测出网站的各种异常3分钟检测一次，当连续3次访问失败时判断为业务不可用；</w:t>
            </w:r>
          </w:p>
        </w:tc>
      </w:tr>
      <w:tr>
        <w:trPr>
          <w:trHeight w:val="864" w:hRule="atLeast"/>
        </w:trPr>
        <w:tc>
          <w:tcPr>
            <w:tcW w:w="822"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b/>
                <w:bCs/>
                <w:color w:val="000000" w:themeColor="text1"/>
                <w:kern w:val="0"/>
                <w:sz w:val="21"/>
                <w:szCs w:val="21"/>
                <w14:textFill>
                  <w14:solidFill>
                    <w14:schemeClr w14:val="tx1"/>
                  </w14:solidFill>
                </w14:textFill>
              </w:rPr>
            </w:pPr>
          </w:p>
        </w:tc>
        <w:tc>
          <w:tcPr>
            <w:tcW w:w="660"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color w:val="000000" w:themeColor="text1"/>
                <w:kern w:val="0"/>
                <w:sz w:val="21"/>
                <w:szCs w:val="21"/>
                <w14:textFill>
                  <w14:solidFill>
                    <w14:schemeClr w14:val="tx1"/>
                  </w14:solidFill>
                </w14:textFill>
              </w:rPr>
            </w:pPr>
          </w:p>
        </w:tc>
        <w:tc>
          <w:tcPr>
            <w:tcW w:w="351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支持网站存活监测，通过固定的频率探测被监控站点存活状态</w:t>
            </w:r>
          </w:p>
        </w:tc>
      </w:tr>
      <w:tr>
        <w:trPr>
          <w:trHeight w:val="940" w:hRule="atLeast"/>
        </w:trPr>
        <w:tc>
          <w:tcPr>
            <w:tcW w:w="822"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b/>
                <w:bCs/>
                <w:color w:val="000000" w:themeColor="text1"/>
                <w:kern w:val="0"/>
                <w:sz w:val="21"/>
                <w:szCs w:val="21"/>
                <w14:textFill>
                  <w14:solidFill>
                    <w14:schemeClr w14:val="tx1"/>
                  </w14:solidFill>
                </w14:textFill>
              </w:rPr>
            </w:pPr>
          </w:p>
        </w:tc>
        <w:tc>
          <w:tcPr>
            <w:tcW w:w="660" w:type="pct"/>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篡改监测</w:t>
            </w:r>
          </w:p>
        </w:tc>
        <w:tc>
          <w:tcPr>
            <w:tcW w:w="3517" w:type="pct"/>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▲对目标站点的关键页面进行实时篡改监测，分钟级篡改发现，第一时间通过微信进行实时告警，并提供主动电话告警（提供微信告警截图证明）；</w:t>
            </w:r>
          </w:p>
        </w:tc>
      </w:tr>
      <w:tr>
        <w:trPr>
          <w:trHeight w:val="926" w:hRule="atLeast"/>
        </w:trPr>
        <w:tc>
          <w:tcPr>
            <w:tcW w:w="822"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b/>
                <w:bCs/>
                <w:color w:val="000000" w:themeColor="text1"/>
                <w:kern w:val="0"/>
                <w:sz w:val="21"/>
                <w:szCs w:val="21"/>
                <w14:textFill>
                  <w14:solidFill>
                    <w14:schemeClr w14:val="tx1"/>
                  </w14:solidFill>
                </w14:textFill>
              </w:rPr>
            </w:pPr>
          </w:p>
        </w:tc>
        <w:tc>
          <w:tcPr>
            <w:tcW w:w="660" w:type="pct"/>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color w:val="000000" w:themeColor="text1"/>
                <w:kern w:val="0"/>
                <w:sz w:val="21"/>
                <w:szCs w:val="21"/>
                <w14:textFill>
                  <w14:solidFill>
                    <w14:schemeClr w14:val="tx1"/>
                  </w14:solidFill>
                </w14:textFill>
              </w:rPr>
            </w:pPr>
          </w:p>
        </w:tc>
        <w:tc>
          <w:tcPr>
            <w:tcW w:w="351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▲支持整站内容进行篡改监测，梳理并在首页展示站点结构图，显示网站各节点是否存在被篡改事件（提供界面截图证明）；</w:t>
            </w:r>
          </w:p>
        </w:tc>
      </w:tr>
      <w:tr>
        <w:trPr>
          <w:trHeight w:val="898" w:hRule="atLeast"/>
        </w:trPr>
        <w:tc>
          <w:tcPr>
            <w:tcW w:w="822"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b/>
                <w:bCs/>
                <w:color w:val="000000" w:themeColor="text1"/>
                <w:kern w:val="0"/>
                <w:sz w:val="21"/>
                <w:szCs w:val="21"/>
                <w14:textFill>
                  <w14:solidFill>
                    <w14:schemeClr w14:val="tx1"/>
                  </w14:solidFill>
                </w14:textFill>
              </w:rPr>
            </w:pPr>
          </w:p>
        </w:tc>
        <w:tc>
          <w:tcPr>
            <w:tcW w:w="66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黑链监测</w:t>
            </w:r>
          </w:p>
        </w:tc>
        <w:tc>
          <w:tcPr>
            <w:tcW w:w="351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支持对目标站点提供7×24小时网页黑链监测能力。发现网页黑链事件第一时间通过微信通知用户，监测内容能够在报告中进行呈现。</w:t>
            </w:r>
          </w:p>
        </w:tc>
      </w:tr>
      <w:tr>
        <w:trPr>
          <w:trHeight w:val="661" w:hRule="atLeast"/>
        </w:trPr>
        <w:tc>
          <w:tcPr>
            <w:tcW w:w="8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b/>
                <w:bCs/>
                <w:color w:val="000000" w:themeColor="text1"/>
                <w:kern w:val="0"/>
                <w:sz w:val="21"/>
                <w:szCs w:val="21"/>
                <w14:textFill>
                  <w14:solidFill>
                    <w14:schemeClr w14:val="tx1"/>
                  </w14:solidFill>
                </w14:textFill>
              </w:rPr>
            </w:pPr>
            <w:r>
              <w:rPr>
                <w:rFonts w:hint="eastAsia" w:cs="Helvetica" w:asciiTheme="minorEastAsia" w:hAnsiTheme="minorEastAsia"/>
                <w:b/>
                <w:bCs/>
                <w:color w:val="000000" w:themeColor="text1"/>
                <w:kern w:val="0"/>
                <w:sz w:val="21"/>
                <w:szCs w:val="21"/>
                <w14:textFill>
                  <w14:solidFill>
                    <w14:schemeClr w14:val="tx1"/>
                  </w14:solidFill>
                </w14:textFill>
              </w:rPr>
              <w:t>及时告警</w:t>
            </w:r>
          </w:p>
        </w:tc>
        <w:tc>
          <w:tcPr>
            <w:tcW w:w="6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微信告警</w:t>
            </w:r>
          </w:p>
        </w:tc>
        <w:tc>
          <w:tcPr>
            <w:tcW w:w="35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支持以微信的方式对篡改、挂马、网站不可用等安全事件进行实时告警，支持微信端内容的及时推送（提供截图证明）；</w:t>
            </w:r>
          </w:p>
        </w:tc>
      </w:tr>
      <w:tr>
        <w:trPr>
          <w:trHeight w:val="171" w:hRule="atLeast"/>
        </w:trPr>
        <w:tc>
          <w:tcPr>
            <w:tcW w:w="8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b/>
                <w:bCs/>
                <w:color w:val="000000" w:themeColor="text1"/>
                <w:kern w:val="0"/>
                <w:sz w:val="21"/>
                <w:szCs w:val="21"/>
                <w14:textFill>
                  <w14:solidFill>
                    <w14:schemeClr w14:val="tx1"/>
                  </w14:solidFill>
                </w14:textFill>
              </w:rPr>
            </w:pPr>
          </w:p>
        </w:tc>
        <w:tc>
          <w:tcPr>
            <w:tcW w:w="66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邮件告警</w:t>
            </w:r>
          </w:p>
        </w:tc>
        <w:tc>
          <w:tcPr>
            <w:tcW w:w="35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支持邮件的方式推送安全事件报告、月报运营报告，便于站点安全的管理</w:t>
            </w:r>
          </w:p>
        </w:tc>
      </w:tr>
      <w:tr>
        <w:trPr>
          <w:trHeight w:val="954" w:hRule="atLeast"/>
        </w:trPr>
        <w:tc>
          <w:tcPr>
            <w:tcW w:w="822"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cs="Helvetica" w:asciiTheme="minorEastAsia" w:hAnsiTheme="minorEastAsia"/>
                <w:b/>
                <w:bCs/>
                <w:color w:val="000000" w:themeColor="text1"/>
                <w:kern w:val="0"/>
                <w:sz w:val="21"/>
                <w:szCs w:val="21"/>
                <w14:textFill>
                  <w14:solidFill>
                    <w14:schemeClr w14:val="tx1"/>
                  </w14:solidFill>
                </w14:textFill>
              </w:rPr>
            </w:pPr>
            <w:r>
              <w:rPr>
                <w:rFonts w:hint="eastAsia" w:cs="Helvetica" w:asciiTheme="minorEastAsia" w:hAnsiTheme="minorEastAsia"/>
                <w:b/>
                <w:bCs/>
                <w:color w:val="000000" w:themeColor="text1"/>
                <w:kern w:val="0"/>
                <w:sz w:val="21"/>
                <w:szCs w:val="21"/>
                <w14:textFill>
                  <w14:solidFill>
                    <w14:schemeClr w14:val="tx1"/>
                  </w14:solidFill>
                </w14:textFill>
              </w:rPr>
              <w:t>可视化展示</w:t>
            </w:r>
          </w:p>
        </w:tc>
        <w:tc>
          <w:tcPr>
            <w:tcW w:w="660" w:type="pct"/>
            <w:tcBorders>
              <w:top w:val="single" w:color="auto" w:sz="4" w:space="0"/>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cs="Helvetica" w:asciiTheme="minorEastAsia" w:hAnsiTheme="minorEastAsia"/>
                <w:color w:val="000000" w:themeColor="text1"/>
                <w:kern w:val="0"/>
                <w:sz w:val="21"/>
                <w:szCs w:val="21"/>
                <w14:textFill>
                  <w14:solidFill>
                    <w14:schemeClr w14:val="tx1"/>
                  </w14:solidFill>
                </w14:textFill>
              </w:rPr>
            </w:pPr>
            <w:r>
              <w:rPr>
                <w:rFonts w:cs="Helvetica" w:asciiTheme="minorEastAsia" w:hAnsiTheme="minorEastAsia"/>
                <w:color w:val="000000" w:themeColor="text1"/>
                <w:kern w:val="0"/>
                <w:sz w:val="21"/>
                <w:szCs w:val="21"/>
                <w14:textFill>
                  <w14:solidFill>
                    <w14:schemeClr w14:val="tx1"/>
                  </w14:solidFill>
                </w14:textFill>
              </w:rPr>
              <w:t>风险管理可视</w:t>
            </w:r>
          </w:p>
        </w:tc>
        <w:tc>
          <w:tcPr>
            <w:tcW w:w="35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color w:val="000000" w:themeColor="text1"/>
                <w:kern w:val="0"/>
                <w:sz w:val="21"/>
                <w:szCs w:val="21"/>
                <w14:textFill>
                  <w14:solidFill>
                    <w14:schemeClr w14:val="tx1"/>
                  </w14:solidFill>
                </w14:textFill>
              </w:rPr>
            </w:pPr>
            <w:r>
              <w:rPr>
                <w:rFonts w:cs="Helvetica" w:asciiTheme="minorEastAsia" w:hAnsiTheme="minorEastAsia"/>
                <w:color w:val="000000" w:themeColor="text1"/>
                <w:kern w:val="0"/>
                <w:sz w:val="21"/>
                <w:szCs w:val="21"/>
                <w14:textFill>
                  <w14:solidFill>
                    <w14:schemeClr w14:val="tx1"/>
                  </w14:solidFill>
                </w14:textFill>
              </w:rPr>
              <w:t>平台展示包括web</w:t>
            </w:r>
            <w:r>
              <w:rPr>
                <w:rFonts w:hint="eastAsia" w:cs="Helvetica" w:asciiTheme="minorEastAsia" w:hAnsiTheme="minorEastAsia"/>
                <w:color w:val="000000" w:themeColor="text1"/>
                <w:kern w:val="0"/>
                <w:sz w:val="21"/>
                <w:szCs w:val="21"/>
                <w14:textFill>
                  <w14:solidFill>
                    <w14:schemeClr w14:val="tx1"/>
                  </w14:solidFill>
                </w14:textFill>
              </w:rPr>
              <w:t>业务</w:t>
            </w:r>
            <w:r>
              <w:rPr>
                <w:rFonts w:cs="Helvetica" w:asciiTheme="minorEastAsia" w:hAnsiTheme="minorEastAsia"/>
                <w:color w:val="000000" w:themeColor="text1"/>
                <w:kern w:val="0"/>
                <w:sz w:val="21"/>
                <w:szCs w:val="21"/>
                <w14:textFill>
                  <w14:solidFill>
                    <w14:schemeClr w14:val="tx1"/>
                  </w14:solidFill>
                </w14:textFill>
              </w:rPr>
              <w:t>系统的风险</w:t>
            </w:r>
            <w:r>
              <w:rPr>
                <w:rFonts w:hint="eastAsia" w:cs="Helvetica" w:asciiTheme="minorEastAsia" w:hAnsiTheme="minorEastAsia"/>
                <w:color w:val="000000" w:themeColor="text1"/>
                <w:kern w:val="0"/>
                <w:sz w:val="21"/>
                <w:szCs w:val="21"/>
                <w14:textFill>
                  <w14:solidFill>
                    <w14:schemeClr w14:val="tx1"/>
                  </w14:solidFill>
                </w14:textFill>
              </w:rPr>
              <w:t>统计</w:t>
            </w:r>
            <w:r>
              <w:rPr>
                <w:rFonts w:cs="Helvetica" w:asciiTheme="minorEastAsia" w:hAnsiTheme="minorEastAsia"/>
                <w:color w:val="000000" w:themeColor="text1"/>
                <w:kern w:val="0"/>
                <w:sz w:val="21"/>
                <w:szCs w:val="21"/>
                <w14:textFill>
                  <w14:solidFill>
                    <w14:schemeClr w14:val="tx1"/>
                  </w14:solidFill>
                </w14:textFill>
              </w:rPr>
              <w:t>、</w:t>
            </w:r>
            <w:r>
              <w:rPr>
                <w:rFonts w:hint="eastAsia" w:cs="Helvetica" w:asciiTheme="minorEastAsia" w:hAnsiTheme="minorEastAsia"/>
                <w:color w:val="000000" w:themeColor="text1"/>
                <w:kern w:val="0"/>
                <w:sz w:val="21"/>
                <w:szCs w:val="21"/>
                <w14:textFill>
                  <w14:solidFill>
                    <w14:schemeClr w14:val="tx1"/>
                  </w14:solidFill>
                </w14:textFill>
              </w:rPr>
              <w:t>风险</w:t>
            </w:r>
            <w:r>
              <w:rPr>
                <w:rFonts w:cs="Helvetica" w:asciiTheme="minorEastAsia" w:hAnsiTheme="minorEastAsia"/>
                <w:color w:val="000000" w:themeColor="text1"/>
                <w:kern w:val="0"/>
                <w:sz w:val="21"/>
                <w:szCs w:val="21"/>
                <w14:textFill>
                  <w14:solidFill>
                    <w14:schemeClr w14:val="tx1"/>
                  </w14:solidFill>
                </w14:textFill>
              </w:rPr>
              <w:t>分布、</w:t>
            </w:r>
            <w:r>
              <w:rPr>
                <w:rFonts w:hint="eastAsia" w:cs="Helvetica" w:asciiTheme="minorEastAsia" w:hAnsiTheme="minorEastAsia"/>
                <w:color w:val="000000" w:themeColor="text1"/>
                <w:kern w:val="0"/>
                <w:sz w:val="21"/>
                <w:szCs w:val="21"/>
                <w14:textFill>
                  <w14:solidFill>
                    <w14:schemeClr w14:val="tx1"/>
                  </w14:solidFill>
                </w14:textFill>
              </w:rPr>
              <w:t>潜在</w:t>
            </w:r>
            <w:r>
              <w:rPr>
                <w:rFonts w:cs="Helvetica" w:asciiTheme="minorEastAsia" w:hAnsiTheme="minorEastAsia"/>
                <w:color w:val="000000" w:themeColor="text1"/>
                <w:kern w:val="0"/>
                <w:sz w:val="21"/>
                <w:szCs w:val="21"/>
                <w14:textFill>
                  <w14:solidFill>
                    <w14:schemeClr w14:val="tx1"/>
                  </w14:solidFill>
                </w14:textFill>
              </w:rPr>
              <w:t>风险篡改TOP5</w:t>
            </w:r>
            <w:r>
              <w:rPr>
                <w:rFonts w:hint="eastAsia" w:cs="Helvetica" w:asciiTheme="minorEastAsia" w:hAnsiTheme="minorEastAsia"/>
                <w:color w:val="000000" w:themeColor="text1"/>
                <w:kern w:val="0"/>
                <w:sz w:val="21"/>
                <w:szCs w:val="21"/>
                <w14:textFill>
                  <w14:solidFill>
                    <w14:schemeClr w14:val="tx1"/>
                  </w14:solidFill>
                </w14:textFill>
              </w:rPr>
              <w:t>和风险</w:t>
            </w:r>
            <w:r>
              <w:rPr>
                <w:rFonts w:cs="Helvetica" w:asciiTheme="minorEastAsia" w:hAnsiTheme="minorEastAsia"/>
                <w:color w:val="000000" w:themeColor="text1"/>
                <w:kern w:val="0"/>
                <w:sz w:val="21"/>
                <w:szCs w:val="21"/>
                <w14:textFill>
                  <w14:solidFill>
                    <w14:schemeClr w14:val="tx1"/>
                  </w14:solidFill>
                </w14:textFill>
              </w:rPr>
              <w:t>等级统计；</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风险</w:t>
            </w:r>
            <w:r>
              <w:rPr>
                <w:rFonts w:cs="Helvetica" w:asciiTheme="minorEastAsia" w:hAnsiTheme="minorEastAsia"/>
                <w:color w:val="000000" w:themeColor="text1"/>
                <w:kern w:val="0"/>
                <w:sz w:val="21"/>
                <w:szCs w:val="21"/>
                <w14:textFill>
                  <w14:solidFill>
                    <w14:schemeClr w14:val="tx1"/>
                  </w14:solidFill>
                </w14:textFill>
              </w:rPr>
              <w:t>列表中</w:t>
            </w:r>
            <w:r>
              <w:rPr>
                <w:rFonts w:hint="eastAsia" w:cs="Helvetica" w:asciiTheme="minorEastAsia" w:hAnsiTheme="minorEastAsia"/>
                <w:color w:val="000000" w:themeColor="text1"/>
                <w:kern w:val="0"/>
                <w:sz w:val="21"/>
                <w:szCs w:val="21"/>
                <w14:textFill>
                  <w14:solidFill>
                    <w14:schemeClr w14:val="tx1"/>
                  </w14:solidFill>
                </w14:textFill>
              </w:rPr>
              <w:t>包括</w:t>
            </w:r>
            <w:r>
              <w:rPr>
                <w:rFonts w:cs="Helvetica" w:asciiTheme="minorEastAsia" w:hAnsiTheme="minorEastAsia"/>
                <w:color w:val="000000" w:themeColor="text1"/>
                <w:kern w:val="0"/>
                <w:sz w:val="21"/>
                <w:szCs w:val="21"/>
                <w14:textFill>
                  <w14:solidFill>
                    <w14:schemeClr w14:val="tx1"/>
                  </w14:solidFill>
                </w14:textFill>
              </w:rPr>
              <w:t>已被篡改风险、</w:t>
            </w:r>
            <w:r>
              <w:rPr>
                <w:rFonts w:hint="eastAsia" w:cs="Helvetica" w:asciiTheme="minorEastAsia" w:hAnsiTheme="minorEastAsia"/>
                <w:color w:val="000000" w:themeColor="text1"/>
                <w:kern w:val="0"/>
                <w:sz w:val="21"/>
                <w:szCs w:val="21"/>
                <w14:textFill>
                  <w14:solidFill>
                    <w14:schemeClr w14:val="tx1"/>
                  </w14:solidFill>
                </w14:textFill>
              </w:rPr>
              <w:t>潜在篡改</w:t>
            </w:r>
            <w:r>
              <w:rPr>
                <w:rFonts w:cs="Helvetica" w:asciiTheme="minorEastAsia" w:hAnsiTheme="minorEastAsia"/>
                <w:color w:val="000000" w:themeColor="text1"/>
                <w:kern w:val="0"/>
                <w:sz w:val="21"/>
                <w:szCs w:val="21"/>
                <w14:textFill>
                  <w14:solidFill>
                    <w14:schemeClr w14:val="tx1"/>
                  </w14:solidFill>
                </w14:textFill>
              </w:rPr>
              <w:t>风险、非篡改风险；</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风险</w:t>
            </w:r>
            <w:r>
              <w:rPr>
                <w:rFonts w:cs="Helvetica" w:asciiTheme="minorEastAsia" w:hAnsiTheme="minorEastAsia"/>
                <w:color w:val="000000" w:themeColor="text1"/>
                <w:kern w:val="0"/>
                <w:sz w:val="21"/>
                <w:szCs w:val="21"/>
                <w14:textFill>
                  <w14:solidFill>
                    <w14:schemeClr w14:val="tx1"/>
                  </w14:solidFill>
                </w14:textFill>
              </w:rPr>
              <w:t>状态包含</w:t>
            </w:r>
            <w:r>
              <w:rPr>
                <w:rFonts w:hint="eastAsia" w:cs="Helvetica" w:asciiTheme="minorEastAsia" w:hAnsiTheme="minorEastAsia"/>
                <w:color w:val="000000" w:themeColor="text1"/>
                <w:kern w:val="0"/>
                <w:sz w:val="21"/>
                <w:szCs w:val="21"/>
                <w14:textFill>
                  <w14:solidFill>
                    <w14:schemeClr w14:val="tx1"/>
                  </w14:solidFill>
                </w14:textFill>
              </w:rPr>
              <w:t>未解决</w:t>
            </w:r>
            <w:r>
              <w:rPr>
                <w:rFonts w:cs="Helvetica" w:asciiTheme="minorEastAsia" w:hAnsiTheme="minorEastAsia"/>
                <w:color w:val="000000" w:themeColor="text1"/>
                <w:kern w:val="0"/>
                <w:sz w:val="21"/>
                <w:szCs w:val="21"/>
                <w14:textFill>
                  <w14:solidFill>
                    <w14:schemeClr w14:val="tx1"/>
                  </w14:solidFill>
                </w14:textFill>
              </w:rPr>
              <w:t>状态、平台自动已解决</w:t>
            </w:r>
            <w:r>
              <w:rPr>
                <w:rFonts w:hint="eastAsia" w:cs="Helvetica" w:asciiTheme="minorEastAsia" w:hAnsiTheme="minorEastAsia"/>
                <w:color w:val="000000" w:themeColor="text1"/>
                <w:kern w:val="0"/>
                <w:sz w:val="21"/>
                <w:szCs w:val="21"/>
                <w14:textFill>
                  <w14:solidFill>
                    <w14:schemeClr w14:val="tx1"/>
                  </w14:solidFill>
                </w14:textFill>
              </w:rPr>
              <w:t>状态</w:t>
            </w:r>
            <w:r>
              <w:rPr>
                <w:rFonts w:cs="Helvetica" w:asciiTheme="minorEastAsia" w:hAnsiTheme="minorEastAsia"/>
                <w:color w:val="000000" w:themeColor="text1"/>
                <w:kern w:val="0"/>
                <w:sz w:val="21"/>
                <w:szCs w:val="21"/>
                <w14:textFill>
                  <w14:solidFill>
                    <w14:schemeClr w14:val="tx1"/>
                  </w14:solidFill>
                </w14:textFill>
              </w:rPr>
              <w:t>、人工标记已解决状态，</w:t>
            </w:r>
            <w:r>
              <w:rPr>
                <w:rFonts w:hint="eastAsia" w:cs="Helvetica" w:asciiTheme="minorEastAsia" w:hAnsiTheme="minorEastAsia"/>
                <w:color w:val="000000" w:themeColor="text1"/>
                <w:kern w:val="0"/>
                <w:sz w:val="21"/>
                <w:szCs w:val="21"/>
                <w14:textFill>
                  <w14:solidFill>
                    <w14:schemeClr w14:val="tx1"/>
                  </w14:solidFill>
                </w14:textFill>
              </w:rPr>
              <w:t>便于</w:t>
            </w:r>
            <w:r>
              <w:rPr>
                <w:rFonts w:cs="Helvetica" w:asciiTheme="minorEastAsia" w:hAnsiTheme="minorEastAsia"/>
                <w:color w:val="000000" w:themeColor="text1"/>
                <w:kern w:val="0"/>
                <w:sz w:val="21"/>
                <w:szCs w:val="21"/>
                <w14:textFill>
                  <w14:solidFill>
                    <w14:schemeClr w14:val="tx1"/>
                  </w14:solidFill>
                </w14:textFill>
              </w:rPr>
              <w:t>快速了解风险处理进度；</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color w:val="000000" w:themeColor="text1"/>
                <w:kern w:val="0"/>
                <w:sz w:val="21"/>
                <w:szCs w:val="21"/>
                <w14:textFill>
                  <w14:solidFill>
                    <w14:schemeClr w14:val="tx1"/>
                  </w14:solidFill>
                </w14:textFill>
              </w:rPr>
            </w:pPr>
            <w:r>
              <w:rPr>
                <w:rFonts w:cs="Helvetica" w:asciiTheme="minorEastAsia" w:hAnsiTheme="minorEastAsia"/>
                <w:color w:val="000000" w:themeColor="text1"/>
                <w:kern w:val="0"/>
                <w:sz w:val="21"/>
                <w:szCs w:val="21"/>
                <w14:textFill>
                  <w14:solidFill>
                    <w14:schemeClr w14:val="tx1"/>
                  </w14:solidFill>
                </w14:textFill>
              </w:rPr>
              <w:t>支持根据</w:t>
            </w:r>
            <w:r>
              <w:rPr>
                <w:rFonts w:hint="eastAsia" w:cs="Helvetica" w:asciiTheme="minorEastAsia" w:hAnsiTheme="minorEastAsia"/>
                <w:color w:val="000000" w:themeColor="text1"/>
                <w:kern w:val="0"/>
                <w:sz w:val="21"/>
                <w:szCs w:val="21"/>
                <w14:textFill>
                  <w14:solidFill>
                    <w14:schemeClr w14:val="tx1"/>
                  </w14:solidFill>
                </w14:textFill>
              </w:rPr>
              <w:t>单位名称展示</w:t>
            </w:r>
            <w:r>
              <w:rPr>
                <w:rFonts w:cs="Helvetica" w:asciiTheme="minorEastAsia" w:hAnsiTheme="minorEastAsia"/>
                <w:color w:val="000000" w:themeColor="text1"/>
                <w:kern w:val="0"/>
                <w:sz w:val="21"/>
                <w:szCs w:val="21"/>
                <w14:textFill>
                  <w14:solidFill>
                    <w14:schemeClr w14:val="tx1"/>
                  </w14:solidFill>
                </w14:textFill>
              </w:rPr>
              <w:t>风险；</w:t>
            </w:r>
            <w:r>
              <w:rPr>
                <w:rFonts w:hint="eastAsia" w:cs="Helvetica" w:asciiTheme="minorEastAsia" w:hAnsiTheme="minorEastAsia"/>
                <w:color w:val="000000" w:themeColor="text1"/>
                <w:kern w:val="0"/>
                <w:sz w:val="21"/>
                <w:szCs w:val="21"/>
                <w14:textFill>
                  <w14:solidFill>
                    <w14:schemeClr w14:val="tx1"/>
                  </w14:solidFill>
                </w14:textFill>
              </w:rPr>
              <w:t>（</w:t>
            </w:r>
            <w:r>
              <w:rPr>
                <w:rFonts w:cs="Helvetica" w:asciiTheme="minorEastAsia" w:hAnsiTheme="minorEastAsia"/>
                <w:color w:val="000000" w:themeColor="text1"/>
                <w:kern w:val="0"/>
                <w:sz w:val="21"/>
                <w:szCs w:val="21"/>
                <w14:textFill>
                  <w14:solidFill>
                    <w14:schemeClr w14:val="tx1"/>
                  </w14:solidFill>
                </w14:textFill>
              </w:rPr>
              <w:t>提供截图证明</w:t>
            </w:r>
            <w:r>
              <w:rPr>
                <w:rFonts w:hint="eastAsia" w:cs="Helvetica" w:asciiTheme="minorEastAsia" w:hAnsiTheme="minorEastAsia"/>
                <w:color w:val="000000" w:themeColor="text1"/>
                <w:kern w:val="0"/>
                <w:sz w:val="21"/>
                <w:szCs w:val="21"/>
                <w14:textFill>
                  <w14:solidFill>
                    <w14:schemeClr w14:val="tx1"/>
                  </w14:solidFill>
                </w14:textFill>
              </w:rPr>
              <w:t>）</w:t>
            </w:r>
          </w:p>
        </w:tc>
      </w:tr>
      <w:tr>
        <w:trPr>
          <w:trHeight w:val="954" w:hRule="atLeast"/>
        </w:trPr>
        <w:tc>
          <w:tcPr>
            <w:tcW w:w="822"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b/>
                <w:bCs/>
                <w:color w:val="000000" w:themeColor="text1"/>
                <w:kern w:val="0"/>
                <w:sz w:val="21"/>
                <w:szCs w:val="21"/>
                <w14:textFill>
                  <w14:solidFill>
                    <w14:schemeClr w14:val="tx1"/>
                  </w14:solidFill>
                </w14:textFill>
              </w:rPr>
            </w:pPr>
          </w:p>
        </w:tc>
        <w:tc>
          <w:tcPr>
            <w:tcW w:w="660" w:type="pct"/>
            <w:vMerge w:val="restart"/>
            <w:tcBorders>
              <w:top w:val="single" w:color="auto" w:sz="4" w:space="0"/>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篡改监测过程可视化</w:t>
            </w:r>
          </w:p>
        </w:tc>
        <w:tc>
          <w:tcPr>
            <w:tcW w:w="35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▲支持提供可视化的篡改监测界面，首页可直观展示篡改监测过程和监测结果，如正在监测哪一个页面，历史监测页面的安全状况等，便于实时掌握业务风险情况；（提供截图证明）</w:t>
            </w:r>
          </w:p>
        </w:tc>
      </w:tr>
      <w:tr>
        <w:trPr>
          <w:trHeight w:val="660" w:hRule="atLeast"/>
        </w:trPr>
        <w:tc>
          <w:tcPr>
            <w:tcW w:w="822"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b/>
                <w:bCs/>
                <w:color w:val="000000" w:themeColor="text1"/>
                <w:kern w:val="0"/>
                <w:sz w:val="21"/>
                <w:szCs w:val="21"/>
                <w14:textFill>
                  <w14:solidFill>
                    <w14:schemeClr w14:val="tx1"/>
                  </w14:solidFill>
                </w14:textFill>
              </w:rPr>
            </w:pPr>
          </w:p>
        </w:tc>
        <w:tc>
          <w:tcPr>
            <w:tcW w:w="660" w:type="pct"/>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color w:val="000000" w:themeColor="text1"/>
                <w:kern w:val="0"/>
                <w:sz w:val="21"/>
                <w:szCs w:val="21"/>
                <w14:textFill>
                  <w14:solidFill>
                    <w14:schemeClr w14:val="tx1"/>
                  </w14:solidFill>
                </w14:textFill>
              </w:rPr>
            </w:pPr>
          </w:p>
        </w:tc>
        <w:tc>
          <w:tcPr>
            <w:tcW w:w="35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color w:val="000000" w:themeColor="text1"/>
                <w:kern w:val="0"/>
                <w:sz w:val="21"/>
                <w:szCs w:val="21"/>
                <w14:textFill>
                  <w14:solidFill>
                    <w14:schemeClr w14:val="tx1"/>
                  </w14:solidFill>
                </w14:textFill>
              </w:rPr>
            </w:pPr>
            <w:bookmarkStart w:id="1" w:name="_Hlk525032565"/>
            <w:r>
              <w:rPr>
                <w:rFonts w:hint="eastAsia" w:cs="Helvetica" w:asciiTheme="minorEastAsia" w:hAnsiTheme="minorEastAsia"/>
                <w:color w:val="000000" w:themeColor="text1"/>
                <w:kern w:val="0"/>
                <w:sz w:val="21"/>
                <w:szCs w:val="21"/>
                <w14:textFill>
                  <w14:solidFill>
                    <w14:schemeClr w14:val="tx1"/>
                  </w14:solidFill>
                </w14:textFill>
              </w:rPr>
              <w:t>▲网站篡改事件应支持查看“举证图片”，管理人员可通过微信及web登录界面，直观查看被篡改内容，便于第一时间掌握被篡改的情况（提供微信及web界面截图证明）；</w:t>
            </w:r>
            <w:bookmarkEnd w:id="1"/>
          </w:p>
        </w:tc>
      </w:tr>
      <w:tr>
        <w:trPr>
          <w:trHeight w:val="171" w:hRule="atLeast"/>
        </w:trPr>
        <w:tc>
          <w:tcPr>
            <w:tcW w:w="822"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b/>
                <w:bCs/>
                <w:color w:val="000000" w:themeColor="text1"/>
                <w:kern w:val="0"/>
                <w:sz w:val="21"/>
                <w:szCs w:val="21"/>
                <w14:textFill>
                  <w14:solidFill>
                    <w14:schemeClr w14:val="tx1"/>
                  </w14:solidFill>
                </w14:textFill>
              </w:rPr>
            </w:pPr>
          </w:p>
        </w:tc>
        <w:tc>
          <w:tcPr>
            <w:tcW w:w="660" w:type="pct"/>
            <w:vMerge w:val="restart"/>
            <w:tcBorders>
              <w:top w:val="single" w:color="auto" w:sz="4" w:space="0"/>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color w:val="000000" w:themeColor="text1"/>
                <w:kern w:val="0"/>
                <w:sz w:val="21"/>
                <w:szCs w:val="21"/>
                <w14:textFill>
                  <w14:solidFill>
                    <w14:schemeClr w14:val="tx1"/>
                  </w14:solidFill>
                </w14:textFill>
              </w:rPr>
            </w:pPr>
            <w:r>
              <w:rPr>
                <w:rFonts w:cs="Helvetica" w:asciiTheme="minorEastAsia" w:hAnsiTheme="minorEastAsia"/>
                <w:color w:val="000000" w:themeColor="text1"/>
                <w:kern w:val="0"/>
                <w:sz w:val="21"/>
                <w:szCs w:val="21"/>
                <w14:textFill>
                  <w14:solidFill>
                    <w14:schemeClr w14:val="tx1"/>
                  </w14:solidFill>
                </w14:textFill>
              </w:rPr>
              <w:t>交付</w:t>
            </w:r>
            <w:r>
              <w:rPr>
                <w:rFonts w:hint="eastAsia" w:cs="Helvetica" w:asciiTheme="minorEastAsia" w:hAnsiTheme="minorEastAsia"/>
                <w:color w:val="000000" w:themeColor="text1"/>
                <w:kern w:val="0"/>
                <w:sz w:val="21"/>
                <w:szCs w:val="21"/>
                <w14:textFill>
                  <w14:solidFill>
                    <w14:schemeClr w14:val="tx1"/>
                  </w14:solidFill>
                </w14:textFill>
              </w:rPr>
              <w:t>报告</w:t>
            </w:r>
          </w:p>
        </w:tc>
        <w:tc>
          <w:tcPr>
            <w:tcW w:w="35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支持每月定期进行网站安全评估，并生成安全评估报告，报告应至少包含扫描站点信息、风险分布情况、漏洞的风险描述、影响范围、解决方案和具体的攻击举证进行详细的展示（提供云</w:t>
            </w:r>
            <w:r>
              <w:rPr>
                <w:rFonts w:cs="Helvetica" w:asciiTheme="minorEastAsia" w:hAnsiTheme="minorEastAsia"/>
                <w:color w:val="000000" w:themeColor="text1"/>
                <w:kern w:val="0"/>
                <w:sz w:val="21"/>
                <w:szCs w:val="21"/>
                <w14:textFill>
                  <w14:solidFill>
                    <w14:schemeClr w14:val="tx1"/>
                  </w14:solidFill>
                </w14:textFill>
              </w:rPr>
              <w:t>扫描</w:t>
            </w:r>
            <w:r>
              <w:rPr>
                <w:rFonts w:hint="eastAsia" w:cs="Helvetica" w:asciiTheme="minorEastAsia" w:hAnsiTheme="minorEastAsia"/>
                <w:color w:val="000000" w:themeColor="text1"/>
                <w:kern w:val="0"/>
                <w:sz w:val="21"/>
                <w:szCs w:val="21"/>
                <w14:textFill>
                  <w14:solidFill>
                    <w14:schemeClr w14:val="tx1"/>
                  </w14:solidFill>
                </w14:textFill>
              </w:rPr>
              <w:t>报告）；</w:t>
            </w:r>
          </w:p>
        </w:tc>
      </w:tr>
      <w:tr>
        <w:trPr>
          <w:trHeight w:val="953" w:hRule="atLeast"/>
        </w:trPr>
        <w:tc>
          <w:tcPr>
            <w:tcW w:w="82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b/>
                <w:bCs/>
                <w:color w:val="000000" w:themeColor="text1"/>
                <w:kern w:val="0"/>
                <w:sz w:val="21"/>
                <w:szCs w:val="21"/>
                <w14:textFill>
                  <w14:solidFill>
                    <w14:schemeClr w14:val="tx1"/>
                  </w14:solidFill>
                </w14:textFill>
              </w:rPr>
            </w:pPr>
          </w:p>
        </w:tc>
        <w:tc>
          <w:tcPr>
            <w:tcW w:w="660" w:type="pct"/>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Helvetica" w:asciiTheme="minorEastAsia" w:hAnsiTheme="minorEastAsia"/>
                <w:color w:val="000000" w:themeColor="text1"/>
                <w:kern w:val="0"/>
                <w:sz w:val="21"/>
                <w:szCs w:val="21"/>
                <w14:textFill>
                  <w14:solidFill>
                    <w14:schemeClr w14:val="tx1"/>
                  </w14:solidFill>
                </w14:textFill>
              </w:rPr>
            </w:pPr>
          </w:p>
        </w:tc>
        <w:tc>
          <w:tcPr>
            <w:tcW w:w="35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color w:val="000000" w:themeColor="text1"/>
                <w:kern w:val="0"/>
                <w:sz w:val="21"/>
                <w:szCs w:val="21"/>
                <w14:textFill>
                  <w14:solidFill>
                    <w14:schemeClr w14:val="tx1"/>
                  </w14:solidFill>
                </w14:textFill>
              </w:rPr>
            </w:pPr>
            <w:r>
              <w:rPr>
                <w:rFonts w:hint="eastAsia" w:cs="Helvetica" w:asciiTheme="minorEastAsia" w:hAnsiTheme="minorEastAsia"/>
                <w:color w:val="000000" w:themeColor="text1"/>
                <w:kern w:val="0"/>
                <w:sz w:val="21"/>
                <w:szCs w:val="21"/>
                <w14:textFill>
                  <w14:solidFill>
                    <w14:schemeClr w14:val="tx1"/>
                  </w14:solidFill>
                </w14:textFill>
              </w:rPr>
              <w:t>支持每日生成安全运营日报，每月生成安全运营月报，并针对安全事件实时生成安全事件报告（提供各类报告证明）；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color w:val="000000" w:themeColor="text1"/>
                <w:kern w:val="0"/>
                <w:sz w:val="21"/>
                <w:szCs w:val="21"/>
                <w14:textFill>
                  <w14:solidFill>
                    <w14:schemeClr w14:val="tx1"/>
                  </w14:solidFill>
                </w14:textFill>
              </w:rPr>
            </w:pPr>
            <w:r>
              <w:rPr>
                <w:rFonts w:cs="Helvetica" w:asciiTheme="minorEastAsia" w:hAnsiTheme="minorEastAsia"/>
                <w:color w:val="000000" w:themeColor="text1"/>
                <w:kern w:val="0"/>
                <w:sz w:val="21"/>
                <w:szCs w:val="21"/>
                <w14:textFill>
                  <w14:solidFill>
                    <w14:schemeClr w14:val="tx1"/>
                  </w14:solidFill>
                </w14:textFill>
              </w:rPr>
              <w:t>平台</w:t>
            </w:r>
            <w:r>
              <w:rPr>
                <w:rFonts w:hint="eastAsia" w:cs="Helvetica" w:asciiTheme="minorEastAsia" w:hAnsiTheme="minorEastAsia"/>
                <w:color w:val="000000" w:themeColor="text1"/>
                <w:kern w:val="0"/>
                <w:sz w:val="21"/>
                <w:szCs w:val="21"/>
                <w14:textFill>
                  <w14:solidFill>
                    <w14:schemeClr w14:val="tx1"/>
                  </w14:solidFill>
                </w14:textFill>
              </w:rPr>
              <w:t>可</w:t>
            </w:r>
            <w:r>
              <w:rPr>
                <w:rFonts w:cs="Helvetica" w:asciiTheme="minorEastAsia" w:hAnsiTheme="minorEastAsia"/>
                <w:color w:val="000000" w:themeColor="text1"/>
                <w:kern w:val="0"/>
                <w:sz w:val="21"/>
                <w:szCs w:val="21"/>
                <w14:textFill>
                  <w14:solidFill>
                    <w14:schemeClr w14:val="tx1"/>
                  </w14:solidFill>
                </w14:textFill>
              </w:rPr>
              <w:t>自动生成以下报告：《安全事件报告》、《内网扫描报告》、《云扫描报告》</w:t>
            </w:r>
            <w:r>
              <w:rPr>
                <w:rFonts w:hint="eastAsia" w:cs="Helvetica" w:asciiTheme="minorEastAsia" w:hAnsiTheme="minorEastAsia"/>
                <w:color w:val="000000" w:themeColor="text1"/>
                <w:kern w:val="0"/>
                <w:sz w:val="21"/>
                <w:szCs w:val="21"/>
                <w14:textFill>
                  <w14:solidFill>
                    <w14:schemeClr w14:val="tx1"/>
                  </w14:solidFill>
                </w14:textFill>
              </w:rPr>
              <w:t>、《每日值守报告》</w:t>
            </w:r>
            <w:r>
              <w:rPr>
                <w:rFonts w:cs="Helvetica" w:asciiTheme="minorEastAsia" w:hAnsiTheme="minorEastAsia"/>
                <w:color w:val="000000" w:themeColor="text1"/>
                <w:kern w:val="0"/>
                <w:sz w:val="21"/>
                <w:szCs w:val="21"/>
                <w14:textFill>
                  <w14:solidFill>
                    <w14:schemeClr w14:val="tx1"/>
                  </w14:solidFill>
                </w14:textFill>
              </w:rPr>
              <w:t>、《安全运营报告》、《重大活动值守报告》；</w:t>
            </w:r>
            <w:bookmarkStart w:id="2" w:name="_Hlk525032876"/>
            <w:r>
              <w:rPr>
                <w:rFonts w:cs="Helvetica" w:asciiTheme="minorEastAsia" w:hAnsiTheme="minorEastAsia"/>
                <w:color w:val="000000" w:themeColor="text1"/>
                <w:kern w:val="0"/>
                <w:sz w:val="21"/>
                <w:szCs w:val="21"/>
                <w14:textFill>
                  <w14:solidFill>
                    <w14:schemeClr w14:val="tx1"/>
                  </w14:solidFill>
                </w14:textFill>
              </w:rPr>
              <w:t>支持手动</w:t>
            </w:r>
            <w:r>
              <w:rPr>
                <w:rFonts w:hint="eastAsia" w:cs="Helvetica" w:asciiTheme="minorEastAsia" w:hAnsiTheme="minorEastAsia"/>
                <w:color w:val="000000" w:themeColor="text1"/>
                <w:kern w:val="0"/>
                <w:sz w:val="21"/>
                <w:szCs w:val="21"/>
                <w14:textFill>
                  <w14:solidFill>
                    <w14:schemeClr w14:val="tx1"/>
                  </w14:solidFill>
                </w14:textFill>
              </w:rPr>
              <w:t>按时间</w:t>
            </w:r>
            <w:r>
              <w:rPr>
                <w:rFonts w:cs="Helvetica" w:asciiTheme="minorEastAsia" w:hAnsiTheme="minorEastAsia"/>
                <w:color w:val="000000" w:themeColor="text1"/>
                <w:kern w:val="0"/>
                <w:sz w:val="21"/>
                <w:szCs w:val="21"/>
                <w14:textFill>
                  <w14:solidFill>
                    <w14:schemeClr w14:val="tx1"/>
                  </w14:solidFill>
                </w14:textFill>
              </w:rPr>
              <w:t>范围导出《值守报告》。（提供界面截图证明和报告证明）</w:t>
            </w:r>
            <w:bookmarkEnd w:id="2"/>
          </w:p>
        </w:tc>
      </w:tr>
      <w:bookmarkEnd w:id="3"/>
    </w:tbl>
    <w:p/>
    <w:sectPr>
      <w:footerReference r:id="rId3" w:type="default"/>
      <w:foot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Helvetica">
    <w:panose1 w:val="00000000000000000000"/>
    <w:charset w:val="00"/>
    <w:family w:val="swiss"/>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2079192271"/>
      <w:docPartObj>
        <w:docPartGallery w:val="autotext"/>
      </w:docPartObj>
    </w:sdtPr>
    <w:sdtEndPr>
      <w:rPr>
        <w:rStyle w:val="12"/>
      </w:rPr>
    </w:sdtEndPr>
    <w:sdtContent>
      <w:p>
        <w:pPr>
          <w:pStyle w:val="7"/>
          <w:framePr w:wrap="auto" w:vAnchor="text" w:hAnchor="margin" w:xAlign="right" w:y="1"/>
          <w:rPr>
            <w:rStyle w:val="12"/>
          </w:rPr>
        </w:pPr>
        <w:r>
          <w:rPr>
            <w:rStyle w:val="12"/>
          </w:rPr>
          <w:fldChar w:fldCharType="begin"/>
        </w:r>
        <w:r>
          <w:rPr>
            <w:rStyle w:val="12"/>
          </w:rPr>
          <w:instrText xml:space="preserve"> PAGE </w:instrText>
        </w:r>
        <w:r>
          <w:rPr>
            <w:rStyle w:val="12"/>
          </w:rPr>
          <w:fldChar w:fldCharType="separate"/>
        </w:r>
        <w:r>
          <w:rPr>
            <w:rStyle w:val="12"/>
          </w:rPr>
          <w:t>2</w:t>
        </w:r>
        <w:r>
          <w:rPr>
            <w:rStyle w:val="12"/>
          </w:rPr>
          <w:fldChar w:fldCharType="end"/>
        </w:r>
      </w:p>
    </w:sdtContent>
  </w:sdt>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828791626"/>
      <w:docPartObj>
        <w:docPartGallery w:val="autotext"/>
      </w:docPartObj>
    </w:sdtPr>
    <w:sdtEndPr>
      <w:rPr>
        <w:rStyle w:val="12"/>
      </w:rPr>
    </w:sdtEndPr>
    <w:sdtContent>
      <w:p>
        <w:pPr>
          <w:pStyle w:val="7"/>
          <w:framePr w:wrap="auto" w:vAnchor="text" w:hAnchor="margin" w:xAlign="right" w:y="1"/>
          <w:rPr>
            <w:rStyle w:val="12"/>
          </w:rPr>
        </w:pPr>
        <w:r>
          <w:rPr>
            <w:rStyle w:val="12"/>
          </w:rPr>
          <w:fldChar w:fldCharType="begin"/>
        </w:r>
        <w:r>
          <w:rPr>
            <w:rStyle w:val="12"/>
          </w:rPr>
          <w:instrText xml:space="preserve"> PAGE </w:instrText>
        </w:r>
        <w:r>
          <w:rPr>
            <w:rStyle w:val="12"/>
          </w:rPr>
          <w:fldChar w:fldCharType="end"/>
        </w:r>
      </w:p>
    </w:sdtContent>
  </w:sdt>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76431E"/>
    <w:multiLevelType w:val="multilevel"/>
    <w:tmpl w:val="2976431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2146DB"/>
    <w:multiLevelType w:val="multilevel"/>
    <w:tmpl w:val="3E2146D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6B806352"/>
    <w:multiLevelType w:val="multilevel"/>
    <w:tmpl w:val="6B806352"/>
    <w:lvl w:ilvl="0" w:tentative="0">
      <w:start w:val="1"/>
      <w:numFmt w:val="bullet"/>
      <w:lvlText w:val=""/>
      <w:lvlJc w:val="left"/>
      <w:pPr>
        <w:ind w:left="780" w:hanging="420"/>
      </w:pPr>
      <w:rPr>
        <w:rFonts w:hint="default" w:ascii="Wingdings" w:hAnsi="Wingdings"/>
      </w:rPr>
    </w:lvl>
    <w:lvl w:ilvl="1" w:tentative="0">
      <w:start w:val="1"/>
      <w:numFmt w:val="bullet"/>
      <w:pStyle w:val="3"/>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FC7"/>
    <w:rsid w:val="00030F99"/>
    <w:rsid w:val="00101188"/>
    <w:rsid w:val="00130001"/>
    <w:rsid w:val="00194605"/>
    <w:rsid w:val="001A6520"/>
    <w:rsid w:val="00262372"/>
    <w:rsid w:val="002734D1"/>
    <w:rsid w:val="00276D2A"/>
    <w:rsid w:val="002849AA"/>
    <w:rsid w:val="002E1941"/>
    <w:rsid w:val="00387C46"/>
    <w:rsid w:val="003D5A34"/>
    <w:rsid w:val="00432113"/>
    <w:rsid w:val="004C19CE"/>
    <w:rsid w:val="00503D90"/>
    <w:rsid w:val="00556E96"/>
    <w:rsid w:val="005913F0"/>
    <w:rsid w:val="005938C5"/>
    <w:rsid w:val="005E2AB1"/>
    <w:rsid w:val="006367C5"/>
    <w:rsid w:val="006A2C83"/>
    <w:rsid w:val="006C1614"/>
    <w:rsid w:val="006C1EEF"/>
    <w:rsid w:val="006E275A"/>
    <w:rsid w:val="00780ABF"/>
    <w:rsid w:val="00782A1A"/>
    <w:rsid w:val="007953D1"/>
    <w:rsid w:val="00817A54"/>
    <w:rsid w:val="00834CE1"/>
    <w:rsid w:val="008838FB"/>
    <w:rsid w:val="008B2E0D"/>
    <w:rsid w:val="0090439F"/>
    <w:rsid w:val="00937E4F"/>
    <w:rsid w:val="00966794"/>
    <w:rsid w:val="00981B49"/>
    <w:rsid w:val="00A31C80"/>
    <w:rsid w:val="00A600D9"/>
    <w:rsid w:val="00A75A15"/>
    <w:rsid w:val="00B2438F"/>
    <w:rsid w:val="00B4736B"/>
    <w:rsid w:val="00B541EC"/>
    <w:rsid w:val="00B5566E"/>
    <w:rsid w:val="00B81FC7"/>
    <w:rsid w:val="00B8294D"/>
    <w:rsid w:val="00BA788F"/>
    <w:rsid w:val="00BC4F36"/>
    <w:rsid w:val="00C13FFB"/>
    <w:rsid w:val="00C41FAB"/>
    <w:rsid w:val="00C80768"/>
    <w:rsid w:val="00C86D1A"/>
    <w:rsid w:val="00CF335A"/>
    <w:rsid w:val="00CF4F27"/>
    <w:rsid w:val="00D0379D"/>
    <w:rsid w:val="00D34E2D"/>
    <w:rsid w:val="00D66086"/>
    <w:rsid w:val="00DA181B"/>
    <w:rsid w:val="00DA42F4"/>
    <w:rsid w:val="00DF4F38"/>
    <w:rsid w:val="00E02174"/>
    <w:rsid w:val="00E1205F"/>
    <w:rsid w:val="00E17B9A"/>
    <w:rsid w:val="00E2148E"/>
    <w:rsid w:val="00E31169"/>
    <w:rsid w:val="00E5069D"/>
    <w:rsid w:val="00E5107C"/>
    <w:rsid w:val="00E6041C"/>
    <w:rsid w:val="00EB38FE"/>
    <w:rsid w:val="00EF26D1"/>
    <w:rsid w:val="00F11C16"/>
    <w:rsid w:val="00F1363A"/>
    <w:rsid w:val="00F43A8C"/>
    <w:rsid w:val="00F4553E"/>
    <w:rsid w:val="00F8333A"/>
    <w:rsid w:val="00F94BE6"/>
    <w:rsid w:val="4FE85E5C"/>
    <w:rsid w:val="5EF34321"/>
    <w:rsid w:val="7DEF4183"/>
    <w:rsid w:val="BDFB3B91"/>
    <w:rsid w:val="CDDECC50"/>
    <w:rsid w:val="F2FE1E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2"/>
    <w:next w:val="1"/>
    <w:link w:val="20"/>
    <w:qFormat/>
    <w:uiPriority w:val="0"/>
    <w:pPr>
      <w:numPr>
        <w:ilvl w:val="1"/>
        <w:numId w:val="1"/>
      </w:numPr>
      <w:adjustRightInd w:val="0"/>
      <w:spacing w:before="360" w:after="120" w:line="240" w:lineRule="auto"/>
      <w:jc w:val="left"/>
      <w:textAlignment w:val="baseline"/>
      <w:outlineLvl w:val="1"/>
    </w:pPr>
    <w:rPr>
      <w:rFonts w:ascii="微软雅黑" w:hAnsi="微软雅黑" w:eastAsia="微软雅黑" w:cs="Times New Roman"/>
      <w:kern w:val="0"/>
      <w:sz w:val="28"/>
      <w:szCs w:val="36"/>
      <w:lang w:val="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unhideWhenUsed/>
    <w:qFormat/>
    <w:uiPriority w:val="99"/>
    <w:pPr>
      <w:jc w:val="left"/>
    </w:pPr>
    <w:rPr>
      <w:rFonts w:ascii="Calibri" w:hAnsi="Calibri" w:eastAsia="宋体" w:cs="Times New Roman"/>
    </w:rPr>
  </w:style>
  <w:style w:type="paragraph" w:styleId="5">
    <w:name w:val="Date"/>
    <w:basedOn w:val="1"/>
    <w:next w:val="1"/>
    <w:link w:val="25"/>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4"/>
    <w:semiHidden/>
    <w:unhideWhenUsed/>
    <w:qFormat/>
    <w:uiPriority w:val="99"/>
    <w:rPr>
      <w:rFonts w:asciiTheme="minorHAnsi" w:hAnsiTheme="minorHAnsi" w:eastAsiaTheme="minorEastAsia" w:cstheme="minorBidi"/>
      <w:b/>
      <w:bCs/>
    </w:rPr>
  </w:style>
  <w:style w:type="character" w:styleId="12">
    <w:name w:val="page number"/>
    <w:basedOn w:val="11"/>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annotation reference"/>
    <w:unhideWhenUsed/>
    <w:qFormat/>
    <w:uiPriority w:val="99"/>
    <w:rPr>
      <w:sz w:val="21"/>
      <w:szCs w:val="21"/>
    </w:r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标题 1 Char"/>
    <w:basedOn w:val="11"/>
    <w:link w:val="2"/>
    <w:qFormat/>
    <w:uiPriority w:val="9"/>
    <w:rPr>
      <w:b/>
      <w:bCs/>
      <w:kern w:val="44"/>
      <w:sz w:val="44"/>
      <w:szCs w:val="44"/>
    </w:rPr>
  </w:style>
  <w:style w:type="character" w:customStyle="1" w:styleId="19">
    <w:name w:val="批注框文本 Char"/>
    <w:basedOn w:val="11"/>
    <w:link w:val="6"/>
    <w:semiHidden/>
    <w:qFormat/>
    <w:uiPriority w:val="99"/>
    <w:rPr>
      <w:sz w:val="18"/>
      <w:szCs w:val="18"/>
    </w:rPr>
  </w:style>
  <w:style w:type="character" w:customStyle="1" w:styleId="20">
    <w:name w:val="标题 2 Char"/>
    <w:basedOn w:val="11"/>
    <w:link w:val="3"/>
    <w:qFormat/>
    <w:uiPriority w:val="0"/>
    <w:rPr>
      <w:rFonts w:ascii="微软雅黑" w:hAnsi="微软雅黑" w:eastAsia="微软雅黑" w:cs="Times New Roman"/>
      <w:b/>
      <w:bCs/>
      <w:kern w:val="0"/>
      <w:sz w:val="28"/>
      <w:szCs w:val="36"/>
      <w:lang w:val="zh-CN"/>
    </w:rPr>
  </w:style>
  <w:style w:type="paragraph" w:customStyle="1" w:styleId="21">
    <w:name w:val="列表段落1"/>
    <w:basedOn w:val="1"/>
    <w:qFormat/>
    <w:uiPriority w:val="34"/>
    <w:pPr>
      <w:ind w:firstLine="420" w:firstLineChars="200"/>
    </w:pPr>
    <w:rPr>
      <w:rFonts w:ascii="等线" w:hAnsi="等线" w:eastAsia="等线" w:cs="Times New Roman"/>
    </w:rPr>
  </w:style>
  <w:style w:type="character" w:customStyle="1" w:styleId="22">
    <w:name w:val="批注文字 Char"/>
    <w:link w:val="4"/>
    <w:qFormat/>
    <w:uiPriority w:val="99"/>
    <w:rPr>
      <w:rFonts w:ascii="Calibri" w:hAnsi="Calibri" w:eastAsia="宋体" w:cs="Times New Roman"/>
    </w:rPr>
  </w:style>
  <w:style w:type="character" w:customStyle="1" w:styleId="23">
    <w:name w:val="批注文字 Char1"/>
    <w:basedOn w:val="11"/>
    <w:semiHidden/>
    <w:qFormat/>
    <w:uiPriority w:val="99"/>
  </w:style>
  <w:style w:type="character" w:customStyle="1" w:styleId="24">
    <w:name w:val="批注主题 Char"/>
    <w:basedOn w:val="22"/>
    <w:link w:val="9"/>
    <w:semiHidden/>
    <w:qFormat/>
    <w:uiPriority w:val="99"/>
    <w:rPr>
      <w:rFonts w:ascii="Calibri" w:hAnsi="Calibri" w:eastAsia="宋体" w:cs="Times New Roman"/>
      <w:b/>
      <w:bCs/>
    </w:rPr>
  </w:style>
  <w:style w:type="character" w:customStyle="1" w:styleId="25">
    <w:name w:val="日期 Char"/>
    <w:basedOn w:val="11"/>
    <w:link w:val="5"/>
    <w:semiHidden/>
    <w:qFormat/>
    <w:uiPriority w:val="99"/>
  </w:style>
  <w:style w:type="character" w:customStyle="1" w:styleId="26">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803</Words>
  <Characters>4582</Characters>
  <Lines>38</Lines>
  <Paragraphs>10</Paragraphs>
  <TotalTime>0</TotalTime>
  <ScaleCrop>false</ScaleCrop>
  <LinksUpToDate>false</LinksUpToDate>
  <CharactersWithSpaces>5375</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2021-04-01T20:43:00Z</dcterms:created>
  <dc:creator>King</dc:creator>
  <cp:lastModifiedBy>WPS_1684140563</cp:lastModifiedBy>
  <dcterms:modified xsi:type="dcterms:W3CDTF">2023-08-08T11:18:28Z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2A02BC75472BB5B6C9B2D1642714A8A7_42</vt:lpwstr>
  </property>
</Properties>
</file>