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008E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eastAsia="宋体"/>
          <w:b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color w:val="auto"/>
          <w:sz w:val="32"/>
          <w:szCs w:val="32"/>
          <w:lang w:val="en-US" w:eastAsia="zh-CN"/>
        </w:rPr>
        <w:t>上海海事大学</w:t>
      </w:r>
      <w:r>
        <w:rPr>
          <w:rFonts w:hint="eastAsia"/>
          <w:b/>
          <w:color w:val="auto"/>
          <w:sz w:val="32"/>
          <w:szCs w:val="32"/>
        </w:rPr>
        <w:t>学生公寓63-64号楼直饮水机</w:t>
      </w:r>
      <w:r>
        <w:rPr>
          <w:rFonts w:hint="eastAsia"/>
          <w:b/>
          <w:color w:val="auto"/>
          <w:sz w:val="32"/>
          <w:szCs w:val="32"/>
          <w:lang w:val="en-US" w:eastAsia="zh-CN"/>
        </w:rPr>
        <w:t>供应</w:t>
      </w:r>
      <w:r>
        <w:rPr>
          <w:rFonts w:hint="eastAsia"/>
          <w:b/>
          <w:color w:val="auto"/>
          <w:sz w:val="32"/>
          <w:szCs w:val="32"/>
        </w:rPr>
        <w:t>服务</w:t>
      </w:r>
      <w:r>
        <w:rPr>
          <w:rFonts w:hint="eastAsia"/>
          <w:b/>
          <w:color w:val="auto"/>
          <w:sz w:val="32"/>
          <w:szCs w:val="32"/>
          <w:lang w:val="en-US" w:eastAsia="zh-CN"/>
        </w:rPr>
        <w:t>需求</w:t>
      </w:r>
    </w:p>
    <w:p w14:paraId="64ADF41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b/>
          <w:color w:val="auto"/>
          <w:sz w:val="24"/>
        </w:rPr>
      </w:pPr>
    </w:p>
    <w:p w14:paraId="29CF440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一、</w:t>
      </w:r>
      <w:r>
        <w:rPr>
          <w:rFonts w:hint="eastAsia" w:ascii="宋体" w:hAnsi="宋体"/>
          <w:b/>
          <w:color w:val="auto"/>
          <w:sz w:val="24"/>
        </w:rPr>
        <w:t>报价文件</w:t>
      </w:r>
      <w:r>
        <w:rPr>
          <w:rFonts w:hint="eastAsia" w:ascii="宋体" w:hAnsi="宋体" w:cs="Dotum"/>
          <w:b/>
          <w:color w:val="auto"/>
          <w:sz w:val="24"/>
        </w:rPr>
        <w:t>的</w:t>
      </w:r>
      <w:r>
        <w:rPr>
          <w:rFonts w:hint="eastAsia" w:ascii="宋体" w:hAnsi="宋体" w:cs="宋体"/>
          <w:b/>
          <w:color w:val="auto"/>
          <w:sz w:val="24"/>
        </w:rPr>
        <w:t>编写要求</w:t>
      </w:r>
    </w:p>
    <w:p w14:paraId="7501E6E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1. 要求</w:t>
      </w:r>
    </w:p>
    <w:p w14:paraId="4502241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投</w:t>
      </w:r>
      <w:r>
        <w:rPr>
          <w:rFonts w:hint="eastAsia" w:ascii="宋体" w:hAnsi="宋体" w:cs="宋体"/>
          <w:color w:val="auto"/>
          <w:sz w:val="24"/>
        </w:rPr>
        <w:t>标</w:t>
      </w:r>
      <w:r>
        <w:rPr>
          <w:rFonts w:hint="eastAsia" w:ascii="宋体" w:hAnsi="宋体" w:cs="Dotum"/>
          <w:color w:val="auto"/>
          <w:sz w:val="24"/>
        </w:rPr>
        <w:t>方</w:t>
      </w:r>
      <w:r>
        <w:rPr>
          <w:rFonts w:hint="eastAsia" w:ascii="宋体" w:hAnsi="宋体" w:cs="宋体"/>
          <w:color w:val="auto"/>
          <w:sz w:val="24"/>
        </w:rPr>
        <w:t>应</w:t>
      </w:r>
      <w:r>
        <w:rPr>
          <w:rFonts w:hint="eastAsia" w:ascii="宋体" w:hAnsi="宋体" w:cs="Dotum"/>
          <w:color w:val="auto"/>
          <w:sz w:val="24"/>
        </w:rPr>
        <w:t>仔</w:t>
      </w:r>
      <w:r>
        <w:rPr>
          <w:rFonts w:hint="eastAsia" w:ascii="宋体" w:hAnsi="宋体" w:cs="宋体"/>
          <w:color w:val="auto"/>
          <w:sz w:val="24"/>
        </w:rPr>
        <w:t>细阅读</w:t>
      </w:r>
      <w:r>
        <w:rPr>
          <w:rFonts w:hint="eastAsia" w:ascii="宋体" w:hAnsi="宋体" w:cs="Dotum"/>
          <w:color w:val="auto"/>
          <w:sz w:val="24"/>
          <w:lang w:eastAsia="zh-CN"/>
        </w:rPr>
        <w:t>比选</w:t>
      </w:r>
      <w:r>
        <w:rPr>
          <w:rFonts w:hint="eastAsia" w:ascii="宋体" w:hAnsi="宋体" w:cs="Dotum"/>
          <w:color w:val="auto"/>
          <w:sz w:val="24"/>
        </w:rPr>
        <w:t>文件的所有</w:t>
      </w:r>
      <w:r>
        <w:rPr>
          <w:rFonts w:hint="eastAsia" w:ascii="宋体" w:hAnsi="宋体" w:cs="宋体"/>
          <w:color w:val="auto"/>
          <w:sz w:val="24"/>
        </w:rPr>
        <w:t>内</w:t>
      </w:r>
      <w:r>
        <w:rPr>
          <w:rFonts w:hint="eastAsia" w:ascii="宋体" w:hAnsi="宋体" w:cs="Dotum"/>
          <w:color w:val="auto"/>
          <w:sz w:val="24"/>
        </w:rPr>
        <w:t>容，按</w:t>
      </w:r>
      <w:r>
        <w:rPr>
          <w:rFonts w:hint="eastAsia" w:ascii="宋体" w:hAnsi="宋体" w:cs="Dotum"/>
          <w:color w:val="auto"/>
          <w:sz w:val="24"/>
          <w:lang w:eastAsia="zh-CN"/>
        </w:rPr>
        <w:t>比选</w:t>
      </w:r>
      <w:r>
        <w:rPr>
          <w:rFonts w:hint="eastAsia" w:ascii="宋体" w:hAnsi="宋体" w:cs="Dotum"/>
          <w:color w:val="auto"/>
          <w:sz w:val="24"/>
        </w:rPr>
        <w:t>文件的要求提供报价文件，</w:t>
      </w:r>
      <w:r>
        <w:rPr>
          <w:rFonts w:hint="eastAsia" w:ascii="宋体" w:hAnsi="宋体" w:cs="宋体"/>
          <w:color w:val="auto"/>
          <w:sz w:val="24"/>
        </w:rPr>
        <w:t>并</w:t>
      </w:r>
      <w:r>
        <w:rPr>
          <w:rFonts w:hint="eastAsia" w:ascii="宋体" w:hAnsi="宋体" w:cs="Dotum"/>
          <w:color w:val="auto"/>
          <w:sz w:val="24"/>
        </w:rPr>
        <w:t>保</w:t>
      </w:r>
      <w:r>
        <w:rPr>
          <w:rFonts w:hint="eastAsia" w:ascii="宋体" w:hAnsi="宋体" w:cs="宋体"/>
          <w:color w:val="auto"/>
          <w:sz w:val="24"/>
        </w:rPr>
        <w:t>证</w:t>
      </w:r>
      <w:r>
        <w:rPr>
          <w:rFonts w:hint="eastAsia" w:ascii="宋体" w:hAnsi="宋体" w:cs="Dotum"/>
          <w:color w:val="auto"/>
          <w:sz w:val="24"/>
        </w:rPr>
        <w:t>所提供的全部</w:t>
      </w:r>
      <w:r>
        <w:rPr>
          <w:rFonts w:hint="eastAsia" w:ascii="宋体" w:hAnsi="宋体" w:cs="宋体"/>
          <w:color w:val="auto"/>
          <w:sz w:val="24"/>
        </w:rPr>
        <w:t>资</w:t>
      </w:r>
      <w:r>
        <w:rPr>
          <w:rFonts w:hint="eastAsia" w:ascii="宋体" w:hAnsi="宋体" w:cs="Dotum"/>
          <w:color w:val="auto"/>
          <w:sz w:val="24"/>
        </w:rPr>
        <w:t>料的</w:t>
      </w:r>
      <w:r>
        <w:rPr>
          <w:rFonts w:hint="eastAsia" w:ascii="宋体" w:hAnsi="宋体" w:cs="宋体"/>
          <w:color w:val="auto"/>
          <w:sz w:val="24"/>
        </w:rPr>
        <w:t>真实</w:t>
      </w:r>
      <w:r>
        <w:rPr>
          <w:rFonts w:hint="eastAsia" w:ascii="宋体" w:hAnsi="宋体" w:cs="Dotum"/>
          <w:color w:val="auto"/>
          <w:sz w:val="24"/>
        </w:rPr>
        <w:t>性，确保</w:t>
      </w:r>
      <w:r>
        <w:rPr>
          <w:rFonts w:hint="eastAsia" w:ascii="宋体" w:hAnsi="宋体" w:cs="宋体"/>
          <w:color w:val="auto"/>
          <w:sz w:val="24"/>
        </w:rPr>
        <w:t>对</w:t>
      </w:r>
      <w:r>
        <w:rPr>
          <w:rFonts w:hint="eastAsia" w:ascii="宋体" w:hAnsi="宋体" w:cs="宋体"/>
          <w:color w:val="auto"/>
          <w:sz w:val="24"/>
          <w:lang w:eastAsia="zh-CN"/>
        </w:rPr>
        <w:t>比选</w:t>
      </w:r>
      <w:r>
        <w:rPr>
          <w:rFonts w:hint="eastAsia" w:ascii="宋体" w:hAnsi="宋体" w:cs="Dotum"/>
          <w:color w:val="auto"/>
          <w:sz w:val="24"/>
        </w:rPr>
        <w:t>文件作出</w:t>
      </w:r>
      <w:r>
        <w:rPr>
          <w:rFonts w:hint="eastAsia" w:ascii="宋体" w:hAnsi="宋体" w:cs="宋体"/>
          <w:color w:val="auto"/>
          <w:sz w:val="24"/>
        </w:rPr>
        <w:t>实质</w:t>
      </w:r>
      <w:r>
        <w:rPr>
          <w:rFonts w:hint="eastAsia" w:ascii="宋体" w:hAnsi="宋体" w:cs="Dotum"/>
          <w:color w:val="auto"/>
          <w:sz w:val="24"/>
        </w:rPr>
        <w:t>性</w:t>
      </w:r>
      <w:r>
        <w:rPr>
          <w:rFonts w:hint="eastAsia" w:ascii="宋体" w:hAnsi="宋体" w:cs="宋体"/>
          <w:color w:val="auto"/>
          <w:sz w:val="24"/>
        </w:rPr>
        <w:t>响应。</w:t>
      </w:r>
    </w:p>
    <w:p w14:paraId="022B501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 xml:space="preserve">2. </w:t>
      </w:r>
      <w:r>
        <w:rPr>
          <w:rFonts w:hint="eastAsia"/>
          <w:b/>
          <w:color w:val="auto"/>
          <w:sz w:val="24"/>
        </w:rPr>
        <w:t>投标单位资格审核要求</w:t>
      </w:r>
    </w:p>
    <w:p w14:paraId="3C3D406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bottom"/>
        <w:rPr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</w:rPr>
        <w:t>1）</w:t>
      </w:r>
      <w:r>
        <w:rPr>
          <w:rFonts w:hint="eastAsia" w:ascii="宋体" w:hAnsi="宋体" w:cs="宋体"/>
          <w:color w:val="auto"/>
          <w:kern w:val="0"/>
          <w:sz w:val="24"/>
        </w:rPr>
        <w:t>投标单位须经国家工商行政管理部门登记注册，具有独立法人资格，具有相应经营范围；</w:t>
      </w:r>
    </w:p>
    <w:p w14:paraId="63E1FDF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</w:t>
      </w:r>
      <w:r>
        <w:rPr>
          <w:color w:val="auto"/>
          <w:sz w:val="24"/>
        </w:rPr>
        <w:t>2</w:t>
      </w:r>
      <w:r>
        <w:rPr>
          <w:rFonts w:hint="eastAsia"/>
          <w:color w:val="auto"/>
          <w:sz w:val="24"/>
        </w:rPr>
        <w:t>）投标单位应具有履行合同所必需的</w:t>
      </w:r>
      <w:r>
        <w:rPr>
          <w:rFonts w:hint="eastAsia"/>
          <w:color w:val="auto"/>
          <w:sz w:val="24"/>
          <w:lang w:val="en-US" w:eastAsia="zh-CN"/>
        </w:rPr>
        <w:t>足够</w:t>
      </w:r>
      <w:r>
        <w:rPr>
          <w:rFonts w:hint="eastAsia"/>
          <w:color w:val="auto"/>
          <w:sz w:val="24"/>
        </w:rPr>
        <w:t>设备和专业技术能力，所配备产品须有</w:t>
      </w:r>
      <w:r>
        <w:rPr>
          <w:color w:val="auto"/>
          <w:sz w:val="24"/>
        </w:rPr>
        <w:t>3C</w:t>
      </w:r>
      <w:r>
        <w:rPr>
          <w:rFonts w:hint="eastAsia"/>
          <w:color w:val="auto"/>
          <w:sz w:val="24"/>
          <w:lang w:val="en-US" w:eastAsia="zh-CN"/>
        </w:rPr>
        <w:t>认证</w:t>
      </w:r>
      <w:r>
        <w:rPr>
          <w:rFonts w:hint="eastAsia"/>
          <w:color w:val="auto"/>
          <w:sz w:val="24"/>
        </w:rPr>
        <w:t>证书</w:t>
      </w:r>
      <w:r>
        <w:rPr>
          <w:rFonts w:hint="eastAsia"/>
          <w:color w:val="auto"/>
          <w:sz w:val="24"/>
          <w:lang w:val="en-US" w:eastAsia="zh-CN"/>
        </w:rPr>
        <w:t>和相应的卫生许可批件</w:t>
      </w:r>
      <w:r>
        <w:rPr>
          <w:rFonts w:hint="eastAsia"/>
          <w:color w:val="auto"/>
          <w:sz w:val="24"/>
        </w:rPr>
        <w:t>；</w:t>
      </w:r>
    </w:p>
    <w:p w14:paraId="5AD9D55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</w:t>
      </w:r>
      <w:r>
        <w:rPr>
          <w:color w:val="auto"/>
          <w:sz w:val="24"/>
        </w:rPr>
        <w:t>3</w:t>
      </w:r>
      <w:r>
        <w:rPr>
          <w:rFonts w:hint="eastAsia"/>
          <w:color w:val="auto"/>
          <w:sz w:val="24"/>
        </w:rPr>
        <w:t>）报价时须提供公司营业执照；</w:t>
      </w:r>
      <w:r>
        <w:rPr>
          <w:rFonts w:hint="eastAsia" w:ascii="宋体" w:hAnsi="宋体" w:cs="宋体"/>
          <w:color w:val="auto"/>
          <w:kern w:val="0"/>
          <w:sz w:val="24"/>
        </w:rPr>
        <w:t>涉及饮用水卫生安全产品卫生许可批件；</w:t>
      </w:r>
      <w:r>
        <w:rPr>
          <w:rFonts w:hint="eastAsia"/>
          <w:color w:val="auto"/>
          <w:sz w:val="24"/>
        </w:rPr>
        <w:t>所配备产品</w:t>
      </w:r>
      <w:r>
        <w:rPr>
          <w:rFonts w:hint="eastAsia" w:ascii="宋体" w:hAnsi="宋体" w:cs="宋体"/>
          <w:color w:val="auto"/>
          <w:kern w:val="0"/>
          <w:sz w:val="24"/>
        </w:rPr>
        <w:t>技术说明</w:t>
      </w:r>
      <w:r>
        <w:rPr>
          <w:rFonts w:hint="eastAsia"/>
          <w:color w:val="auto"/>
          <w:sz w:val="24"/>
        </w:rPr>
        <w:t>及服务方案；</w:t>
      </w:r>
    </w:p>
    <w:p w14:paraId="6045837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</w:t>
      </w:r>
      <w:r>
        <w:rPr>
          <w:color w:val="auto"/>
          <w:sz w:val="24"/>
        </w:rPr>
        <w:t>4</w:t>
      </w:r>
      <w:r>
        <w:rPr>
          <w:rFonts w:hint="eastAsia"/>
          <w:color w:val="auto"/>
          <w:sz w:val="24"/>
        </w:rPr>
        <w:t>）具有学校服务类似业绩。</w:t>
      </w:r>
    </w:p>
    <w:p w14:paraId="476C570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sz w:val="24"/>
        </w:rPr>
      </w:pPr>
      <w:r>
        <w:rPr>
          <w:b/>
          <w:color w:val="auto"/>
          <w:sz w:val="24"/>
        </w:rPr>
        <w:t xml:space="preserve">3. </w:t>
      </w:r>
      <w:r>
        <w:rPr>
          <w:rFonts w:hint="eastAsia" w:ascii="宋体" w:hAnsi="宋体"/>
          <w:b/>
          <w:color w:val="auto"/>
          <w:sz w:val="24"/>
        </w:rPr>
        <w:t>报价文件</w:t>
      </w:r>
      <w:r>
        <w:rPr>
          <w:rFonts w:hint="eastAsia" w:ascii="宋体" w:hAnsi="宋体" w:cs="Dotum"/>
          <w:b/>
          <w:color w:val="auto"/>
          <w:sz w:val="24"/>
        </w:rPr>
        <w:t>的</w:t>
      </w:r>
      <w:r>
        <w:rPr>
          <w:rFonts w:hint="eastAsia" w:ascii="宋体" w:hAnsi="宋体" w:cs="宋体"/>
          <w:b/>
          <w:color w:val="auto"/>
          <w:sz w:val="24"/>
        </w:rPr>
        <w:t>组成</w:t>
      </w:r>
    </w:p>
    <w:p w14:paraId="60AAF8A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</w:rPr>
        <w:t>1）报价单 （须</w:t>
      </w:r>
      <w:r>
        <w:rPr>
          <w:rFonts w:hint="eastAsia"/>
          <w:color w:val="auto"/>
          <w:sz w:val="24"/>
        </w:rPr>
        <w:t>经企业法人代表签字，加盖单位公章</w:t>
      </w:r>
      <w:r>
        <w:rPr>
          <w:rFonts w:hint="eastAsia" w:ascii="宋体" w:hAnsi="宋体"/>
          <w:color w:val="auto"/>
          <w:sz w:val="24"/>
        </w:rPr>
        <w:t>）；</w:t>
      </w:r>
    </w:p>
    <w:p w14:paraId="260F0F7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</w:rPr>
        <w:t>2）资质证明文件：</w:t>
      </w:r>
    </w:p>
    <w:p w14:paraId="6A95569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1）营业执照（</w:t>
      </w:r>
      <w:r>
        <w:rPr>
          <w:rFonts w:hint="eastAsia"/>
          <w:color w:val="auto"/>
          <w:sz w:val="24"/>
        </w:rPr>
        <w:t>复印件并加盖公章</w:t>
      </w:r>
      <w:r>
        <w:rPr>
          <w:rFonts w:hint="eastAsia" w:ascii="宋体" w:hAnsi="宋体"/>
          <w:color w:val="auto"/>
          <w:sz w:val="24"/>
        </w:rPr>
        <w:t>）</w:t>
      </w:r>
    </w:p>
    <w:p w14:paraId="10F3D82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2）</w:t>
      </w:r>
      <w:r>
        <w:rPr>
          <w:rFonts w:hint="eastAsia" w:ascii="宋体" w:hAnsi="宋体" w:cs="宋体"/>
          <w:color w:val="auto"/>
          <w:kern w:val="0"/>
          <w:sz w:val="24"/>
        </w:rPr>
        <w:t>涉及饮用水卫生安全产品卫生许可批件；</w:t>
      </w:r>
    </w:p>
    <w:p w14:paraId="47BF2FE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3）所配备产品的</w:t>
      </w:r>
      <w:r>
        <w:rPr>
          <w:rFonts w:hint="eastAsia" w:ascii="宋体" w:hAnsi="宋体" w:cs="宋体"/>
          <w:color w:val="auto"/>
          <w:kern w:val="0"/>
          <w:sz w:val="24"/>
        </w:rPr>
        <w:t>3C认证</w:t>
      </w:r>
      <w:r>
        <w:rPr>
          <w:rFonts w:hint="eastAsia" w:ascii="宋体" w:hAnsi="宋体"/>
          <w:color w:val="auto"/>
          <w:sz w:val="24"/>
        </w:rPr>
        <w:t>证书；</w:t>
      </w:r>
    </w:p>
    <w:p w14:paraId="66A63C4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（3</w:t>
      </w:r>
      <w:r>
        <w:rPr>
          <w:rFonts w:hint="eastAsia" w:ascii="宋体" w:hAnsi="宋体"/>
          <w:color w:val="auto"/>
          <w:sz w:val="24"/>
        </w:rPr>
        <w:t>）所配备产品的</w:t>
      </w:r>
      <w:r>
        <w:rPr>
          <w:rFonts w:hint="eastAsia" w:ascii="宋体" w:hAnsi="宋体" w:cs="宋体"/>
          <w:color w:val="auto"/>
          <w:kern w:val="0"/>
          <w:sz w:val="24"/>
        </w:rPr>
        <w:t>详细外观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出水口</w:t>
      </w:r>
      <w:r>
        <w:rPr>
          <w:rFonts w:hint="eastAsia" w:ascii="宋体" w:hAnsi="宋体" w:cs="宋体"/>
          <w:color w:val="auto"/>
          <w:kern w:val="0"/>
          <w:sz w:val="24"/>
        </w:rPr>
        <w:t>尺寸、技术说明（含净化技术说明）</w:t>
      </w:r>
      <w:r>
        <w:rPr>
          <w:rFonts w:hint="eastAsia" w:ascii="宋体" w:hAnsi="宋体"/>
          <w:color w:val="auto"/>
          <w:sz w:val="24"/>
        </w:rPr>
        <w:t>；</w:t>
      </w:r>
    </w:p>
    <w:p w14:paraId="56B5AE4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  <w:lang w:val="en-US" w:eastAsia="zh-CN"/>
        </w:rPr>
        <w:t>4</w:t>
      </w:r>
      <w:r>
        <w:rPr>
          <w:rFonts w:hint="eastAsia" w:ascii="宋体" w:hAnsi="宋体"/>
          <w:color w:val="auto"/>
          <w:sz w:val="24"/>
        </w:rPr>
        <w:t>）</w:t>
      </w:r>
      <w:r>
        <w:rPr>
          <w:rFonts w:hint="eastAsia" w:ascii="宋体" w:hAnsi="宋体" w:cs="宋体"/>
          <w:color w:val="auto"/>
          <w:kern w:val="0"/>
          <w:sz w:val="24"/>
        </w:rPr>
        <w:t>服务方案及报修响应时间；</w:t>
      </w:r>
    </w:p>
    <w:p w14:paraId="2D81E79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auto"/>
          <w:kern w:val="0"/>
          <w:sz w:val="24"/>
        </w:rPr>
        <w:t>）维保人员证书；</w:t>
      </w:r>
    </w:p>
    <w:p w14:paraId="6724B79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6</w:t>
      </w:r>
      <w:r>
        <w:rPr>
          <w:rFonts w:hint="eastAsia" w:ascii="宋体" w:hAnsi="宋体" w:cs="宋体"/>
          <w:color w:val="auto"/>
          <w:kern w:val="0"/>
          <w:sz w:val="24"/>
        </w:rPr>
        <w:t>）近三年高校服务业绩（提供合同）；</w:t>
      </w:r>
    </w:p>
    <w:p w14:paraId="14C5DDB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  <w:lang w:val="en-US" w:eastAsia="zh-CN"/>
        </w:rPr>
        <w:t>7</w:t>
      </w:r>
      <w:r>
        <w:rPr>
          <w:rFonts w:hint="eastAsia" w:ascii="宋体" w:hAnsi="宋体"/>
          <w:color w:val="auto"/>
          <w:sz w:val="24"/>
        </w:rPr>
        <w:t>）投标人认为有必要表述的其他相关内容；</w:t>
      </w:r>
    </w:p>
    <w:p w14:paraId="0B2555B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  <w:lang w:val="en-US" w:eastAsia="zh-CN"/>
        </w:rPr>
        <w:t>8</w:t>
      </w:r>
      <w:r>
        <w:rPr>
          <w:rFonts w:hint="eastAsia" w:ascii="宋体" w:hAnsi="宋体"/>
          <w:color w:val="auto"/>
          <w:sz w:val="24"/>
        </w:rPr>
        <w:t>）诚信承诺；</w:t>
      </w:r>
    </w:p>
    <w:p w14:paraId="52609E3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</w:rPr>
        <w:t>）处罚承诺。</w:t>
      </w:r>
    </w:p>
    <w:p w14:paraId="6958347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Dotum"/>
          <w:b/>
          <w:color w:val="auto"/>
          <w:sz w:val="24"/>
        </w:rPr>
      </w:pPr>
      <w:r>
        <w:rPr>
          <w:rFonts w:hint="eastAsia" w:ascii="宋体" w:hAnsi="宋体" w:cs="宋体"/>
          <w:b/>
          <w:color w:val="auto"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color w:val="auto"/>
          <w:sz w:val="24"/>
        </w:rPr>
        <w:t xml:space="preserve">. </w:t>
      </w:r>
      <w:r>
        <w:rPr>
          <w:rFonts w:hint="eastAsia" w:ascii="宋体" w:hAnsi="宋体"/>
          <w:b/>
          <w:color w:val="auto"/>
          <w:sz w:val="24"/>
        </w:rPr>
        <w:t>报价文件</w:t>
      </w:r>
      <w:r>
        <w:rPr>
          <w:rFonts w:hint="eastAsia" w:ascii="宋体" w:hAnsi="宋体" w:cs="Dotum"/>
          <w:b/>
          <w:color w:val="auto"/>
          <w:sz w:val="24"/>
        </w:rPr>
        <w:t>格式</w:t>
      </w:r>
    </w:p>
    <w:p w14:paraId="494C1DE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 w:cs="宋体"/>
          <w:b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要求投标单位将所有报价文件的组成部分统一制作成</w:t>
      </w:r>
      <w:r>
        <w:rPr>
          <w:rFonts w:hint="eastAsia" w:ascii="宋体" w:hAnsi="宋体"/>
          <w:b/>
          <w:color w:val="auto"/>
          <w:sz w:val="24"/>
        </w:rPr>
        <w:t>PDF</w:t>
      </w:r>
      <w:r>
        <w:rPr>
          <w:rFonts w:hint="eastAsia" w:ascii="宋体" w:hAnsi="宋体"/>
          <w:color w:val="auto"/>
          <w:sz w:val="24"/>
        </w:rPr>
        <w:t>格式。</w:t>
      </w:r>
    </w:p>
    <w:p w14:paraId="1608EB6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Dotum"/>
          <w:color w:val="auto"/>
          <w:sz w:val="24"/>
        </w:rPr>
      </w:pPr>
    </w:p>
    <w:p w14:paraId="6BD6A21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二、项目技术要求</w:t>
      </w:r>
    </w:p>
    <w:p w14:paraId="35836EC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kern w:val="0"/>
          <w:sz w:val="24"/>
        </w:rPr>
      </w:pPr>
      <w:r>
        <w:rPr>
          <w:rFonts w:hint="eastAsia" w:ascii="宋体" w:hAnsi="宋体"/>
          <w:b/>
          <w:color w:val="auto"/>
          <w:sz w:val="24"/>
        </w:rPr>
        <w:t xml:space="preserve">1. </w:t>
      </w:r>
      <w:r>
        <w:rPr>
          <w:rFonts w:hint="eastAsia" w:ascii="宋体" w:hAnsi="宋体" w:cs="宋体"/>
          <w:b/>
          <w:color w:val="auto"/>
          <w:kern w:val="0"/>
          <w:sz w:val="24"/>
        </w:rPr>
        <w:t>安装地点及数量</w:t>
      </w:r>
    </w:p>
    <w:p w14:paraId="5BAB140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</w:rPr>
        <w:t>1）安装地点：上海海事大学临港校区学生公寓63-64号楼，1层、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</w:rPr>
        <w:t>层、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8</w:t>
      </w:r>
      <w:r>
        <w:rPr>
          <w:rFonts w:hint="eastAsia" w:ascii="宋体" w:hAnsi="宋体" w:cs="宋体"/>
          <w:color w:val="auto"/>
          <w:kern w:val="0"/>
          <w:sz w:val="24"/>
        </w:rPr>
        <w:t>层、1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</w:rPr>
        <w:t>层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。</w:t>
      </w:r>
    </w:p>
    <w:p w14:paraId="1D31A88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</w:rPr>
        <w:t>2）安装数量：共8台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计费式智能直饮净水机。</w:t>
      </w:r>
    </w:p>
    <w:p w14:paraId="7017B42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kern w:val="0"/>
          <w:sz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</w:rPr>
        <w:t>2.设备要求：</w:t>
      </w:r>
    </w:p>
    <w:p w14:paraId="366656F6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hint="default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1）设备安全可靠，使用寿命长，水箱为优质304食用级不锈钢，外壳为304不锈钢；设备有防干烧、防入侵、防漏水和防漏电功能；设备能够自动净化、自动对滤芯进行冲洗、故障自动报警；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远程调控、远程控温、自动计量收费；</w:t>
      </w:r>
    </w:p>
    <w:p w14:paraId="4CBD2DC9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2）设备净水出水量不小于5升/分钟，能满足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160</w:t>
      </w:r>
      <w:r>
        <w:rPr>
          <w:rFonts w:hint="eastAsia" w:ascii="宋体" w:hAnsi="宋体" w:cs="宋体"/>
          <w:color w:val="auto"/>
          <w:kern w:val="0"/>
          <w:sz w:val="24"/>
        </w:rPr>
        <w:t>人持续使用；</w:t>
      </w:r>
    </w:p>
    <w:p w14:paraId="31E2D696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3）设备外观：外观尺寸需满足摆放、使用要求；屏幕能够显示：热水温度、滤料使用情况、取水量、消费金额信息等；</w:t>
      </w:r>
    </w:p>
    <w:p w14:paraId="27806CE4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4）出水水质：出水水质符合《生活饮用水水质处理器卫生安全与功能评价规范—一般水质处理器（2001）》和《饮用净水水质标准CJ94-2005》的要求；</w:t>
      </w:r>
    </w:p>
    <w:p w14:paraId="3B193F4B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5）出水水温：常温水和热水，热水水温在95度以上；</w:t>
      </w:r>
    </w:p>
    <w:p w14:paraId="091BD7E5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6）计费方式：按取水量多少，采用计量收费；冷热水价格不同能够自动切换结算；每次取水量和消费金额能显示在设备屏幕上；</w:t>
      </w:r>
    </w:p>
    <w:p w14:paraId="56CF7CFA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7）支付方式：同时开通微信支付、支付宝支付、APP支付中的二到三种支付方式；用APP充值的，余额可及时退回；用户可以查询消费记录。</w:t>
      </w:r>
    </w:p>
    <w:p w14:paraId="3AB76116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b/>
          <w:color w:val="auto"/>
          <w:kern w:val="0"/>
          <w:sz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</w:rPr>
        <w:t>3. 服务要求</w:t>
      </w:r>
    </w:p>
    <w:p w14:paraId="37396763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1）投标方全额投资智能直饮水系统（包括：智能终端直饮水设备、设备定位、防入侵、防漏电、防漏水、自动净化、自动清洗、远程调控、远程控温、自动计量收费、移动支付、故障自动报警和大数据平台）；</w:t>
      </w:r>
    </w:p>
    <w:p w14:paraId="7F35FA5C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2）投标方承担所有设备采购及运输、安装调试、水质检测（一年两次）、维保、培训及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经营管理费用</w:t>
      </w:r>
      <w:r>
        <w:rPr>
          <w:rFonts w:hint="eastAsia" w:ascii="宋体" w:hAnsi="宋体" w:cs="宋体"/>
          <w:color w:val="auto"/>
          <w:kern w:val="0"/>
          <w:sz w:val="24"/>
        </w:rPr>
        <w:t>；</w:t>
      </w:r>
    </w:p>
    <w:p w14:paraId="63D87990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3）投标方按每升流量收费报价，</w:t>
      </w:r>
      <w:r>
        <w:rPr>
          <w:rFonts w:hint="eastAsia" w:ascii="宋体" w:hAnsi="宋体" w:cs="宋体"/>
          <w:b/>
          <w:bCs/>
          <w:color w:val="auto"/>
          <w:kern w:val="0"/>
          <w:sz w:val="24"/>
        </w:rPr>
        <w:t>最高限价为</w:t>
      </w:r>
      <w:r>
        <w:rPr>
          <w:rFonts w:hint="eastAsia" w:ascii="宋体" w:hAnsi="宋体" w:cs="宋体"/>
          <w:color w:val="auto"/>
          <w:kern w:val="0"/>
          <w:sz w:val="24"/>
        </w:rPr>
        <w:t>：开水单价0.7元/升，冷水单价0.5元/升；</w:t>
      </w:r>
    </w:p>
    <w:p w14:paraId="070D9370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4）投标方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应向招标方缴纳</w:t>
      </w:r>
      <w:r>
        <w:rPr>
          <w:rFonts w:hint="eastAsia" w:ascii="宋体" w:hAnsi="宋体" w:cs="宋体"/>
          <w:color w:val="auto"/>
          <w:kern w:val="0"/>
          <w:sz w:val="24"/>
        </w:rPr>
        <w:t>直饮水机使</w:t>
      </w:r>
      <w:bookmarkStart w:id="0" w:name="_GoBack"/>
      <w:bookmarkEnd w:id="0"/>
      <w:r>
        <w:rPr>
          <w:rFonts w:hint="eastAsia" w:ascii="宋体" w:hAnsi="宋体" w:cs="宋体"/>
          <w:color w:val="auto"/>
          <w:kern w:val="0"/>
          <w:sz w:val="24"/>
        </w:rPr>
        <w:t>用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产生</w:t>
      </w:r>
      <w:r>
        <w:rPr>
          <w:rFonts w:hint="eastAsia" w:ascii="宋体" w:hAnsi="宋体" w:cs="宋体"/>
          <w:color w:val="auto"/>
          <w:kern w:val="0"/>
          <w:sz w:val="24"/>
        </w:rPr>
        <w:t>的水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</w:rPr>
        <w:t>电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管理</w:t>
      </w:r>
      <w:r>
        <w:rPr>
          <w:rFonts w:hint="eastAsia" w:ascii="宋体" w:hAnsi="宋体" w:cs="宋体"/>
          <w:color w:val="auto"/>
          <w:kern w:val="0"/>
          <w:sz w:val="24"/>
        </w:rPr>
        <w:t>费用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每台1000元/年，每半年支付一次；</w:t>
      </w:r>
      <w:r>
        <w:rPr>
          <w:rFonts w:hint="eastAsia" w:ascii="宋体" w:hAnsi="宋体" w:cs="宋体"/>
          <w:color w:val="auto"/>
          <w:kern w:val="0"/>
          <w:sz w:val="24"/>
        </w:rPr>
        <w:t>半年到期前一个月，中标单位应支付下一个半年度的费用，依次类推；</w:t>
      </w:r>
    </w:p>
    <w:p w14:paraId="18691822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5）一年两次水质检测，检测指标不少于8个，费用由投标方承担，将检测报告予以公示并向招标方备案；</w:t>
      </w:r>
    </w:p>
    <w:p w14:paraId="39DD9F42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hint="default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6）智能直饮水系统大数据平台的数据，在招标方需要时向招标</w:t>
      </w:r>
      <w:r>
        <w:rPr>
          <w:rFonts w:hint="eastAsia" w:ascii="宋体" w:hAnsi="宋体" w:cs="宋体"/>
          <w:color w:val="auto"/>
          <w:kern w:val="0"/>
          <w:sz w:val="24"/>
        </w:rPr>
        <w:t>方开放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如有电子显示屏需根据招标方要求加强管控；</w:t>
      </w:r>
    </w:p>
    <w:p w14:paraId="050B45D3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7）根据招标方实际情况，做好常规维保工作，在每学期开学前对设备进行专项保养；</w:t>
      </w:r>
    </w:p>
    <w:p w14:paraId="4AFC0FC4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8）每年更换一次滤芯，或年内出水量累计达到200吨更换滤芯；</w:t>
      </w:r>
    </w:p>
    <w:p w14:paraId="4287EC25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hint="eastAsia" w:ascii="宋体" w:hAnsi="宋体" w:eastAsia="宋体" w:cs="宋体"/>
          <w:color w:val="auto"/>
          <w:kern w:val="0"/>
          <w:sz w:val="24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9）投标方应及时响应招标方的报修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，</w:t>
      </w:r>
      <w:r>
        <w:rPr>
          <w:rFonts w:hint="eastAsia" w:ascii="宋体" w:hAnsi="宋体"/>
          <w:color w:val="auto"/>
          <w:sz w:val="24"/>
        </w:rPr>
        <w:t>响应时间不得超过2小时</w:t>
      </w:r>
      <w:r>
        <w:rPr>
          <w:rFonts w:hint="eastAsia" w:ascii="宋体" w:hAnsi="宋体"/>
          <w:color w:val="auto"/>
          <w:sz w:val="24"/>
          <w:lang w:eastAsia="zh-CN"/>
        </w:rPr>
        <w:t>；</w:t>
      </w:r>
    </w:p>
    <w:p w14:paraId="3013546A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10）维保人员应具有电工证及健康证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健康证需主动公示</w:t>
      </w:r>
      <w:r>
        <w:rPr>
          <w:rFonts w:hint="eastAsia" w:ascii="宋体" w:hAnsi="宋体" w:cs="宋体"/>
          <w:color w:val="auto"/>
          <w:kern w:val="0"/>
          <w:sz w:val="24"/>
        </w:rPr>
        <w:t>；</w:t>
      </w:r>
    </w:p>
    <w:p w14:paraId="1F6E220C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11）设备陈旧或维修后影响使用的，投标方应主动更换设备</w:t>
      </w:r>
    </w:p>
    <w:p w14:paraId="192E79E7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12）机器出水区域设置：出水龙头至接水底盘高度＞38CM（要能容纳2L保温水壶）</w:t>
      </w:r>
      <w:r>
        <w:rPr>
          <w:rFonts w:hint="eastAsia" w:ascii="宋体" w:hAnsi="宋体" w:cs="宋体"/>
          <w:color w:val="auto"/>
          <w:kern w:val="0"/>
          <w:sz w:val="24"/>
        </w:rPr>
        <w:t>。</w:t>
      </w:r>
    </w:p>
    <w:p w14:paraId="1B79754B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b/>
          <w:color w:val="auto"/>
          <w:kern w:val="0"/>
          <w:sz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</w:rPr>
        <w:t>4</w:t>
      </w:r>
      <w:r>
        <w:rPr>
          <w:rFonts w:ascii="宋体" w:hAnsi="宋体" w:cs="宋体"/>
          <w:b/>
          <w:color w:val="auto"/>
          <w:kern w:val="0"/>
          <w:sz w:val="24"/>
        </w:rPr>
        <w:t xml:space="preserve">. </w:t>
      </w:r>
      <w:r>
        <w:rPr>
          <w:rFonts w:hint="eastAsia" w:ascii="宋体" w:hAnsi="宋体" w:cs="宋体"/>
          <w:b/>
          <w:color w:val="auto"/>
          <w:kern w:val="0"/>
          <w:sz w:val="24"/>
        </w:rPr>
        <w:t>其他要求</w:t>
      </w:r>
    </w:p>
    <w:p w14:paraId="004A1CF2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ascii="宋体" w:hAnsi="宋体" w:cs="宋体"/>
          <w:color w:val="auto"/>
          <w:kern w:val="0"/>
          <w:sz w:val="24"/>
        </w:rPr>
        <w:t>1</w:t>
      </w:r>
      <w:r>
        <w:rPr>
          <w:rFonts w:hint="eastAsia" w:ascii="宋体" w:hAnsi="宋体" w:cs="宋体"/>
          <w:color w:val="auto"/>
          <w:kern w:val="0"/>
          <w:sz w:val="24"/>
        </w:rPr>
        <w:t>）交货期是指从合同签订之日起，直至将所有直饮水设备运抵项目现场并安装调试完毕，</w:t>
      </w:r>
      <w:r>
        <w:rPr>
          <w:rFonts w:hint="eastAsia" w:ascii="宋体" w:hAnsi="宋体" w:cs="宋体"/>
          <w:color w:val="auto"/>
          <w:sz w:val="24"/>
        </w:rPr>
        <w:t>可以交付招标</w:t>
      </w:r>
      <w:r>
        <w:rPr>
          <w:rFonts w:hint="eastAsia" w:ascii="宋体" w:hAnsi="宋体" w:cs="宋体"/>
          <w:color w:val="auto"/>
          <w:kern w:val="0"/>
          <w:sz w:val="24"/>
        </w:rPr>
        <w:t>方使用的时间。本项目要求：设备的安装调试必须在202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</w:rPr>
        <w:t>年8月31日前完成；</w:t>
      </w:r>
    </w:p>
    <w:p w14:paraId="55EA6CD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2）投标文件中应说明在签订合同后可能的最短交货期。交货期不得超出规定交货期。</w:t>
      </w:r>
    </w:p>
    <w:p w14:paraId="104AFB9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hAnsi="宋体" w:cs="宋体"/>
          <w:b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</w:rPr>
        <w:t>3）投标单位在整个经营活动期间，必须保证招标方所有资产的完好性，不得改变原建筑物的使用性质或任意处</w:t>
      </w:r>
      <w:r>
        <w:rPr>
          <w:rFonts w:hint="eastAsia"/>
          <w:color w:val="auto"/>
          <w:sz w:val="24"/>
        </w:rPr>
        <w:t>置招标方资产；</w:t>
      </w:r>
    </w:p>
    <w:p w14:paraId="73E56DF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color w:val="auto"/>
          <w:sz w:val="24"/>
        </w:rPr>
      </w:pPr>
      <w:r>
        <w:rPr>
          <w:rFonts w:hint="eastAsia" w:hAnsi="宋体" w:cs="宋体"/>
          <w:color w:val="auto"/>
          <w:kern w:val="0"/>
          <w:sz w:val="24"/>
          <w:lang w:eastAsia="zh-CN"/>
        </w:rPr>
        <w:t>（</w:t>
      </w:r>
      <w:r>
        <w:rPr>
          <w:rFonts w:hAnsi="宋体" w:cs="宋体"/>
          <w:color w:val="auto"/>
          <w:kern w:val="0"/>
          <w:sz w:val="24"/>
        </w:rPr>
        <w:t>4</w:t>
      </w:r>
      <w:r>
        <w:rPr>
          <w:rFonts w:hint="eastAsia" w:ascii="宋体" w:hAnsi="宋体" w:cs="宋体"/>
          <w:color w:val="auto"/>
          <w:sz w:val="24"/>
        </w:rPr>
        <w:t>）本技术规格未作规定之处，应符合有关国家最新标准的规定。</w:t>
      </w:r>
    </w:p>
    <w:p w14:paraId="3C2D1DF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宋体"/>
          <w:b/>
          <w:color w:val="auto"/>
          <w:sz w:val="24"/>
          <w:lang w:eastAsia="zh-CN"/>
        </w:rPr>
      </w:pPr>
      <w:r>
        <w:rPr>
          <w:rFonts w:hint="eastAsia"/>
          <w:b/>
          <w:color w:val="auto"/>
          <w:sz w:val="24"/>
        </w:rPr>
        <w:t>三、服务期限：</w:t>
      </w:r>
      <w:r>
        <w:rPr>
          <w:rFonts w:hint="eastAsia"/>
          <w:b/>
          <w:color w:val="auto"/>
          <w:sz w:val="24"/>
          <w:lang w:val="en-US" w:eastAsia="zh-CN"/>
        </w:rPr>
        <w:t>自合同签订之日起</w:t>
      </w:r>
      <w:r>
        <w:rPr>
          <w:rFonts w:hint="eastAsia"/>
          <w:b/>
          <w:color w:val="auto"/>
          <w:sz w:val="24"/>
        </w:rPr>
        <w:t>三年</w:t>
      </w:r>
      <w:r>
        <w:rPr>
          <w:rFonts w:hint="eastAsia"/>
          <w:b/>
          <w:color w:val="auto"/>
          <w:sz w:val="24"/>
          <w:lang w:eastAsia="zh-CN"/>
        </w:rPr>
        <w:t>。</w:t>
      </w:r>
    </w:p>
    <w:p w14:paraId="101DFEF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bCs/>
          <w:snapToGrid w:val="0"/>
          <w:color w:val="auto"/>
          <w:spacing w:val="-2"/>
          <w:kern w:val="0"/>
          <w:sz w:val="24"/>
        </w:rPr>
      </w:pP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</w:rPr>
        <w:t>四、工期要求</w:t>
      </w:r>
    </w:p>
    <w:p w14:paraId="08EB7392">
      <w:pPr>
        <w:pStyle w:val="2"/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项目要求：设备安装调试必须在202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4"/>
          <w:szCs w:val="24"/>
        </w:rPr>
        <w:t>年8月31日前完成；供货安装地址为：上海市浦东新区海港大道1550号上海海事大学临港校区63-64号楼公寓内。</w:t>
      </w:r>
    </w:p>
    <w:p w14:paraId="5E83914D">
      <w:pPr>
        <w:pStyle w:val="2"/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延迟交付时间每超过1天，按合同金额的1%付日赔偿金，最高赔偿金不超过合同金额的20%。如果中标人在达到最高赔偿金后仍不能交货，招标人有权终止全部合同，而中标人仍应支付上述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赔偿金</w:t>
      </w:r>
      <w:r>
        <w:rPr>
          <w:rFonts w:hint="eastAsia" w:ascii="宋体" w:hAnsi="宋体" w:cs="宋体"/>
          <w:color w:val="auto"/>
          <w:sz w:val="24"/>
          <w:szCs w:val="24"/>
        </w:rPr>
        <w:t>。</w:t>
      </w:r>
    </w:p>
    <w:p w14:paraId="2C4BB017">
      <w:p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五</w:t>
      </w:r>
      <w:r>
        <w:rPr>
          <w:rFonts w:hint="eastAsia"/>
          <w:b/>
          <w:color w:val="auto"/>
          <w:sz w:val="24"/>
        </w:rPr>
        <w:t xml:space="preserve"> </w:t>
      </w:r>
      <w:r>
        <w:rPr>
          <w:rFonts w:hint="eastAsia"/>
          <w:b/>
          <w:color w:val="auto"/>
          <w:sz w:val="24"/>
          <w:lang w:eastAsia="zh-CN"/>
        </w:rPr>
        <w:t>、</w:t>
      </w:r>
      <w:r>
        <w:rPr>
          <w:rFonts w:hint="eastAsia"/>
          <w:b/>
          <w:color w:val="auto"/>
          <w:sz w:val="24"/>
        </w:rPr>
        <w:t>退出机制要求</w:t>
      </w:r>
    </w:p>
    <w:p w14:paraId="0C9AAED8">
      <w:pPr>
        <w:tabs>
          <w:tab w:val="left" w:pos="540"/>
        </w:tabs>
        <w:adjustRightInd w:val="0"/>
        <w:snapToGrid w:val="0"/>
        <w:spacing w:line="360" w:lineRule="auto"/>
        <w:ind w:right="246" w:rightChars="117"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若</w:t>
      </w: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/>
          <w:color w:val="auto"/>
          <w:sz w:val="24"/>
        </w:rPr>
        <w:t>出现下列情况之一，校方有权单方面解除合同：</w:t>
      </w:r>
      <w:r>
        <w:rPr>
          <w:color w:val="auto"/>
          <w:sz w:val="24"/>
        </w:rPr>
        <w:t xml:space="preserve"> </w:t>
      </w:r>
    </w:p>
    <w:p w14:paraId="4FE7EC42">
      <w:pPr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rFonts w:hint="eastAsia" w:ascii="宋体"/>
          <w:color w:val="auto"/>
          <w:spacing w:val="-4"/>
          <w:kern w:val="28"/>
          <w:sz w:val="24"/>
        </w:rPr>
      </w:pP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/>
          <w:color w:val="auto"/>
          <w:sz w:val="24"/>
        </w:rPr>
        <w:t>在经营期间，</w:t>
      </w:r>
      <w:r>
        <w:rPr>
          <w:rFonts w:hint="eastAsia"/>
          <w:color w:val="auto"/>
          <w:sz w:val="24"/>
          <w:lang w:val="en-US" w:eastAsia="zh-CN"/>
        </w:rPr>
        <w:t>水质检测不合格</w:t>
      </w:r>
      <w:r>
        <w:rPr>
          <w:rFonts w:hint="eastAsia"/>
          <w:color w:val="auto"/>
          <w:sz w:val="24"/>
        </w:rPr>
        <w:t>，师生投诉率高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；</w:t>
      </w:r>
    </w:p>
    <w:p w14:paraId="7F2575F8">
      <w:pPr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rFonts w:hint="eastAsia" w:ascii="宋体"/>
          <w:color w:val="auto"/>
          <w:spacing w:val="-4"/>
          <w:kern w:val="28"/>
          <w:sz w:val="24"/>
        </w:rPr>
      </w:pP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拖欠</w:t>
      </w:r>
      <w:r>
        <w:rPr>
          <w:rFonts w:hint="eastAsia" w:ascii="宋体" w:hAnsi="宋体" w:cs="宋体"/>
          <w:color w:val="auto"/>
          <w:spacing w:val="-4"/>
          <w:kern w:val="28"/>
          <w:sz w:val="24"/>
          <w:lang w:val="en-US" w:eastAsia="zh-CN"/>
        </w:rPr>
        <w:t>水电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管理费</w:t>
      </w:r>
      <w:r>
        <w:rPr>
          <w:rFonts w:hint="eastAsia" w:ascii="宋体" w:hAnsi="宋体" w:cs="宋体"/>
          <w:color w:val="auto"/>
          <w:spacing w:val="-4"/>
          <w:kern w:val="28"/>
          <w:sz w:val="24"/>
          <w:lang w:eastAsia="zh-CN"/>
        </w:rPr>
        <w:t>，</w:t>
      </w:r>
      <w:r>
        <w:rPr>
          <w:rFonts w:hint="eastAsia" w:ascii="宋体" w:hAnsi="宋体" w:cs="宋体"/>
          <w:color w:val="auto"/>
          <w:spacing w:val="-4"/>
          <w:kern w:val="28"/>
          <w:sz w:val="24"/>
          <w:lang w:val="en-US" w:eastAsia="zh-CN"/>
        </w:rPr>
        <w:t>不按时缴纳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；</w:t>
      </w:r>
    </w:p>
    <w:p w14:paraId="330F4EE2">
      <w:pPr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rFonts w:hint="eastAsia" w:ascii="宋体"/>
          <w:color w:val="auto"/>
          <w:spacing w:val="-4"/>
          <w:kern w:val="28"/>
          <w:sz w:val="24"/>
        </w:rPr>
      </w:pP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因不正当经营而产生重大经济纠纷给校方造成重大影响；</w:t>
      </w:r>
    </w:p>
    <w:p w14:paraId="5C1CD78E">
      <w:pPr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rFonts w:hint="eastAsia" w:ascii="宋体"/>
          <w:color w:val="auto"/>
          <w:spacing w:val="-4"/>
          <w:kern w:val="28"/>
          <w:sz w:val="24"/>
        </w:rPr>
      </w:pP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经营期间发生重大安全责任事故，给校方造成较大财产损失；</w:t>
      </w:r>
    </w:p>
    <w:p w14:paraId="342AB140">
      <w:pPr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rFonts w:hint="eastAsia" w:ascii="宋体"/>
          <w:color w:val="auto"/>
          <w:spacing w:val="-4"/>
          <w:kern w:val="28"/>
          <w:sz w:val="24"/>
        </w:rPr>
      </w:pPr>
      <w:r>
        <w:rPr>
          <w:rFonts w:hint="eastAsia"/>
          <w:color w:val="auto"/>
          <w:sz w:val="24"/>
          <w:lang w:val="en-US" w:eastAsia="zh-CN"/>
        </w:rPr>
        <w:t>中标方不服从校方管理，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恶意承诺或违背投标承诺；</w:t>
      </w:r>
    </w:p>
    <w:p w14:paraId="48B722EB">
      <w:pPr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ind w:right="246" w:rightChars="117"/>
        <w:rPr>
          <w:rFonts w:hint="eastAsia" w:ascii="宋体"/>
          <w:color w:val="auto"/>
          <w:spacing w:val="-4"/>
          <w:kern w:val="28"/>
          <w:sz w:val="24"/>
        </w:rPr>
      </w:pPr>
      <w:r>
        <w:rPr>
          <w:rFonts w:hint="eastAsia" w:ascii="宋体" w:hAnsi="宋体" w:cs="宋体"/>
          <w:color w:val="auto"/>
          <w:spacing w:val="-4"/>
          <w:kern w:val="28"/>
          <w:sz w:val="24"/>
        </w:rPr>
        <w:t>若解除合同，</w:t>
      </w: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须在校方规定的时间内无条件撤场。退出时恢复场地原貌，不留存物品或影响正常使用。对未经同意留存的物品，校方有权处置。若</w:t>
      </w:r>
      <w:r>
        <w:rPr>
          <w:rFonts w:hint="eastAsia"/>
          <w:color w:val="auto"/>
          <w:sz w:val="24"/>
          <w:lang w:val="en-US" w:eastAsia="zh-CN"/>
        </w:rPr>
        <w:t>中标方</w:t>
      </w:r>
      <w:r>
        <w:rPr>
          <w:rFonts w:hint="eastAsia" w:ascii="宋体" w:hAnsi="宋体" w:cs="宋体"/>
          <w:color w:val="auto"/>
          <w:spacing w:val="-4"/>
          <w:kern w:val="28"/>
          <w:sz w:val="24"/>
        </w:rPr>
        <w:t>因自身原因，主动提出退出的，校方同意后方可退出。</w:t>
      </w:r>
    </w:p>
    <w:p w14:paraId="20F0DF4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color w:val="auto"/>
          <w:sz w:val="24"/>
        </w:rPr>
      </w:pP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  <w:lang w:val="en-US" w:eastAsia="zh-CN"/>
        </w:rPr>
        <w:t>六</w:t>
      </w: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</w:rPr>
        <w:t>、</w:t>
      </w:r>
      <w:r>
        <w:rPr>
          <w:rFonts w:hint="eastAsia" w:ascii="宋体" w:hAnsi="宋体"/>
          <w:b/>
          <w:bCs/>
          <w:color w:val="auto"/>
          <w:sz w:val="24"/>
        </w:rPr>
        <w:t>注意事项</w:t>
      </w:r>
    </w:p>
    <w:p w14:paraId="1637A767">
      <w:pPr>
        <w:pStyle w:val="2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1.</w:t>
      </w:r>
      <w:r>
        <w:rPr>
          <w:rFonts w:hint="eastAsia" w:ascii="宋体" w:hAnsi="宋体"/>
          <w:color w:val="auto"/>
          <w:sz w:val="24"/>
          <w:szCs w:val="24"/>
        </w:rPr>
        <w:t>投标单位提交投标文件的同时即认为已同意上述条款并保证遵守。</w:t>
      </w:r>
    </w:p>
    <w:p w14:paraId="65187EB4">
      <w:pPr>
        <w:pStyle w:val="2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hint="eastAsia" w:ascii="宋体" w:hAnsi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2.</w:t>
      </w:r>
      <w:r>
        <w:rPr>
          <w:rFonts w:hint="eastAsia" w:ascii="宋体" w:hAnsi="宋体"/>
          <w:color w:val="auto"/>
          <w:sz w:val="24"/>
          <w:szCs w:val="24"/>
        </w:rPr>
        <w:t>报价表中不得出现任何涂改、修正迹象，也不得出现任何选择性报价，否则一律视作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无效报价</w:t>
      </w:r>
      <w:r>
        <w:rPr>
          <w:rFonts w:hint="eastAsia" w:ascii="宋体" w:hAnsi="宋体"/>
          <w:color w:val="auto"/>
          <w:sz w:val="24"/>
          <w:szCs w:val="24"/>
        </w:rPr>
        <w:t>。</w:t>
      </w:r>
    </w:p>
    <w:p w14:paraId="20715612">
      <w:pPr>
        <w:pStyle w:val="2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hint="eastAsia" w:ascii="宋体" w:hAnsi="宋体" w:eastAsia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  <w:lang w:val="en-US" w:eastAsia="zh-CN"/>
        </w:rPr>
        <w:t>七</w:t>
      </w: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</w:rPr>
        <w:t>、</w:t>
      </w: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  <w:lang w:val="en-US" w:eastAsia="zh-CN"/>
        </w:rPr>
        <w:t>评分细则</w:t>
      </w:r>
    </w:p>
    <w:p w14:paraId="5FF36431">
      <w:pPr>
        <w:pStyle w:val="13"/>
        <w:keepNext w:val="0"/>
        <w:keepLines w:val="0"/>
        <w:pageBreakBefore w:val="0"/>
        <w:wordWrap/>
        <w:topLinePunct w:val="0"/>
        <w:bidi w:val="0"/>
        <w:spacing w:line="360" w:lineRule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63-64号楼直饮水供应项目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zh-CN"/>
        </w:rPr>
        <w:t>具体评分细则如下：</w:t>
      </w:r>
    </w:p>
    <w:tbl>
      <w:tblPr>
        <w:tblStyle w:val="6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246"/>
        <w:gridCol w:w="1241"/>
        <w:gridCol w:w="5250"/>
      </w:tblGrid>
      <w:tr w14:paraId="29603E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  <w:jc w:val="center"/>
        </w:trPr>
        <w:tc>
          <w:tcPr>
            <w:tcW w:w="459" w:type="pct"/>
            <w:tcBorders>
              <w:top w:val="single" w:color="auto" w:sz="12" w:space="0"/>
              <w:bottom w:val="double" w:color="auto" w:sz="6" w:space="0"/>
            </w:tcBorders>
            <w:noWrap w:val="0"/>
            <w:vAlign w:val="center"/>
          </w:tcPr>
          <w:p w14:paraId="2C2E6E91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67" w:leftChars="30" w:right="63" w:rightChars="30" w:hanging="4" w:hangingChars="2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731" w:type="pct"/>
            <w:tcBorders>
              <w:top w:val="single" w:color="auto" w:sz="12" w:space="0"/>
              <w:bottom w:val="double" w:color="auto" w:sz="6" w:space="0"/>
            </w:tcBorders>
            <w:noWrap w:val="0"/>
            <w:vAlign w:val="center"/>
          </w:tcPr>
          <w:p w14:paraId="6AF115A2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67" w:leftChars="30" w:right="63" w:rightChars="30" w:hanging="4" w:hangingChars="2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评标要素</w:t>
            </w:r>
          </w:p>
        </w:tc>
        <w:tc>
          <w:tcPr>
            <w:tcW w:w="728" w:type="pct"/>
            <w:tcBorders>
              <w:top w:val="single" w:color="auto" w:sz="12" w:space="0"/>
              <w:bottom w:val="double" w:color="auto" w:sz="6" w:space="0"/>
            </w:tcBorders>
            <w:noWrap w:val="0"/>
            <w:vAlign w:val="center"/>
          </w:tcPr>
          <w:p w14:paraId="7E30B87B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67" w:leftChars="30" w:right="63" w:rightChars="30" w:hanging="4" w:hangingChars="2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满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分值</w:t>
            </w:r>
          </w:p>
        </w:tc>
        <w:tc>
          <w:tcPr>
            <w:tcW w:w="3080" w:type="pct"/>
            <w:tcBorders>
              <w:top w:val="single" w:color="auto" w:sz="12" w:space="0"/>
              <w:bottom w:val="double" w:color="auto" w:sz="6" w:space="0"/>
            </w:tcBorders>
            <w:noWrap w:val="0"/>
            <w:vAlign w:val="center"/>
          </w:tcPr>
          <w:p w14:paraId="59CE6130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67" w:leftChars="30" w:right="63" w:rightChars="30" w:hanging="4" w:hangingChars="2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主要评审内容</w:t>
            </w:r>
          </w:p>
        </w:tc>
      </w:tr>
      <w:tr w14:paraId="0D01B2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  <w:jc w:val="center"/>
        </w:trPr>
        <w:tc>
          <w:tcPr>
            <w:tcW w:w="459" w:type="pct"/>
            <w:tcBorders>
              <w:top w:val="double" w:color="auto" w:sz="6" w:space="0"/>
            </w:tcBorders>
            <w:noWrap w:val="0"/>
            <w:vAlign w:val="center"/>
          </w:tcPr>
          <w:p w14:paraId="67CB46E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731" w:type="pct"/>
            <w:tcBorders>
              <w:top w:val="double" w:color="auto" w:sz="6" w:space="0"/>
            </w:tcBorders>
            <w:noWrap w:val="0"/>
            <w:vAlign w:val="center"/>
          </w:tcPr>
          <w:p w14:paraId="0D09412A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报价</w:t>
            </w:r>
          </w:p>
        </w:tc>
        <w:tc>
          <w:tcPr>
            <w:tcW w:w="728" w:type="pct"/>
            <w:tcBorders>
              <w:top w:val="double" w:color="auto" w:sz="6" w:space="0"/>
            </w:tcBorders>
            <w:noWrap w:val="0"/>
            <w:vAlign w:val="center"/>
          </w:tcPr>
          <w:p w14:paraId="5417589D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" w:hanging="4" w:hangingChars="2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50</w:t>
            </w:r>
          </w:p>
        </w:tc>
        <w:tc>
          <w:tcPr>
            <w:tcW w:w="3080" w:type="pct"/>
            <w:tcBorders>
              <w:top w:val="double" w:color="auto" w:sz="6" w:space="0"/>
            </w:tcBorders>
            <w:noWrap w:val="0"/>
            <w:vAlign w:val="center"/>
          </w:tcPr>
          <w:p w14:paraId="2C0CB871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投标报价得分=评标基准价/投标人的投标报价×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50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本次报价得分分为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两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个部分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直饮冷水每升报价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得分=评标基准价/评标价×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25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2.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直饮热水每升报价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得分=评标基准价/评标价×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25       两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项得分总和为最终分数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（直饮冷水部分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以进入详细评审的各投标人的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评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标价的最低价为评标基准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直饮热水部分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以进入详细评审的各投标人的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评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标价的最低价为评标基准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eastAsia="zh-CN"/>
              </w:rPr>
              <w:t>。）</w:t>
            </w:r>
          </w:p>
        </w:tc>
      </w:tr>
      <w:tr w14:paraId="5C73DF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459" w:type="pct"/>
            <w:noWrap w:val="0"/>
            <w:vAlign w:val="center"/>
          </w:tcPr>
          <w:p w14:paraId="578357B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31" w:type="pct"/>
            <w:noWrap w:val="0"/>
            <w:vAlign w:val="center"/>
          </w:tcPr>
          <w:p w14:paraId="4AD61325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企业资质</w:t>
            </w:r>
          </w:p>
        </w:tc>
        <w:tc>
          <w:tcPr>
            <w:tcW w:w="728" w:type="pct"/>
            <w:noWrap w:val="0"/>
            <w:vAlign w:val="center"/>
          </w:tcPr>
          <w:p w14:paraId="6904B9BF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20" w:leftChars="0" w:hanging="420" w:hangingChars="200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080" w:type="pct"/>
            <w:tcBorders>
              <w:top w:val="single" w:color="auto" w:sz="6" w:space="0"/>
            </w:tcBorders>
            <w:noWrap w:val="0"/>
            <w:vAlign w:val="center"/>
          </w:tcPr>
          <w:p w14:paraId="38F81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营业执照（复印件并加盖公章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）；</w:t>
            </w:r>
          </w:p>
          <w:p w14:paraId="005CE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2.涉及饮用水卫生安全产品卫生许可批件；</w:t>
            </w:r>
          </w:p>
          <w:p w14:paraId="7A1E3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3.所配备产品的3C认证证书；</w:t>
            </w:r>
          </w:p>
          <w:p w14:paraId="5E751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4.服务承诺书、违约处罚承诺书。                       每提供一个证书证明文件得1分，最高5分。</w:t>
            </w:r>
          </w:p>
        </w:tc>
      </w:tr>
      <w:tr w14:paraId="29D852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exact"/>
          <w:jc w:val="center"/>
        </w:trPr>
        <w:tc>
          <w:tcPr>
            <w:tcW w:w="459" w:type="pct"/>
            <w:noWrap w:val="0"/>
            <w:vAlign w:val="center"/>
          </w:tcPr>
          <w:p w14:paraId="46A15F2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731" w:type="pct"/>
            <w:noWrap w:val="0"/>
            <w:vAlign w:val="center"/>
          </w:tcPr>
          <w:p w14:paraId="786C17AE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饮水机技术参数</w:t>
            </w:r>
          </w:p>
        </w:tc>
        <w:tc>
          <w:tcPr>
            <w:tcW w:w="728" w:type="pct"/>
            <w:noWrap w:val="0"/>
            <w:vAlign w:val="center"/>
          </w:tcPr>
          <w:p w14:paraId="0DF898CB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20" w:leftChars="0" w:hanging="420" w:hangingChars="200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3080" w:type="pct"/>
            <w:tcBorders>
              <w:top w:val="single" w:color="auto" w:sz="6" w:space="0"/>
            </w:tcBorders>
            <w:noWrap w:val="0"/>
            <w:vAlign w:val="center"/>
          </w:tcPr>
          <w:p w14:paraId="3F216061">
            <w:pPr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  <w:p w14:paraId="7D744439">
            <w:pPr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1.详细介绍设备参数、性能、净化原理、核心优势、安全保障等技术说明；</w:t>
            </w:r>
          </w:p>
          <w:p w14:paraId="661E9BCD">
            <w:pPr>
              <w:keepNext w:val="0"/>
              <w:keepLines w:val="0"/>
              <w:pageBreakBefore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2.提供水处理材料证明、整机检验报告；                3.饮水机制造商企业认证和荣誉；                     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所配备饮水机的外观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图片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尺寸，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出水口尺寸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0C062A9B"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spacing w:line="360" w:lineRule="auto"/>
              <w:ind w:left="0"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95379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1" w:hRule="atLeast"/>
          <w:jc w:val="center"/>
        </w:trPr>
        <w:tc>
          <w:tcPr>
            <w:tcW w:w="459" w:type="pct"/>
            <w:noWrap w:val="0"/>
            <w:vAlign w:val="center"/>
          </w:tcPr>
          <w:p w14:paraId="2B52874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731" w:type="pct"/>
            <w:noWrap w:val="0"/>
            <w:vAlign w:val="center"/>
          </w:tcPr>
          <w:p w14:paraId="2230A5DD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服务方案</w:t>
            </w:r>
          </w:p>
        </w:tc>
        <w:tc>
          <w:tcPr>
            <w:tcW w:w="728" w:type="pct"/>
            <w:noWrap w:val="0"/>
            <w:vAlign w:val="center"/>
          </w:tcPr>
          <w:p w14:paraId="1559FA8E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20" w:leftChars="0" w:hanging="420" w:hangingChars="200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080" w:type="pct"/>
            <w:tcBorders>
              <w:top w:val="single" w:color="auto" w:sz="6" w:space="0"/>
            </w:tcBorders>
            <w:noWrap w:val="0"/>
            <w:vAlign w:val="center"/>
          </w:tcPr>
          <w:p w14:paraId="38394A01">
            <w:pPr>
              <w:numPr>
                <w:ilvl w:val="0"/>
                <w:numId w:val="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1.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提供详细项目施工方案，包括施工流程、安装调试、进度表等；                                             2.提供服务运营方案，包括服务流程、维护制度、水质检测等；                                               3.服务支持，提供相关的技术支持，有培训指导方案；                                         </w:t>
            </w:r>
          </w:p>
          <w:p w14:paraId="1408B772">
            <w:pPr>
              <w:numPr>
                <w:ilvl w:val="0"/>
                <w:numId w:val="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4.提供服务监督机制，包括定期巡查、客户反馈、满意度调查、第三方评估等内容。</w:t>
            </w:r>
          </w:p>
        </w:tc>
      </w:tr>
      <w:tr w14:paraId="2BFDD4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459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C176C1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731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BF3EF5E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售后服务响应</w:t>
            </w:r>
          </w:p>
        </w:tc>
        <w:tc>
          <w:tcPr>
            <w:tcW w:w="728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A7F709D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20" w:leftChars="0" w:hanging="420" w:hangingChars="200"/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3080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0C575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提供详细的售后运行维护制度，提供24小时服务热线，响应时间和到场时间。</w:t>
            </w:r>
          </w:p>
        </w:tc>
      </w:tr>
      <w:tr w14:paraId="2F1232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459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E96EB4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731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53C729E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人员配置</w:t>
            </w:r>
          </w:p>
        </w:tc>
        <w:tc>
          <w:tcPr>
            <w:tcW w:w="728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9000AE7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20" w:leftChars="0" w:hanging="420" w:hangingChars="200"/>
              <w:jc w:val="center"/>
              <w:rPr>
                <w:rFonts w:hint="default" w:ascii="宋体" w:hAnsi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3080" w:type="pc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87B1F6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1.介绍服务团队的组成、资质、经验等，内容详细得2分；                                           2.提供人员配置表，包括项目负责人及现场维保人员技术职称和资格证书，每提供一个证书证明文件得1分，最高3分。</w:t>
            </w:r>
          </w:p>
        </w:tc>
      </w:tr>
      <w:tr w14:paraId="218FC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459" w:type="pct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2B63F9C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topLinePunct w:val="0"/>
              <w:bidi w:val="0"/>
              <w:adjustRightInd w:val="0"/>
              <w:spacing w:line="360" w:lineRule="auto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731" w:type="pct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49703A6B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类似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业绩</w:t>
            </w:r>
          </w:p>
        </w:tc>
        <w:tc>
          <w:tcPr>
            <w:tcW w:w="728" w:type="pct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0B923BF0"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360" w:lineRule="auto"/>
              <w:ind w:left="420" w:leftChars="0" w:hanging="420" w:hangingChars="200"/>
              <w:jc w:val="center"/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3080" w:type="pct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275FF1F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投标人近三年（202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年至今）</w:t>
            </w:r>
            <w:r>
              <w:rPr>
                <w:rFonts w:hint="eastAsia" w:ascii="宋体" w:hAnsi="宋体" w:eastAsia="宋体" w:cs="宋体"/>
                <w:bCs/>
                <w:color w:val="auto"/>
                <w:spacing w:val="20"/>
                <w:sz w:val="21"/>
                <w:szCs w:val="21"/>
                <w:highlight w:val="none"/>
                <w:lang w:val="en-US" w:eastAsia="zh-CN"/>
              </w:rPr>
              <w:t>类似项目业绩（</w:t>
            </w:r>
            <w:r>
              <w:rPr>
                <w:rFonts w:hint="eastAsia" w:ascii="宋体" w:hAnsi="宋体" w:cs="宋体"/>
                <w:bCs/>
                <w:color w:val="auto"/>
                <w:spacing w:val="20"/>
                <w:sz w:val="21"/>
                <w:szCs w:val="21"/>
                <w:highlight w:val="none"/>
                <w:lang w:val="en-US" w:eastAsia="zh-CN"/>
              </w:rPr>
              <w:t>需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提供合同盖章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宋体" w:hAnsi="宋体" w:eastAsia="宋体" w:cs="宋体"/>
                <w:bCs/>
                <w:color w:val="auto"/>
                <w:spacing w:val="20"/>
                <w:sz w:val="21"/>
                <w:szCs w:val="21"/>
                <w:highlight w:val="none"/>
                <w:lang w:val="en-US" w:eastAsia="zh-CN"/>
              </w:rPr>
              <w:t>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每提供一个有效业绩合同得1分，最高5分。</w:t>
            </w:r>
          </w:p>
        </w:tc>
      </w:tr>
    </w:tbl>
    <w:p w14:paraId="3DEF9D94">
      <w:pPr>
        <w:pStyle w:val="2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hint="eastAsia" w:ascii="宋体" w:hAnsi="宋体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Optimum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F2617F"/>
    <w:multiLevelType w:val="singleLevel"/>
    <w:tmpl w:val="5AF2617F"/>
    <w:lvl w:ilvl="0" w:tentative="0">
      <w:start w:val="1"/>
      <w:numFmt w:val="decimal"/>
      <w:lvlText w:val="%1."/>
      <w:lvlJc w:val="left"/>
      <w:pPr>
        <w:ind w:left="425" w:hanging="425"/>
      </w:pPr>
    </w:lvl>
  </w:abstractNum>
  <w:abstractNum w:abstractNumId="1">
    <w:nsid w:val="5C6961E1"/>
    <w:multiLevelType w:val="multilevel"/>
    <w:tmpl w:val="5C6961E1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ascii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CA13F6"/>
    <w:rsid w:val="00095EC2"/>
    <w:rsid w:val="00131512"/>
    <w:rsid w:val="00172AA3"/>
    <w:rsid w:val="00261EDA"/>
    <w:rsid w:val="00345B65"/>
    <w:rsid w:val="005902D9"/>
    <w:rsid w:val="0066780A"/>
    <w:rsid w:val="00687F80"/>
    <w:rsid w:val="008A65E6"/>
    <w:rsid w:val="008F1E36"/>
    <w:rsid w:val="0093367F"/>
    <w:rsid w:val="00AA1B35"/>
    <w:rsid w:val="00AA45C0"/>
    <w:rsid w:val="00BF47B1"/>
    <w:rsid w:val="00CA13F6"/>
    <w:rsid w:val="00DA73CD"/>
    <w:rsid w:val="00DD26EE"/>
    <w:rsid w:val="00E03C82"/>
    <w:rsid w:val="00FA0EEF"/>
    <w:rsid w:val="059C3E2D"/>
    <w:rsid w:val="05AE7EE2"/>
    <w:rsid w:val="0A615D08"/>
    <w:rsid w:val="0CC02154"/>
    <w:rsid w:val="0CF5568F"/>
    <w:rsid w:val="13DC2612"/>
    <w:rsid w:val="19A07A3C"/>
    <w:rsid w:val="1F5B2B83"/>
    <w:rsid w:val="30A5135D"/>
    <w:rsid w:val="33DD78A5"/>
    <w:rsid w:val="38117569"/>
    <w:rsid w:val="618B2A36"/>
    <w:rsid w:val="622F642D"/>
    <w:rsid w:val="69B13EAD"/>
    <w:rsid w:val="6A87601C"/>
    <w:rsid w:val="6B157DBF"/>
    <w:rsid w:val="6DB6183E"/>
    <w:rsid w:val="76A1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Char"/>
    <w:basedOn w:val="7"/>
    <w:link w:val="2"/>
    <w:qFormat/>
    <w:uiPriority w:val="0"/>
    <w:rPr>
      <w:rFonts w:ascii="Calibri" w:hAnsi="Calibri" w:eastAsia="宋体" w:cs="Times New Roman"/>
      <w:sz w:val="28"/>
      <w:szCs w:val="20"/>
    </w:rPr>
  </w:style>
  <w:style w:type="paragraph" w:customStyle="1" w:styleId="9">
    <w:name w:val="正文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Optimum" w:hAnsi="Times New Roman" w:eastAsia="Optimum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2947</Words>
  <Characters>3058</Characters>
  <Lines>13</Lines>
  <Paragraphs>3</Paragraphs>
  <TotalTime>16</TotalTime>
  <ScaleCrop>false</ScaleCrop>
  <LinksUpToDate>false</LinksUpToDate>
  <CharactersWithSpaces>3377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2018-07-13T01:08:00Z</dcterms:created>
  <dc:creator>lenovo</dc:creator>
  <cp:lastModifiedBy>仲杰</cp:lastModifiedBy>
  <cp:lastPrinted>2021-07-05T03:18:00Z</cp:lastPrinted>
  <dcterms:modified xsi:type="dcterms:W3CDTF">2024-06-24T11:27:33Z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A8539B39189F494482BFA0521D4840C0_13</vt:lpwstr>
  </property>
</Properties>
</file>