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z w:val="24"/>
          <w:szCs w:val="24"/>
        </w:rPr>
      </w:pPr>
      <w:bookmarkStart w:id="0" w:name="_GoBack"/>
      <w:bookmarkEnd w:id="0"/>
      <w:r>
        <w:rPr>
          <w:rFonts w:ascii="黑体" w:hAnsi="黑体" w:eastAsia="黑体"/>
          <w:b/>
          <w:sz w:val="36"/>
          <w:szCs w:val="36"/>
        </w:rPr>
        <w:t>外国语学院海事语言资源库</w:t>
      </w:r>
    </w:p>
    <w:p>
      <w:pPr>
        <w:jc w:val="center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</w:rPr>
        <w:t>第一阶段： 2</w:t>
      </w:r>
      <w:r>
        <w:rPr>
          <w:rFonts w:ascii="Times New Roman" w:hAnsi="Times New Roman" w:eastAsia="黑体" w:cs="Times New Roman"/>
          <w:b/>
          <w:sz w:val="24"/>
          <w:szCs w:val="24"/>
        </w:rPr>
        <w:t>021.12 -2022</w:t>
      </w:r>
      <w:r>
        <w:rPr>
          <w:rFonts w:hint="eastAsia" w:ascii="Times New Roman" w:hAnsi="Times New Roman" w:eastAsia="黑体" w:cs="Times New Roman"/>
          <w:b/>
          <w:sz w:val="24"/>
          <w:szCs w:val="24"/>
        </w:rPr>
        <w:t>.</w:t>
      </w:r>
      <w:r>
        <w:rPr>
          <w:rFonts w:ascii="Times New Roman" w:hAnsi="Times New Roman" w:eastAsia="黑体" w:cs="Times New Roman"/>
          <w:b/>
          <w:sz w:val="24"/>
          <w:szCs w:val="24"/>
        </w:rPr>
        <w:t>06 海事语言在线词典建设</w:t>
      </w: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spacing w:line="4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黑体" w:cs="Times New Roman"/>
          <w:b/>
          <w:szCs w:val="21"/>
        </w:rPr>
        <w:t>1. [建设内容]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上海海事大学外语学院“海事语言信息平台”中的在线“海事”英汉词典，建设“汉英双向”海事行业标准化词表、机器翻译学习语料库、海事英语语言标准化建议手册及相应a</w:t>
      </w:r>
      <w:r>
        <w:rPr>
          <w:rFonts w:ascii="Times New Roman" w:hAnsi="Times New Roman" w:eastAsia="宋体" w:cs="Times New Roman"/>
          <w:sz w:val="24"/>
          <w:szCs w:val="20"/>
        </w:rPr>
        <w:t>pp</w:t>
      </w:r>
      <w:r>
        <w:rPr>
          <w:rFonts w:hint="eastAsia" w:ascii="Times New Roman" w:hAnsi="Times New Roman" w:eastAsia="宋体" w:cs="Times New Roman"/>
          <w:sz w:val="24"/>
          <w:szCs w:val="20"/>
        </w:rPr>
        <w:t>及线上语言转换平台、海事语言类测试、培训模型开发，形成研究-行业良性互动公开运行，填补业内海事语言话语语料库建设、分析及海事语言标准化空白，进行辅助翻译，提高海事领域的翻译专业度。研究意义在于：词典以海事语言语料库为例句来源，用语海事领域的学术研究，助力国家社科项目申报；辅助教材编写，建设海事精品课程；规范并提高海事职业考试标准；与海事专业语料库平台和多语舆情大数据分析平台结合，作为海事语言标准化和国际海事话语研究的工具软件。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建设海事专业词典检索平台，充分利用海事外院独有的优质丰富的双语资料，依托外院优秀的师资和生源，通过技术赋能，建设海事特色的专业词典检索平台，开创行业先河，弥补行业空白。该平台具备词条的中英双向查询、词条释义和例句展示等检索功能，以及词条的添加、修改、删除等管理功能，同时支持用户权限管理。样例如下：</w:t>
      </w:r>
    </w:p>
    <w:p>
      <w:pPr>
        <w:spacing w:line="500" w:lineRule="exact"/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315595</wp:posOffset>
            </wp:positionV>
            <wp:extent cx="5066030" cy="2517775"/>
            <wp:effectExtent l="0" t="0" r="1270" b="0"/>
            <wp:wrapTight wrapText="bothSides">
              <wp:wrapPolygon>
                <wp:start x="0" y="0"/>
                <wp:lineTo x="0" y="21409"/>
                <wp:lineTo x="21524" y="21409"/>
                <wp:lineTo x="2152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054" cy="251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szCs w:val="21"/>
        </w:rPr>
        <w:t>2. [预期成果]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tbl>
            <w:tblPr>
              <w:tblStyle w:val="4"/>
              <w:tblW w:w="9357" w:type="dxa"/>
              <w:tblInd w:w="-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2"/>
              <w:gridCol w:w="3402"/>
              <w:gridCol w:w="43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2" w:type="dxa"/>
                  <w:shd w:val="clear" w:color="auto" w:fill="B4C6E7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ascii="楷体" w:hAnsi="楷体" w:eastAsia="楷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Times New Roman"/>
                      <w:b/>
                      <w:bCs/>
                      <w:szCs w:val="21"/>
                    </w:rPr>
                    <w:t>研究阶段</w:t>
                  </w:r>
                </w:p>
              </w:tc>
              <w:tc>
                <w:tcPr>
                  <w:tcW w:w="3402" w:type="dxa"/>
                  <w:shd w:val="clear" w:color="auto" w:fill="B4C6E7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Times New Roman"/>
                      <w:b/>
                      <w:bCs/>
                      <w:szCs w:val="21"/>
                    </w:rPr>
                    <w:t>研究内容</w:t>
                  </w:r>
                </w:p>
              </w:tc>
              <w:tc>
                <w:tcPr>
                  <w:tcW w:w="4363" w:type="dxa"/>
                  <w:shd w:val="clear" w:color="auto" w:fill="B4C6E7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Times New Roman"/>
                      <w:b/>
                      <w:bCs/>
                      <w:szCs w:val="21"/>
                    </w:rPr>
                    <w:t>阶段性成果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2" w:type="dxa"/>
                  <w:shd w:val="clear" w:color="auto" w:fill="auto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202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12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~202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海事语言词典建设</w:t>
                  </w:r>
                </w:p>
              </w:tc>
              <w:tc>
                <w:tcPr>
                  <w:tcW w:w="4363" w:type="dxa"/>
                  <w:shd w:val="clear" w:color="auto" w:fill="auto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官网有限度资源共享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2" w:type="dxa"/>
                  <w:shd w:val="clear" w:color="auto" w:fill="auto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202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12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~2022.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发表科研论文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2篇</w:t>
                  </w:r>
                </w:p>
              </w:tc>
              <w:tc>
                <w:tcPr>
                  <w:tcW w:w="4363" w:type="dxa"/>
                  <w:shd w:val="clear" w:color="auto" w:fill="auto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C刊以上</w:t>
                  </w:r>
                </w:p>
              </w:tc>
            </w:tr>
          </w:tbl>
          <w:p>
            <w:pPr>
              <w:spacing w:line="500" w:lineRule="exact"/>
              <w:outlineLvl w:val="0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b/>
          <w:szCs w:val="21"/>
          <w:lang w:val="en-US" w:eastAsia="zh-CN"/>
        </w:rPr>
        <w:t>[功能需求]</w:t>
      </w:r>
    </w:p>
    <w:p>
      <w:pPr>
        <w:numPr>
          <w:ilvl w:val="-1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42"/>
        <w:gridCol w:w="1311"/>
        <w:gridCol w:w="1327"/>
        <w:gridCol w:w="4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模块</w:t>
            </w:r>
          </w:p>
        </w:tc>
        <w:tc>
          <w:tcPr>
            <w:tcW w:w="4540" w:type="pct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词典检索</w:t>
            </w:r>
          </w:p>
        </w:tc>
        <w:tc>
          <w:tcPr>
            <w:tcW w:w="2098" w:type="pct"/>
            <w:gridSpan w:val="3"/>
            <w:vMerge w:val="restart"/>
            <w:vAlign w:val="top"/>
          </w:tcPr>
          <w:p>
            <w:pPr>
              <w:pStyle w:val="9"/>
              <w:spacing w:line="360" w:lineRule="auto"/>
              <w:ind w:left="360"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检索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ascii="黑体" w:hAnsi="黑体" w:eastAsia="黑体"/>
                <w:szCs w:val="21"/>
              </w:rPr>
              <w:t>展示</w:t>
            </w:r>
            <w:r>
              <w:rPr>
                <w:rFonts w:hint="eastAsia" w:ascii="黑体" w:hAnsi="黑体" w:eastAsia="黑体"/>
                <w:szCs w:val="21"/>
              </w:rPr>
              <w:t>（支持中英双向）</w:t>
            </w:r>
          </w:p>
        </w:tc>
        <w:tc>
          <w:tcPr>
            <w:tcW w:w="2441" w:type="pct"/>
            <w:vAlign w:val="top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用户输入英文单词，查询结果页实时展示单词释义及中英双语例句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98" w:type="pct"/>
            <w:gridSpan w:val="3"/>
            <w:vMerge w:val="continue"/>
            <w:vAlign w:val="top"/>
          </w:tcPr>
          <w:p>
            <w:pPr>
              <w:pStyle w:val="9"/>
              <w:spacing w:line="360" w:lineRule="auto"/>
              <w:ind w:left="360" w:firstLine="0" w:firstLineChars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41" w:type="pct"/>
            <w:vAlign w:val="top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用户输入中文字，查询结果页实时展示对应英文单词释义及中英双语例句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98" w:type="pct"/>
            <w:gridSpan w:val="3"/>
            <w:vMerge w:val="continue"/>
            <w:vAlign w:val="top"/>
          </w:tcPr>
          <w:p>
            <w:pPr>
              <w:pStyle w:val="9"/>
              <w:spacing w:line="360" w:lineRule="auto"/>
              <w:ind w:left="360" w:firstLine="0" w:firstLineChars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41" w:type="pct"/>
            <w:vAlign w:val="top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查询结果页支持单个词条的查询量统计，展示所有用户对该词条的累计查询结果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9" w:type="pct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账号体系及后台管理</w:t>
            </w:r>
          </w:p>
        </w:tc>
        <w:tc>
          <w:tcPr>
            <w:tcW w:w="774" w:type="pct"/>
            <w:vMerge w:val="restar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账号体系</w:t>
            </w:r>
          </w:p>
        </w:tc>
        <w:tc>
          <w:tcPr>
            <w:tcW w:w="1324" w:type="pct"/>
            <w:gridSpan w:val="2"/>
            <w:vMerge w:val="restar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注册登录</w:t>
            </w:r>
          </w:p>
        </w:tc>
        <w:tc>
          <w:tcPr>
            <w:tcW w:w="2441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新用户在注册页面输入个人信息</w:t>
            </w:r>
            <w:r>
              <w:rPr>
                <w:rFonts w:hint="eastAsia" w:ascii="黑体" w:hAnsi="黑体" w:eastAsia="黑体"/>
                <w:szCs w:val="21"/>
              </w:rPr>
              <w:t>，</w:t>
            </w:r>
            <w:r>
              <w:rPr>
                <w:rFonts w:ascii="黑体" w:hAnsi="黑体" w:eastAsia="黑体"/>
                <w:szCs w:val="21"/>
              </w:rPr>
              <w:t>验证通过即创建账号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24" w:type="pct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41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登录页面输入账号和密码即可登录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58" w:type="pct"/>
            <w:vMerge w:val="restar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角色划分</w:t>
            </w:r>
          </w:p>
        </w:tc>
        <w:tc>
          <w:tcPr>
            <w:tcW w:w="665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普通用户</w:t>
            </w:r>
          </w:p>
        </w:tc>
        <w:tc>
          <w:tcPr>
            <w:tcW w:w="2441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支持在线访问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ascii="黑体" w:hAnsi="黑体" w:eastAsia="黑体"/>
                <w:szCs w:val="21"/>
              </w:rPr>
              <w:t>查询词典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58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65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管理员</w:t>
            </w:r>
          </w:p>
        </w:tc>
        <w:tc>
          <w:tcPr>
            <w:tcW w:w="2441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除支持在线访问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ascii="黑体" w:hAnsi="黑体" w:eastAsia="黑体"/>
                <w:szCs w:val="21"/>
              </w:rPr>
              <w:t>查询词典外</w:t>
            </w:r>
            <w:r>
              <w:rPr>
                <w:rFonts w:hint="eastAsia" w:ascii="黑体" w:hAnsi="黑体" w:eastAsia="黑体"/>
                <w:szCs w:val="21"/>
              </w:rPr>
              <w:t>，</w:t>
            </w:r>
            <w:r>
              <w:rPr>
                <w:rFonts w:ascii="黑体" w:hAnsi="黑体" w:eastAsia="黑体"/>
                <w:szCs w:val="21"/>
              </w:rPr>
              <w:t>还支持后台管理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Merge w:val="restar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后台管理</w:t>
            </w:r>
            <w:r>
              <w:rPr>
                <w:rFonts w:hint="eastAsia" w:ascii="黑体" w:hAnsi="黑体" w:eastAsia="黑体"/>
                <w:szCs w:val="21"/>
              </w:rPr>
              <w:t>（仅限管理员）</w:t>
            </w:r>
          </w:p>
        </w:tc>
        <w:tc>
          <w:tcPr>
            <w:tcW w:w="658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用户管理</w:t>
            </w:r>
          </w:p>
        </w:tc>
        <w:tc>
          <w:tcPr>
            <w:tcW w:w="3107" w:type="pct"/>
            <w:gridSpan w:val="2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超级管理员可在后台查询用户信息并设置和取消管理员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58" w:type="pct"/>
            <w:vMerge w:val="restar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词典管理</w:t>
            </w:r>
          </w:p>
        </w:tc>
        <w:tc>
          <w:tcPr>
            <w:tcW w:w="3107" w:type="pct"/>
            <w:gridSpan w:val="2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管理员可在词典管理中心创建词条并进行内容编辑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58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7" w:type="pct"/>
            <w:gridSpan w:val="2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管理员可在词典管理中心对词条进行修改和删除操作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词条编辑与审核</w:t>
            </w:r>
          </w:p>
        </w:tc>
        <w:tc>
          <w:tcPr>
            <w:tcW w:w="4540" w:type="pct"/>
            <w:gridSpan w:val="4"/>
            <w:vAlign w:val="top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查询词条时，支持普通用户在查询结果页对词条进行编辑并提交，管理员进行审核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540" w:type="pct"/>
            <w:gridSpan w:val="4"/>
            <w:vAlign w:val="top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管理员审核时，根据用户修改提交的词条质量，选择审核通过或拒绝，并填写理由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540" w:type="pct"/>
            <w:gridSpan w:val="4"/>
            <w:vAlign w:val="top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审核通过后，系统自动更新词条库，用户再次查询时显示更新后的内容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防爬</w:t>
            </w:r>
          </w:p>
        </w:tc>
        <w:tc>
          <w:tcPr>
            <w:tcW w:w="774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账号限制</w:t>
            </w:r>
          </w:p>
        </w:tc>
        <w:tc>
          <w:tcPr>
            <w:tcW w:w="3765" w:type="pct"/>
            <w:gridSpan w:val="3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通过统计账号请求次数</w:t>
            </w:r>
            <w:r>
              <w:rPr>
                <w:rFonts w:hint="eastAsia" w:ascii="黑体" w:hAnsi="黑体" w:eastAsia="黑体"/>
                <w:szCs w:val="21"/>
              </w:rPr>
              <w:t>，</w:t>
            </w:r>
            <w:r>
              <w:rPr>
                <w:rFonts w:ascii="黑体" w:hAnsi="黑体" w:eastAsia="黑体"/>
                <w:szCs w:val="21"/>
              </w:rPr>
              <w:t>观测账号是否异常</w:t>
            </w:r>
            <w:r>
              <w:rPr>
                <w:rFonts w:hint="eastAsia" w:ascii="黑体" w:hAnsi="黑体" w:eastAsia="黑体"/>
                <w:szCs w:val="21"/>
              </w:rPr>
              <w:t>，</w:t>
            </w:r>
            <w:r>
              <w:rPr>
                <w:rFonts w:ascii="黑体" w:hAnsi="黑体" w:eastAsia="黑体"/>
                <w:szCs w:val="21"/>
              </w:rPr>
              <w:t>在账号异常非法访问网址时</w:t>
            </w:r>
            <w:r>
              <w:rPr>
                <w:rFonts w:hint="eastAsia" w:ascii="黑体" w:hAnsi="黑体" w:eastAsia="黑体"/>
                <w:szCs w:val="21"/>
              </w:rPr>
              <w:t>，</w:t>
            </w:r>
            <w:r>
              <w:rPr>
                <w:rFonts w:ascii="黑体" w:hAnsi="黑体" w:eastAsia="黑体"/>
                <w:szCs w:val="21"/>
              </w:rPr>
              <w:t>可以限制账号登录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IP限制</w:t>
            </w:r>
          </w:p>
        </w:tc>
        <w:tc>
          <w:tcPr>
            <w:tcW w:w="3765" w:type="pct"/>
            <w:gridSpan w:val="3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通过统计</w:t>
            </w:r>
            <w:r>
              <w:rPr>
                <w:rFonts w:hint="eastAsia" w:ascii="黑体" w:hAnsi="黑体" w:eastAsia="黑体"/>
                <w:szCs w:val="21"/>
              </w:rPr>
              <w:t>IP地址的请求数量，防止网站被批量访问，如果单个IP地址的访问次数超过限制，则会触发限制访问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9" w:type="pct"/>
            <w:vMerge w:val="continue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4" w:type="pct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访问频率限制</w:t>
            </w:r>
          </w:p>
        </w:tc>
        <w:tc>
          <w:tcPr>
            <w:tcW w:w="3765" w:type="pct"/>
            <w:gridSpan w:val="3"/>
            <w:vAlign w:val="top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通过设定指定时间的访问次数</w:t>
            </w:r>
            <w:r>
              <w:rPr>
                <w:rFonts w:hint="eastAsia" w:ascii="黑体" w:hAnsi="黑体" w:eastAsia="黑体"/>
                <w:szCs w:val="21"/>
              </w:rPr>
              <w:t>（例如，单个IP每分钟只允许访问20次），防止外部爬虫定期批量爬取</w:t>
            </w:r>
          </w:p>
        </w:tc>
      </w:tr>
    </w:tbl>
    <w:p>
      <w:pPr>
        <w:numPr>
          <w:ilvl w:val="-1"/>
          <w:numId w:val="0"/>
        </w:numPr>
        <w:rPr>
          <w:rFonts w:hint="default"/>
          <w:lang w:val="en-US" w:eastAsia="zh-CN"/>
        </w:rPr>
      </w:pPr>
    </w:p>
    <w:p>
      <w:pPr>
        <w:numPr>
          <w:ilvl w:val="-1"/>
          <w:numId w:val="0"/>
        </w:numPr>
        <w:rPr>
          <w:rFonts w:hint="default"/>
          <w:lang w:val="en-US" w:eastAsia="zh-CN"/>
        </w:rPr>
      </w:pPr>
    </w:p>
    <w:p>
      <w:pPr>
        <w:numPr>
          <w:ilvl w:val="-1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043359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90BA7"/>
    <w:multiLevelType w:val="multilevel"/>
    <w:tmpl w:val="25090B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AC6F46"/>
    <w:multiLevelType w:val="multilevel"/>
    <w:tmpl w:val="46AC6F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72"/>
    <w:rsid w:val="00187472"/>
    <w:rsid w:val="001B28DF"/>
    <w:rsid w:val="00352CE2"/>
    <w:rsid w:val="00965BC0"/>
    <w:rsid w:val="1F365621"/>
    <w:rsid w:val="333B5828"/>
    <w:rsid w:val="42281F2F"/>
    <w:rsid w:val="425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3</Pages>
  <Words>114</Words>
  <Characters>650</Characters>
  <Lines>5</Lines>
  <Paragraphs>1</Paragraphs>
  <TotalTime>1</TotalTime>
  <ScaleCrop>false</ScaleCrop>
  <LinksUpToDate>false</LinksUpToDate>
  <CharactersWithSpaces>763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2021-11-29T07:42:00Z</dcterms:created>
  <dc:creator>张滟</dc:creator>
  <cp:lastModifiedBy>仲杰</cp:lastModifiedBy>
  <dcterms:modified xsi:type="dcterms:W3CDTF">2021-12-01T07:43:15Z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EB1EDEAE352545D8A5F5496C57FFCB3F</vt:lpwstr>
  </property>
</Properties>
</file>