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FZXiaoBiaoSong-B05S" w:hAnsi="楷体" w:eastAsia="FZXiaoBiaoSong-B05S"/>
          <w:sz w:val="32"/>
          <w:szCs w:val="32"/>
        </w:rPr>
      </w:pPr>
      <w:r>
        <w:rPr>
          <w:rFonts w:hint="eastAsia" w:ascii="FZXiaoBiaoSong-B05S" w:hAnsi="楷体" w:eastAsia="FZXiaoBiaoSong-B05S"/>
          <w:sz w:val="32"/>
          <w:szCs w:val="32"/>
        </w:rPr>
        <w:t>上海海事大学教务系统等级保护安全服务项目</w:t>
      </w:r>
    </w:p>
    <w:p>
      <w:pPr>
        <w:spacing w:line="360" w:lineRule="auto"/>
        <w:jc w:val="center"/>
        <w:rPr>
          <w:rFonts w:ascii="FZXiaoBiaoSong-B05S" w:hAnsi="楷体" w:eastAsia="FZXiaoBiaoSong-B05S"/>
          <w:sz w:val="32"/>
          <w:szCs w:val="32"/>
        </w:rPr>
      </w:pPr>
      <w:r>
        <w:rPr>
          <w:rFonts w:hint="eastAsia" w:ascii="FZXiaoBiaoSong-B05S" w:hAnsi="楷体" w:eastAsia="FZXiaoBiaoSong-B05S"/>
          <w:sz w:val="32"/>
          <w:szCs w:val="32"/>
        </w:rPr>
        <w:t>服务技术要求</w:t>
      </w:r>
    </w:p>
    <w:p>
      <w:pPr>
        <w:spacing w:line="360" w:lineRule="auto"/>
        <w:rPr>
          <w:rFonts w:ascii="黑体" w:hAnsi="黑体" w:eastAsia="黑体"/>
        </w:rPr>
      </w:pPr>
      <w:r>
        <w:rPr>
          <w:rFonts w:hint="eastAsia" w:ascii="黑体" w:hAnsi="黑体" w:eastAsia="黑体"/>
        </w:rPr>
        <w:t>一、现状</w:t>
      </w:r>
    </w:p>
    <w:p>
      <w:pPr>
        <w:spacing w:line="360" w:lineRule="auto"/>
        <w:ind w:firstLine="440" w:firstLineChars="200"/>
        <w:rPr>
          <w:rFonts w:ascii="宋体" w:hAnsi="宋体" w:eastAsia="宋体"/>
          <w:sz w:val="22"/>
          <w:lang w:eastAsia="zh-Hans"/>
        </w:rPr>
      </w:pPr>
      <w:r>
        <w:rPr>
          <w:rFonts w:hint="eastAsia" w:ascii="宋体" w:hAnsi="宋体" w:eastAsia="宋体"/>
          <w:sz w:val="22"/>
        </w:rPr>
        <w:t>上海海事大学教务系统是学校教学管理的核心部件，承载了教师信息管理、教学过程管理、学生成绩管理、教学反馈、毕业设计（</w:t>
      </w:r>
      <w:r>
        <w:rPr>
          <w:rFonts w:ascii="宋体" w:hAnsi="宋体" w:eastAsia="宋体"/>
          <w:sz w:val="22"/>
        </w:rPr>
        <w:t>论文</w:t>
      </w:r>
      <w:r>
        <w:rPr>
          <w:rFonts w:hint="eastAsia" w:ascii="宋体" w:hAnsi="宋体" w:eastAsia="宋体"/>
          <w:sz w:val="22"/>
        </w:rPr>
        <w:t>）</w:t>
      </w:r>
      <w:r>
        <w:rPr>
          <w:rFonts w:ascii="宋体" w:hAnsi="宋体" w:eastAsia="宋体"/>
          <w:sz w:val="22"/>
        </w:rPr>
        <w:t>管理</w:t>
      </w:r>
      <w:r>
        <w:rPr>
          <w:rFonts w:hint="eastAsia" w:ascii="宋体" w:hAnsi="宋体" w:eastAsia="宋体"/>
          <w:sz w:val="22"/>
        </w:rPr>
        <w:t>、</w:t>
      </w:r>
      <w:r>
        <w:rPr>
          <w:rFonts w:ascii="宋体" w:hAnsi="宋体" w:eastAsia="宋体"/>
          <w:sz w:val="22"/>
        </w:rPr>
        <w:t>教材</w:t>
      </w:r>
      <w:r>
        <w:rPr>
          <w:rFonts w:hint="eastAsia" w:ascii="宋体" w:hAnsi="宋体" w:eastAsia="宋体"/>
          <w:sz w:val="22"/>
        </w:rPr>
        <w:t>管理等等多个核心功能，在日常教学管理服务活动中发挥着极其重要作用。</w:t>
      </w:r>
      <w:r>
        <w:rPr>
          <w:rFonts w:hint="eastAsia" w:ascii="宋体" w:hAnsi="宋体" w:eastAsia="宋体"/>
          <w:sz w:val="22"/>
          <w:lang w:eastAsia="zh-Hans"/>
        </w:rPr>
        <w:t>系统共有应用服务器</w:t>
      </w:r>
      <w:r>
        <w:rPr>
          <w:rFonts w:ascii="宋体" w:hAnsi="宋体" w:eastAsia="宋体"/>
          <w:sz w:val="22"/>
          <w:lang w:eastAsia="zh-Hans"/>
        </w:rPr>
        <w:t>10</w:t>
      </w:r>
      <w:r>
        <w:rPr>
          <w:rFonts w:hint="eastAsia" w:ascii="宋体" w:hAnsi="宋体" w:eastAsia="宋体"/>
          <w:sz w:val="22"/>
          <w:lang w:eastAsia="zh-Hans"/>
        </w:rPr>
        <w:t>台</w:t>
      </w:r>
      <w:r>
        <w:rPr>
          <w:rFonts w:ascii="宋体" w:hAnsi="宋体" w:eastAsia="宋体"/>
          <w:sz w:val="22"/>
          <w:lang w:eastAsia="zh-Hans"/>
        </w:rPr>
        <w:t>（</w:t>
      </w:r>
      <w:r>
        <w:rPr>
          <w:rFonts w:hint="eastAsia" w:ascii="宋体" w:hAnsi="宋体" w:eastAsia="宋体"/>
          <w:sz w:val="22"/>
          <w:lang w:eastAsia="zh-Hans"/>
        </w:rPr>
        <w:t>含负载均衡</w:t>
      </w:r>
      <w:r>
        <w:rPr>
          <w:rFonts w:ascii="宋体" w:hAnsi="宋体" w:eastAsia="宋体"/>
          <w:sz w:val="22"/>
          <w:lang w:eastAsia="zh-Hans"/>
        </w:rPr>
        <w:t>、</w:t>
      </w:r>
      <w:r>
        <w:rPr>
          <w:rFonts w:hint="eastAsia" w:ascii="宋体" w:hAnsi="宋体" w:eastAsia="宋体"/>
          <w:sz w:val="22"/>
          <w:lang w:eastAsia="zh-Hans"/>
        </w:rPr>
        <w:t>网络文件服务器</w:t>
      </w:r>
      <w:r>
        <w:rPr>
          <w:rFonts w:ascii="宋体" w:hAnsi="宋体" w:eastAsia="宋体"/>
          <w:sz w:val="22"/>
          <w:lang w:eastAsia="zh-Hans"/>
        </w:rPr>
        <w:t>）；</w:t>
      </w:r>
      <w:r>
        <w:rPr>
          <w:rFonts w:hint="eastAsia" w:ascii="宋体" w:hAnsi="宋体" w:eastAsia="宋体"/>
          <w:sz w:val="22"/>
          <w:lang w:eastAsia="zh-Hans"/>
        </w:rPr>
        <w:t>数据库位于学校核心数据库</w:t>
      </w:r>
      <w:r>
        <w:rPr>
          <w:rFonts w:ascii="宋体" w:hAnsi="宋体" w:eastAsia="宋体"/>
          <w:sz w:val="22"/>
          <w:lang w:eastAsia="zh-Hans"/>
        </w:rPr>
        <w:t>Oracle Rac</w:t>
      </w:r>
      <w:r>
        <w:rPr>
          <w:rFonts w:hint="eastAsia" w:ascii="宋体" w:hAnsi="宋体" w:eastAsia="宋体"/>
          <w:sz w:val="22"/>
        </w:rPr>
        <w:t>。</w:t>
      </w:r>
    </w:p>
    <w:p>
      <w:pPr>
        <w:spacing w:line="360" w:lineRule="auto"/>
        <w:ind w:firstLine="440" w:firstLineChars="200"/>
        <w:rPr>
          <w:rFonts w:ascii="宋体" w:hAnsi="宋体" w:eastAsia="宋体"/>
          <w:sz w:val="22"/>
        </w:rPr>
      </w:pPr>
      <w:r>
        <w:rPr>
          <w:rFonts w:hint="eastAsia" w:ascii="宋体" w:hAnsi="宋体" w:eastAsia="宋体"/>
          <w:sz w:val="22"/>
        </w:rPr>
        <w:t>根据教育部、市教委在信息系统安全方面的工作指导与要求，参照国家信息系统安全等级保护基本要求，我校计划对学校教务系统进行差距分析、建设整改，并通过国家相关等级保护测评机构的测评。通过本项目建立与完善我校教务系统信息安全保障体系，提高校园信息化的管理与服务水平。</w:t>
      </w:r>
    </w:p>
    <w:p>
      <w:pPr>
        <w:spacing w:line="360" w:lineRule="auto"/>
        <w:rPr>
          <w:rFonts w:ascii="黑体" w:hAnsi="黑体" w:eastAsia="黑体"/>
        </w:rPr>
      </w:pPr>
      <w:bookmarkStart w:id="0" w:name="_Toc445675049"/>
      <w:r>
        <w:rPr>
          <w:rFonts w:hint="eastAsia" w:ascii="黑体" w:hAnsi="黑体" w:eastAsia="黑体"/>
        </w:rPr>
        <w:t>二、服务范围</w:t>
      </w:r>
      <w:bookmarkEnd w:id="0"/>
    </w:p>
    <w:p>
      <w:pPr>
        <w:spacing w:line="360" w:lineRule="auto"/>
        <w:ind w:firstLine="440" w:firstLineChars="200"/>
        <w:rPr>
          <w:rFonts w:ascii="宋体" w:hAnsi="宋体" w:eastAsia="宋体"/>
          <w:sz w:val="22"/>
        </w:rPr>
      </w:pPr>
      <w:r>
        <w:rPr>
          <w:rFonts w:hint="eastAsia" w:ascii="宋体" w:hAnsi="宋体" w:eastAsia="宋体"/>
          <w:sz w:val="22"/>
        </w:rPr>
        <w:t>1、完成教务系统的等保差距分析报告与测评方案；</w:t>
      </w:r>
    </w:p>
    <w:p>
      <w:pPr>
        <w:spacing w:line="360" w:lineRule="auto"/>
        <w:ind w:firstLine="440" w:firstLineChars="200"/>
        <w:rPr>
          <w:rFonts w:ascii="宋体" w:hAnsi="宋体" w:eastAsia="宋体"/>
          <w:sz w:val="22"/>
        </w:rPr>
      </w:pPr>
      <w:r>
        <w:rPr>
          <w:rFonts w:ascii="宋体" w:hAnsi="宋体" w:eastAsia="宋体"/>
          <w:sz w:val="22"/>
        </w:rPr>
        <w:t>2</w:t>
      </w:r>
      <w:r>
        <w:rPr>
          <w:rFonts w:hint="eastAsia" w:ascii="宋体" w:hAnsi="宋体" w:eastAsia="宋体"/>
          <w:sz w:val="22"/>
        </w:rPr>
        <w:t>、完成教务系统的等保测评，并出具信息系统等级保护二级的测评报告。</w:t>
      </w:r>
    </w:p>
    <w:p>
      <w:pPr>
        <w:spacing w:line="360" w:lineRule="auto"/>
        <w:rPr>
          <w:rFonts w:ascii="黑体" w:hAnsi="黑体" w:eastAsia="黑体"/>
        </w:rPr>
      </w:pPr>
      <w:bookmarkStart w:id="1" w:name="_Toc445675050"/>
      <w:r>
        <w:rPr>
          <w:rFonts w:hint="eastAsia" w:ascii="黑体" w:hAnsi="黑体" w:eastAsia="黑体"/>
        </w:rPr>
        <w:t>三、服务需求及相关要求</w:t>
      </w:r>
      <w:bookmarkEnd w:id="1"/>
    </w:p>
    <w:p>
      <w:pPr>
        <w:spacing w:line="360" w:lineRule="auto"/>
        <w:ind w:firstLine="440" w:firstLineChars="200"/>
        <w:rPr>
          <w:rFonts w:ascii="宋体" w:hAnsi="宋体" w:eastAsia="宋体"/>
          <w:sz w:val="22"/>
        </w:rPr>
      </w:pPr>
      <w:bookmarkStart w:id="2" w:name="_Toc445674783"/>
      <w:r>
        <w:rPr>
          <w:rFonts w:hint="eastAsia" w:ascii="宋体" w:hAnsi="宋体" w:eastAsia="宋体"/>
          <w:sz w:val="22"/>
        </w:rPr>
        <w:t>1、完成教务系统的等保差距分析与</w:t>
      </w:r>
      <w:bookmarkEnd w:id="2"/>
      <w:r>
        <w:rPr>
          <w:rFonts w:hint="eastAsia" w:ascii="宋体" w:hAnsi="宋体" w:eastAsia="宋体"/>
          <w:sz w:val="22"/>
        </w:rPr>
        <w:t>测评方案：完成教务系统的预评估，进行等级保护差异分析并形成初期测评方案，具体工作包括：</w:t>
      </w:r>
    </w:p>
    <w:p>
      <w:pPr>
        <w:spacing w:line="360" w:lineRule="auto"/>
        <w:ind w:firstLine="440" w:firstLineChars="200"/>
        <w:rPr>
          <w:rFonts w:ascii="宋体" w:hAnsi="宋体" w:eastAsia="宋体"/>
          <w:sz w:val="22"/>
        </w:rPr>
      </w:pPr>
      <w:r>
        <w:rPr>
          <w:rFonts w:ascii="宋体" w:hAnsi="宋体" w:eastAsia="宋体"/>
          <w:sz w:val="22"/>
        </w:rPr>
        <w:t>(1)</w:t>
      </w:r>
      <w:r>
        <w:fldChar w:fldCharType="begin"/>
      </w:r>
      <w:r>
        <w:instrText xml:space="preserve"> HYPERLINK \l "_Toc430701100" </w:instrText>
      </w:r>
      <w:r>
        <w:fldChar w:fldCharType="separate"/>
      </w:r>
      <w:r>
        <w:rPr>
          <w:rFonts w:ascii="宋体" w:hAnsi="宋体" w:eastAsia="宋体"/>
          <w:sz w:val="22"/>
        </w:rPr>
        <w:t>等级保护差异</w:t>
      </w:r>
      <w:r>
        <w:rPr>
          <w:rFonts w:hint="eastAsia" w:ascii="宋体" w:hAnsi="宋体" w:eastAsia="宋体"/>
          <w:sz w:val="22"/>
        </w:rPr>
        <w:t>分析评估：</w:t>
      </w:r>
      <w:r>
        <w:rPr>
          <w:rFonts w:hint="eastAsia" w:ascii="宋体" w:hAnsi="宋体" w:eastAsia="宋体"/>
          <w:sz w:val="22"/>
        </w:rPr>
        <w:fldChar w:fldCharType="end"/>
      </w:r>
      <w:r>
        <w:rPr>
          <w:rFonts w:hint="eastAsia" w:ascii="宋体" w:hAnsi="宋体" w:eastAsia="宋体"/>
          <w:sz w:val="22"/>
        </w:rPr>
        <w:t>信息安全等级保护整改差距分析是开展等级保护整改工作的前提和依据，将行业等级保护整改的各项要求与学校信息安全管理现状进行比较分析，从管理和技术两个层面找出存在的问题。等保整改差异分析主要是以《信息系统安全等级保护基本要求2.0》中安全通用要求为指导，首先要求进行安全现状调研和风险评估，根据风险评估的结果与等级保护基本要求进行差距分析，为等保整改方案提供依据和指导。承建测评机构须根据等保要求，对系统进行全面预评测检查和评估，并在此基础上形成分析报告。</w:t>
      </w:r>
    </w:p>
    <w:p>
      <w:pPr>
        <w:spacing w:line="360" w:lineRule="auto"/>
        <w:ind w:firstLine="440" w:firstLineChars="200"/>
        <w:rPr>
          <w:rFonts w:ascii="宋体" w:hAnsi="宋体" w:eastAsia="宋体"/>
          <w:sz w:val="22"/>
        </w:rPr>
      </w:pPr>
      <w:r>
        <w:rPr>
          <w:rFonts w:ascii="宋体" w:hAnsi="宋体" w:eastAsia="宋体"/>
          <w:sz w:val="22"/>
        </w:rPr>
        <w:t>(2)</w:t>
      </w:r>
      <w:r>
        <w:fldChar w:fldCharType="begin"/>
      </w:r>
      <w:r>
        <w:instrText xml:space="preserve"> HYPERLINK \l "_Toc430701100" </w:instrText>
      </w:r>
      <w:r>
        <w:fldChar w:fldCharType="separate"/>
      </w:r>
      <w:r>
        <w:rPr>
          <w:rFonts w:ascii="宋体" w:hAnsi="宋体" w:eastAsia="宋体"/>
          <w:sz w:val="22"/>
        </w:rPr>
        <w:t>等级保护</w:t>
      </w:r>
      <w:r>
        <w:rPr>
          <w:rFonts w:hint="eastAsia" w:ascii="宋体" w:hAnsi="宋体" w:eastAsia="宋体"/>
          <w:sz w:val="22"/>
        </w:rPr>
        <w:t>测评服务：</w:t>
      </w:r>
      <w:r>
        <w:rPr>
          <w:rFonts w:hint="eastAsia" w:ascii="宋体" w:hAnsi="宋体" w:eastAsia="宋体"/>
          <w:sz w:val="22"/>
        </w:rPr>
        <w:fldChar w:fldCharType="end"/>
      </w:r>
      <w:r>
        <w:rPr>
          <w:rFonts w:hint="eastAsia" w:ascii="宋体" w:hAnsi="宋体" w:eastAsia="宋体"/>
          <w:sz w:val="22"/>
        </w:rPr>
        <w:t>信息安全等级保护整改方案是在梳理差距分析的基础上，</w:t>
      </w:r>
      <w:bookmarkStart w:id="3" w:name="_Toc430701121"/>
      <w:bookmarkStart w:id="4" w:name="_Toc445674784"/>
      <w:r>
        <w:rPr>
          <w:rFonts w:hint="eastAsia" w:ascii="宋体" w:hAnsi="宋体" w:eastAsia="宋体"/>
          <w:sz w:val="22"/>
        </w:rPr>
        <w:t>海事完成相关整改工作后按照国家相关等保测评标准及要求进行最终等级保护测评工作，并按照实际情况出具安全等级测评报告。</w:t>
      </w:r>
    </w:p>
    <w:p>
      <w:pPr>
        <w:spacing w:line="360" w:lineRule="auto"/>
        <w:ind w:firstLine="440" w:firstLineChars="200"/>
        <w:rPr>
          <w:rFonts w:ascii="宋体" w:hAnsi="宋体" w:eastAsia="宋体"/>
          <w:sz w:val="22"/>
        </w:rPr>
      </w:pPr>
      <w:r>
        <w:rPr>
          <w:rFonts w:hint="eastAsia" w:ascii="宋体" w:hAnsi="宋体" w:eastAsia="宋体"/>
          <w:sz w:val="22"/>
        </w:rPr>
        <w:t>2、等级保护测评</w:t>
      </w:r>
      <w:bookmarkEnd w:id="3"/>
      <w:bookmarkEnd w:id="4"/>
    </w:p>
    <w:p>
      <w:pPr>
        <w:spacing w:line="360" w:lineRule="auto"/>
        <w:ind w:firstLine="440" w:firstLineChars="200"/>
        <w:rPr>
          <w:rFonts w:ascii="宋体" w:hAnsi="宋体" w:eastAsia="宋体"/>
          <w:sz w:val="22"/>
        </w:rPr>
      </w:pPr>
      <w:r>
        <w:rPr>
          <w:rFonts w:hint="eastAsia" w:ascii="宋体" w:hAnsi="宋体" w:eastAsia="宋体"/>
          <w:sz w:val="22"/>
        </w:rPr>
        <w:t>参照GB/T 22239-2019《信息安全技术网络安全等级保护基本要求》要求开展系统等级保护安全测评；</w:t>
      </w:r>
    </w:p>
    <w:p>
      <w:pPr>
        <w:spacing w:line="360" w:lineRule="auto"/>
        <w:rPr>
          <w:rFonts w:ascii="黑体" w:hAnsi="黑体" w:eastAsia="黑体"/>
        </w:rPr>
      </w:pPr>
      <w:bookmarkStart w:id="5" w:name="_Toc445675052"/>
      <w:r>
        <w:rPr>
          <w:rFonts w:hint="eastAsia" w:ascii="黑体" w:hAnsi="黑体" w:eastAsia="黑体"/>
        </w:rPr>
        <w:t>四、投标内容要求</w:t>
      </w:r>
      <w:bookmarkEnd w:id="5"/>
    </w:p>
    <w:p>
      <w:pPr>
        <w:spacing w:line="360" w:lineRule="auto"/>
        <w:ind w:firstLine="420" w:firstLineChars="200"/>
        <w:rPr>
          <w:sz w:val="21"/>
          <w:szCs w:val="21"/>
        </w:rPr>
      </w:pPr>
      <w:r>
        <w:rPr>
          <w:rFonts w:hint="eastAsia"/>
          <w:sz w:val="21"/>
          <w:szCs w:val="21"/>
        </w:rPr>
        <w:t>为保证招标人客观公正地选择合作伙伴，投标人提供的报价资料中除具有上述各条款要求的技术方案外，投标人还需提供以下相关材料：</w:t>
      </w:r>
    </w:p>
    <w:p>
      <w:pPr>
        <w:numPr>
          <w:ilvl w:val="0"/>
          <w:numId w:val="1"/>
        </w:numPr>
        <w:spacing w:line="360" w:lineRule="auto"/>
        <w:rPr>
          <w:sz w:val="21"/>
          <w:szCs w:val="21"/>
        </w:rPr>
      </w:pPr>
      <w:r>
        <w:rPr>
          <w:rFonts w:hint="eastAsia"/>
          <w:sz w:val="21"/>
          <w:szCs w:val="21"/>
        </w:rPr>
        <w:t>公司营业执照复印件（加盖公章）。</w:t>
      </w:r>
    </w:p>
    <w:p>
      <w:pPr>
        <w:numPr>
          <w:ilvl w:val="0"/>
          <w:numId w:val="1"/>
        </w:numPr>
        <w:spacing w:line="360" w:lineRule="auto"/>
        <w:rPr>
          <w:sz w:val="21"/>
          <w:szCs w:val="21"/>
        </w:rPr>
      </w:pPr>
      <w:r>
        <w:rPr>
          <w:rFonts w:hint="eastAsia"/>
          <w:sz w:val="21"/>
          <w:szCs w:val="21"/>
        </w:rPr>
        <w:t>报价单（附件二）。</w:t>
      </w:r>
    </w:p>
    <w:p>
      <w:pPr>
        <w:numPr>
          <w:ilvl w:val="0"/>
          <w:numId w:val="1"/>
        </w:numPr>
        <w:spacing w:line="360" w:lineRule="auto"/>
        <w:rPr>
          <w:sz w:val="21"/>
          <w:szCs w:val="21"/>
        </w:rPr>
      </w:pPr>
      <w:r>
        <w:rPr>
          <w:rFonts w:hint="eastAsia"/>
          <w:sz w:val="21"/>
          <w:szCs w:val="21"/>
        </w:rPr>
        <w:t>拟选派的项目组成员名单及相关技能证明以及项目小组的组织结构等的描述。</w:t>
      </w:r>
    </w:p>
    <w:p>
      <w:pPr>
        <w:numPr>
          <w:ilvl w:val="0"/>
          <w:numId w:val="1"/>
        </w:numPr>
        <w:spacing w:line="360" w:lineRule="auto"/>
        <w:rPr>
          <w:sz w:val="21"/>
          <w:szCs w:val="21"/>
        </w:rPr>
      </w:pPr>
      <w:r>
        <w:rPr>
          <w:rFonts w:hint="eastAsia"/>
          <w:sz w:val="21"/>
          <w:szCs w:val="21"/>
        </w:rPr>
        <w:t>项目实施方案、项目质量控制措施、项目文档管理措施等的详细说明。</w:t>
      </w:r>
    </w:p>
    <w:p>
      <w:pPr>
        <w:numPr>
          <w:ilvl w:val="0"/>
          <w:numId w:val="1"/>
        </w:numPr>
        <w:spacing w:line="360" w:lineRule="auto"/>
        <w:rPr>
          <w:sz w:val="21"/>
          <w:szCs w:val="21"/>
        </w:rPr>
      </w:pPr>
      <w:r>
        <w:rPr>
          <w:rFonts w:hint="eastAsia"/>
          <w:sz w:val="21"/>
          <w:szCs w:val="21"/>
        </w:rPr>
        <w:t>项目完成周期。</w:t>
      </w:r>
    </w:p>
    <w:p>
      <w:pPr>
        <w:spacing w:line="360" w:lineRule="auto"/>
        <w:rPr>
          <w:rFonts w:ascii="黑体" w:hAnsi="黑体" w:eastAsia="黑体"/>
        </w:rPr>
      </w:pPr>
      <w:bookmarkStart w:id="6" w:name="_Toc445675053"/>
      <w:r>
        <w:rPr>
          <w:rFonts w:hint="eastAsia" w:ascii="黑体" w:hAnsi="黑体" w:eastAsia="黑体"/>
        </w:rPr>
        <w:t>五、投标人资质要求</w:t>
      </w:r>
      <w:bookmarkEnd w:id="6"/>
    </w:p>
    <w:p>
      <w:pPr>
        <w:spacing w:line="360" w:lineRule="auto"/>
        <w:ind w:firstLine="239"/>
        <w:rPr>
          <w:b/>
          <w:sz w:val="21"/>
          <w:szCs w:val="21"/>
        </w:rPr>
      </w:pPr>
      <w:bookmarkStart w:id="7" w:name="_Toc445674788"/>
      <w:r>
        <w:rPr>
          <w:rFonts w:hint="eastAsia"/>
          <w:b/>
          <w:sz w:val="21"/>
          <w:szCs w:val="21"/>
        </w:rPr>
        <w:t>参与我校等级保护项目的投标人，具有以下资质和案例，将优先选择：</w:t>
      </w:r>
      <w:bookmarkEnd w:id="7"/>
    </w:p>
    <w:p>
      <w:pPr>
        <w:spacing w:line="360" w:lineRule="auto"/>
        <w:ind w:left="274" w:leftChars="114" w:firstLine="210" w:firstLineChars="100"/>
        <w:rPr>
          <w:sz w:val="21"/>
          <w:szCs w:val="21"/>
        </w:rPr>
      </w:pPr>
      <w:r>
        <w:rPr>
          <w:rFonts w:hint="eastAsia"/>
          <w:sz w:val="21"/>
          <w:szCs w:val="21"/>
        </w:rPr>
        <w:t>1)</w:t>
      </w:r>
      <w:r>
        <w:rPr>
          <w:rFonts w:hint="eastAsia"/>
          <w:sz w:val="21"/>
          <w:szCs w:val="21"/>
        </w:rPr>
        <w:tab/>
      </w:r>
      <w:r>
        <w:rPr>
          <w:rFonts w:hint="eastAsia"/>
          <w:sz w:val="21"/>
          <w:szCs w:val="21"/>
        </w:rPr>
        <w:t>投标人应在中国境内（不包括香港、澳门、台湾地区）有效注册，具有独立承担民事责任的能力（须提供营业执照复印件并加盖公章）；</w:t>
      </w:r>
    </w:p>
    <w:p>
      <w:pPr>
        <w:spacing w:line="360" w:lineRule="auto"/>
        <w:ind w:left="274" w:leftChars="114" w:firstLine="210" w:firstLineChars="100"/>
        <w:rPr>
          <w:sz w:val="21"/>
          <w:szCs w:val="21"/>
        </w:rPr>
      </w:pPr>
      <w:r>
        <w:rPr>
          <w:rFonts w:hint="eastAsia"/>
          <w:sz w:val="21"/>
          <w:szCs w:val="21"/>
        </w:rPr>
        <w:t>2)</w:t>
      </w:r>
      <w:r>
        <w:rPr>
          <w:rFonts w:hint="eastAsia"/>
          <w:sz w:val="21"/>
          <w:szCs w:val="21"/>
        </w:rPr>
        <w:tab/>
      </w:r>
      <w:r>
        <w:rPr>
          <w:rFonts w:hint="eastAsia"/>
          <w:sz w:val="21"/>
          <w:szCs w:val="21"/>
        </w:rPr>
        <w:t>投标人须具有《网络安全等级测评与检测评估机构服务认证证书》（须提供证书复印件）；</w:t>
      </w:r>
    </w:p>
    <w:p>
      <w:pPr>
        <w:spacing w:line="360" w:lineRule="auto"/>
        <w:ind w:left="274" w:leftChars="114" w:firstLine="210" w:firstLineChars="100"/>
        <w:rPr>
          <w:sz w:val="21"/>
          <w:szCs w:val="21"/>
        </w:rPr>
      </w:pPr>
      <w:r>
        <w:rPr>
          <w:rFonts w:hint="eastAsia"/>
          <w:sz w:val="21"/>
          <w:szCs w:val="21"/>
        </w:rPr>
        <w:t>3)</w:t>
      </w:r>
      <w:r>
        <w:rPr>
          <w:rFonts w:hint="eastAsia"/>
          <w:sz w:val="21"/>
          <w:szCs w:val="21"/>
        </w:rPr>
        <w:tab/>
      </w:r>
      <w:r>
        <w:rPr>
          <w:rFonts w:hint="eastAsia"/>
          <w:sz w:val="21"/>
          <w:szCs w:val="21"/>
        </w:rPr>
        <w:t>投标人具履行合同所必需的设备和专业技术能力；</w:t>
      </w:r>
    </w:p>
    <w:p>
      <w:pPr>
        <w:spacing w:line="360" w:lineRule="auto"/>
        <w:ind w:left="274" w:leftChars="114" w:firstLine="210" w:firstLineChars="100"/>
        <w:rPr>
          <w:sz w:val="21"/>
          <w:szCs w:val="21"/>
        </w:rPr>
      </w:pPr>
      <w:r>
        <w:rPr>
          <w:rFonts w:hint="eastAsia"/>
          <w:sz w:val="21"/>
          <w:szCs w:val="21"/>
        </w:rPr>
        <w:t>4)</w:t>
      </w:r>
      <w:r>
        <w:rPr>
          <w:rFonts w:hint="eastAsia"/>
          <w:sz w:val="21"/>
          <w:szCs w:val="21"/>
        </w:rPr>
        <w:tab/>
      </w:r>
      <w:r>
        <w:rPr>
          <w:rFonts w:hint="eastAsia"/>
          <w:sz w:val="21"/>
          <w:szCs w:val="21"/>
        </w:rPr>
        <w:t>投标人具类似信息系统安全服务业绩（须提供合同复印件）；</w:t>
      </w:r>
    </w:p>
    <w:p>
      <w:pPr>
        <w:spacing w:line="360" w:lineRule="auto"/>
        <w:ind w:left="274" w:leftChars="114" w:firstLine="210" w:firstLineChars="100"/>
      </w:pPr>
      <w:r>
        <w:rPr>
          <w:rFonts w:hint="eastAsia"/>
          <w:sz w:val="21"/>
          <w:szCs w:val="21"/>
        </w:rPr>
        <w:t>5)</w:t>
      </w:r>
      <w:r>
        <w:rPr>
          <w:rFonts w:hint="eastAsia"/>
          <w:sz w:val="21"/>
          <w:szCs w:val="21"/>
        </w:rPr>
        <w:tab/>
      </w:r>
      <w:r>
        <w:rPr>
          <w:rFonts w:hint="eastAsia"/>
          <w:sz w:val="21"/>
          <w:szCs w:val="21"/>
        </w:rPr>
        <w:t>参加本次招标活</w:t>
      </w:r>
      <w:bookmarkStart w:id="9" w:name="_GoBack"/>
      <w:bookmarkEnd w:id="9"/>
      <w:r>
        <w:rPr>
          <w:rFonts w:hint="eastAsia"/>
          <w:sz w:val="21"/>
          <w:szCs w:val="21"/>
        </w:rPr>
        <w:t>动前三年内，投标人在经营活动中没有重大违法记录，无利用不正当竞争手段骗取中标，无重大经济刑事案件，无因自身的任何违约、违法及违反商业道德的行为而导致合同解除或败诉。（投标时须提供声明函）；</w:t>
      </w:r>
    </w:p>
    <w:p>
      <w:pPr>
        <w:spacing w:line="360" w:lineRule="auto"/>
        <w:rPr>
          <w:rFonts w:ascii="黑体" w:hAnsi="黑体" w:eastAsia="黑体"/>
        </w:rPr>
      </w:pPr>
      <w:bookmarkStart w:id="8" w:name="_Toc445675054"/>
      <w:r>
        <w:rPr>
          <w:rFonts w:hint="eastAsia" w:ascii="黑体" w:hAnsi="黑体" w:eastAsia="黑体"/>
        </w:rPr>
        <w:t>六、其他要求</w:t>
      </w:r>
      <w:bookmarkEnd w:id="8"/>
    </w:p>
    <w:p>
      <w:pPr>
        <w:spacing w:line="360" w:lineRule="auto"/>
        <w:ind w:firstLine="420" w:firstLineChars="200"/>
        <w:rPr>
          <w:sz w:val="21"/>
          <w:szCs w:val="21"/>
        </w:rPr>
      </w:pPr>
      <w:r>
        <w:rPr>
          <w:rFonts w:hint="eastAsia"/>
          <w:sz w:val="21"/>
          <w:szCs w:val="21"/>
        </w:rPr>
        <w:t>1．</w:t>
      </w:r>
      <w:r>
        <w:rPr>
          <w:sz w:val="21"/>
          <w:szCs w:val="21"/>
        </w:rPr>
        <w:t xml:space="preserve"> </w:t>
      </w:r>
      <w:r>
        <w:rPr>
          <w:rFonts w:hint="eastAsia"/>
          <w:sz w:val="21"/>
          <w:szCs w:val="21"/>
        </w:rPr>
        <w:t>项目实施周期要求在合同签署后3个月内完成。</w:t>
      </w:r>
    </w:p>
    <w:p>
      <w:pPr>
        <w:spacing w:line="360" w:lineRule="auto"/>
        <w:ind w:firstLine="420" w:firstLineChars="200"/>
        <w:rPr>
          <w:rFonts w:ascii="宋体" w:hAnsi="宋体"/>
          <w:b/>
          <w:sz w:val="21"/>
          <w:szCs w:val="21"/>
        </w:rPr>
      </w:pPr>
      <w:r>
        <w:rPr>
          <w:rFonts w:hint="eastAsia"/>
          <w:sz w:val="21"/>
          <w:szCs w:val="21"/>
        </w:rPr>
        <w:t>2.</w:t>
      </w:r>
      <w:r>
        <w:rPr>
          <w:rFonts w:hint="eastAsia"/>
          <w:sz w:val="21"/>
          <w:szCs w:val="21"/>
        </w:rPr>
        <w:tab/>
      </w:r>
      <w:r>
        <w:rPr>
          <w:rFonts w:hint="eastAsia"/>
          <w:sz w:val="21"/>
          <w:szCs w:val="21"/>
        </w:rPr>
        <w:t>报价为闭口合同报价包含对系统的评测费用。</w:t>
      </w:r>
    </w:p>
    <w:p>
      <w:pPr>
        <w:spacing w:line="360" w:lineRule="auto"/>
        <w:ind w:firstLine="420" w:firstLineChars="200"/>
        <w:rPr>
          <w:sz w:val="21"/>
          <w:szCs w:val="21"/>
        </w:rPr>
      </w:pPr>
      <w:r>
        <w:rPr>
          <w:rFonts w:hint="eastAsia"/>
          <w:sz w:val="21"/>
          <w:szCs w:val="21"/>
        </w:rPr>
        <w:t>3.</w:t>
      </w:r>
      <w:r>
        <w:rPr>
          <w:rFonts w:hint="eastAsia"/>
          <w:sz w:val="21"/>
          <w:szCs w:val="21"/>
        </w:rPr>
        <w:tab/>
      </w:r>
      <w:r>
        <w:rPr>
          <w:rFonts w:hint="eastAsia"/>
          <w:sz w:val="21"/>
          <w:szCs w:val="21"/>
        </w:rPr>
        <w:t>报价不得超过10万人民币，否则视为无效报价。</w:t>
      </w:r>
    </w:p>
    <w:p>
      <w:pPr>
        <w:pStyle w:val="6"/>
        <w:spacing w:line="360" w:lineRule="auto"/>
        <w:rPr>
          <w:rFonts w:ascii="宋体" w:hAnsi="宋体" w:eastAsia="宋体"/>
          <w:sz w:val="21"/>
          <w:szCs w:val="21"/>
        </w:rPr>
      </w:pPr>
      <w:r>
        <w:rPr>
          <w:rFonts w:hint="eastAsia"/>
          <w:sz w:val="21"/>
          <w:szCs w:val="21"/>
        </w:rPr>
        <w:t>4</w:t>
      </w:r>
      <w:r>
        <w:rPr>
          <w:sz w:val="21"/>
          <w:szCs w:val="21"/>
        </w:rPr>
        <w:t xml:space="preserve">.  </w:t>
      </w:r>
      <w:r>
        <w:rPr>
          <w:rFonts w:hint="eastAsia" w:ascii="宋体" w:hAnsi="宋体" w:eastAsia="宋体"/>
          <w:sz w:val="21"/>
          <w:szCs w:val="21"/>
        </w:rPr>
        <w:t>鉴于该系统为学校教学管理的核心系统，若中标方实施未能满足甲方需求，甲方有权单方面无偿中止合同。</w:t>
      </w:r>
    </w:p>
    <w:p>
      <w:pPr>
        <w:spacing w:line="360" w:lineRule="auto"/>
        <w:ind w:firstLine="420" w:firstLineChars="200"/>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、完成所有服务工作后，乙方提出申请并出具测评报告</w:t>
      </w:r>
      <w:r>
        <w:rPr>
          <w:rFonts w:ascii="宋体" w:hAnsi="宋体" w:eastAsia="宋体"/>
          <w:sz w:val="21"/>
          <w:szCs w:val="21"/>
        </w:rPr>
        <w:t>，</w:t>
      </w:r>
      <w:r>
        <w:rPr>
          <w:rFonts w:hint="eastAsia" w:ascii="宋体" w:hAnsi="宋体" w:eastAsia="宋体"/>
          <w:sz w:val="21"/>
          <w:szCs w:val="21"/>
        </w:rPr>
        <w:t>甲方组织对测评报告进行验收</w:t>
      </w:r>
      <w:r>
        <w:rPr>
          <w:rFonts w:ascii="宋体" w:hAnsi="宋体" w:eastAsia="宋体"/>
          <w:sz w:val="21"/>
          <w:szCs w:val="21"/>
        </w:rPr>
        <w:t>；</w:t>
      </w:r>
      <w:r>
        <w:rPr>
          <w:rFonts w:hint="eastAsia" w:ascii="宋体" w:hAnsi="宋体" w:eastAsia="宋体"/>
          <w:sz w:val="21"/>
          <w:szCs w:val="21"/>
        </w:rPr>
        <w:t xml:space="preserve">验收通过后，支付合同总价的100%。 </w:t>
      </w: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微软雅黑"/>
    <w:panose1 w:val="00000000000000000000"/>
    <w:charset w:val="86"/>
    <w:family w:val="script"/>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B6A70"/>
    <w:multiLevelType w:val="multilevel"/>
    <w:tmpl w:val="7A9B6A70"/>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jJjYTEzYzEzMjVjOGIxYWQwMTc0ZTUwZGE2YjIifQ=="/>
  </w:docVars>
  <w:rsids>
    <w:rsidRoot w:val="00F43F3C"/>
    <w:rsid w:val="00051F0A"/>
    <w:rsid w:val="00060C79"/>
    <w:rsid w:val="000C4DFE"/>
    <w:rsid w:val="002038B1"/>
    <w:rsid w:val="0021655E"/>
    <w:rsid w:val="00257A9B"/>
    <w:rsid w:val="00317623"/>
    <w:rsid w:val="004301D4"/>
    <w:rsid w:val="00580B1B"/>
    <w:rsid w:val="005C2C6D"/>
    <w:rsid w:val="006C2813"/>
    <w:rsid w:val="006E2AF4"/>
    <w:rsid w:val="007278B3"/>
    <w:rsid w:val="007B7996"/>
    <w:rsid w:val="00870DF7"/>
    <w:rsid w:val="008C2059"/>
    <w:rsid w:val="00905BBD"/>
    <w:rsid w:val="00975513"/>
    <w:rsid w:val="009D7156"/>
    <w:rsid w:val="00AA430B"/>
    <w:rsid w:val="00AE4547"/>
    <w:rsid w:val="00AE4736"/>
    <w:rsid w:val="00B72EB5"/>
    <w:rsid w:val="00B94D2F"/>
    <w:rsid w:val="00F43F3C"/>
    <w:rsid w:val="00F51496"/>
    <w:rsid w:val="00FA6BFF"/>
    <w:rsid w:val="00FE23CE"/>
    <w:rsid w:val="4C0F3E29"/>
    <w:rsid w:val="BCDF1FFB"/>
    <w:rsid w:val="FEE7F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tytytyty Char1"/>
    <w:link w:val="8"/>
    <w:qFormat/>
    <w:uiPriority w:val="0"/>
    <w:rPr>
      <w:sz w:val="24"/>
      <w:szCs w:val="24"/>
    </w:rPr>
  </w:style>
  <w:style w:type="paragraph" w:customStyle="1" w:styleId="8">
    <w:name w:val="tytytyty"/>
    <w:basedOn w:val="1"/>
    <w:link w:val="7"/>
    <w:qFormat/>
    <w:uiPriority w:val="0"/>
    <w:pPr>
      <w:spacing w:line="360" w:lineRule="auto"/>
      <w:ind w:left="359" w:leftChars="171" w:firstLine="480" w:firstLineChars="200"/>
    </w:p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1440</Words>
  <Characters>1478</Characters>
  <Lines>11</Lines>
  <Paragraphs>3</Paragraphs>
  <TotalTime>5</TotalTime>
  <ScaleCrop>false</ScaleCrop>
  <LinksUpToDate>false</LinksUpToDate>
  <CharactersWithSpaces>1491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2023-03-08T01:48:00Z</dcterms:created>
  <dc:creator>Wuhuiyun</dc:creator>
  <cp:lastModifiedBy>仲杰</cp:lastModifiedBy>
  <dcterms:modified xsi:type="dcterms:W3CDTF">2023-03-10T01:50:34Z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991EF461917F721E849AFC63428F175C_42</vt:lpwstr>
  </property>
</Properties>
</file>