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CA" w:rsidRDefault="004B35CA" w:rsidP="004B35CA">
      <w:pPr>
        <w:jc w:val="center"/>
        <w:rPr>
          <w:rFonts w:ascii="宋体" w:eastAsia="宋体" w:hAnsi="宋体" w:cs="Times New Roman"/>
          <w:b/>
          <w:color w:val="000000" w:themeColor="text1"/>
          <w:kern w:val="0"/>
          <w:sz w:val="28"/>
          <w:szCs w:val="28"/>
        </w:rPr>
      </w:pPr>
      <w:r w:rsidRPr="004B35CA">
        <w:rPr>
          <w:rFonts w:ascii="宋体" w:eastAsia="宋体" w:hAnsi="宋体" w:cs="Times New Roman" w:hint="eastAsia"/>
          <w:b/>
          <w:color w:val="000000" w:themeColor="text1"/>
          <w:kern w:val="0"/>
          <w:sz w:val="28"/>
          <w:szCs w:val="28"/>
        </w:rPr>
        <w:t>信号与频谱分析仪</w:t>
      </w:r>
    </w:p>
    <w:p w:rsidR="004B35CA" w:rsidRDefault="004B35CA" w:rsidP="004B35CA"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技术规格及要求</w:t>
      </w:r>
    </w:p>
    <w:p w:rsidR="00FB4DC1" w:rsidRDefault="00FB4DC1">
      <w:pPr>
        <w:rPr>
          <w:rFonts w:hint="eastAsia"/>
        </w:rPr>
      </w:pPr>
    </w:p>
    <w:p w:rsidR="004B35CA" w:rsidRDefault="004B35CA">
      <w:pPr>
        <w:rPr>
          <w:rFonts w:hint="eastAsia"/>
        </w:rPr>
      </w:pPr>
    </w:p>
    <w:tbl>
      <w:tblPr>
        <w:tblW w:w="15000" w:type="dxa"/>
        <w:tblCellSpacing w:w="0" w:type="dxa"/>
        <w:tblBorders>
          <w:top w:val="single" w:sz="6" w:space="0" w:color="E8E8E8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50"/>
        <w:gridCol w:w="12150"/>
      </w:tblGrid>
      <w:tr w:rsidR="004B35CA" w:rsidRPr="004B35CA" w:rsidTr="004B35CA">
        <w:trPr>
          <w:tblCellSpacing w:w="0" w:type="dxa"/>
        </w:trPr>
        <w:tc>
          <w:tcPr>
            <w:tcW w:w="2850" w:type="dxa"/>
            <w:tcBorders>
              <w:bottom w:val="single" w:sz="6" w:space="0" w:color="E8E8E8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频率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 xml:space="preserve">9 kHz 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至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 xml:space="preserve"> 26.5 GHz</w:t>
            </w:r>
          </w:p>
        </w:tc>
      </w:tr>
      <w:tr w:rsidR="004B35CA" w:rsidRPr="004B35CA" w:rsidTr="004B35CA">
        <w:trPr>
          <w:tblCellSpacing w:w="0" w:type="dxa"/>
        </w:trPr>
        <w:tc>
          <w:tcPr>
            <w:tcW w:w="2850" w:type="dxa"/>
            <w:tcBorders>
              <w:bottom w:val="single" w:sz="6" w:space="0" w:color="E8E8E8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频率选件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3, 7.5, 13.6, 26.5 GHz</w:t>
            </w:r>
          </w:p>
        </w:tc>
      </w:tr>
      <w:tr w:rsidR="004B35CA" w:rsidRPr="004B35CA" w:rsidTr="004B35CA">
        <w:trPr>
          <w:tblCellSpacing w:w="0" w:type="dxa"/>
        </w:trPr>
        <w:tc>
          <w:tcPr>
            <w:tcW w:w="2850" w:type="dxa"/>
            <w:tcBorders>
              <w:bottom w:val="single" w:sz="6" w:space="0" w:color="E8E8E8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最大分析带宽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25 MHz</w:t>
            </w:r>
          </w:p>
        </w:tc>
      </w:tr>
      <w:tr w:rsidR="004B35CA" w:rsidRPr="004B35CA" w:rsidTr="004B35CA">
        <w:trPr>
          <w:tblCellSpacing w:w="0" w:type="dxa"/>
        </w:trPr>
        <w:tc>
          <w:tcPr>
            <w:tcW w:w="2850" w:type="dxa"/>
            <w:tcBorders>
              <w:bottom w:val="single" w:sz="6" w:space="0" w:color="E8E8E8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带宽选件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10 MHz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（标配），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25 MHz</w:t>
            </w:r>
          </w:p>
        </w:tc>
      </w:tr>
      <w:tr w:rsidR="004B35CA" w:rsidRPr="004B35CA" w:rsidTr="004B35CA">
        <w:trPr>
          <w:tblCellSpacing w:w="0" w:type="dxa"/>
        </w:trPr>
        <w:tc>
          <w:tcPr>
            <w:tcW w:w="2850" w:type="dxa"/>
            <w:tcBorders>
              <w:bottom w:val="single" w:sz="6" w:space="0" w:color="E8E8E8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 xml:space="preserve">1 GHz 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时的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 xml:space="preserve"> DANL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 xml:space="preserve">-163 </w:t>
            </w:r>
            <w:proofErr w:type="spellStart"/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dBm</w:t>
            </w:r>
            <w:proofErr w:type="spellEnd"/>
          </w:p>
        </w:tc>
      </w:tr>
      <w:tr w:rsidR="004B35CA" w:rsidRPr="004B35CA" w:rsidTr="004B35CA">
        <w:trPr>
          <w:tblCellSpacing w:w="0" w:type="dxa"/>
        </w:trPr>
        <w:tc>
          <w:tcPr>
            <w:tcW w:w="2850" w:type="dxa"/>
            <w:tcBorders>
              <w:bottom w:val="single" w:sz="6" w:space="0" w:color="E8E8E8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 xml:space="preserve">1 GHz 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时，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 xml:space="preserve">10 kHz 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频偏处的相位噪声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 xml:space="preserve">-110 </w:t>
            </w:r>
            <w:proofErr w:type="spellStart"/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dBc</w:t>
            </w:r>
            <w:proofErr w:type="spellEnd"/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/Hz</w:t>
            </w:r>
          </w:p>
        </w:tc>
      </w:tr>
      <w:tr w:rsidR="004B35CA" w:rsidRPr="004B35CA" w:rsidTr="004B35CA">
        <w:trPr>
          <w:tblCellSpacing w:w="0" w:type="dxa"/>
        </w:trPr>
        <w:tc>
          <w:tcPr>
            <w:tcW w:w="2850" w:type="dxa"/>
            <w:tcBorders>
              <w:bottom w:val="single" w:sz="6" w:space="0" w:color="E8E8E8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 xml:space="preserve">1 GHz 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时，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 xml:space="preserve">1 MHz 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频偏处的相位噪声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 xml:space="preserve">-130 </w:t>
            </w:r>
            <w:proofErr w:type="spellStart"/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dBc</w:t>
            </w:r>
            <w:proofErr w:type="spellEnd"/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/Hz</w:t>
            </w:r>
          </w:p>
        </w:tc>
      </w:tr>
      <w:tr w:rsidR="004B35CA" w:rsidRPr="004B35CA" w:rsidTr="004B35CA">
        <w:trPr>
          <w:tblCellSpacing w:w="0" w:type="dxa"/>
        </w:trPr>
        <w:tc>
          <w:tcPr>
            <w:tcW w:w="2850" w:type="dxa"/>
            <w:tcBorders>
              <w:bottom w:val="single" w:sz="6" w:space="0" w:color="E8E8E8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总体幅度精度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±0.5 dB</w:t>
            </w:r>
          </w:p>
        </w:tc>
      </w:tr>
      <w:tr w:rsidR="004B35CA" w:rsidRPr="004B35CA" w:rsidTr="004B35CA">
        <w:trPr>
          <w:tblCellSpacing w:w="0" w:type="dxa"/>
        </w:trPr>
        <w:tc>
          <w:tcPr>
            <w:tcW w:w="2850" w:type="dxa"/>
            <w:tcBorders>
              <w:bottom w:val="single" w:sz="6" w:space="0" w:color="E8E8E8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三阶截获（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TOI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），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 xml:space="preserve">1 GHz 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时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 xml:space="preserve">+17 </w:t>
            </w:r>
            <w:proofErr w:type="spellStart"/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dBm</w:t>
            </w:r>
            <w:proofErr w:type="spellEnd"/>
          </w:p>
        </w:tc>
      </w:tr>
      <w:tr w:rsidR="004B35CA" w:rsidRPr="004B35CA" w:rsidTr="004B35CA">
        <w:trPr>
          <w:tblCellSpacing w:w="0" w:type="dxa"/>
        </w:trPr>
        <w:tc>
          <w:tcPr>
            <w:tcW w:w="2850" w:type="dxa"/>
            <w:tcBorders>
              <w:bottom w:val="single" w:sz="6" w:space="0" w:color="E8E8E8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 xml:space="preserve">1 GHz 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时的最大三阶动态范围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111 dB</w:t>
            </w:r>
          </w:p>
        </w:tc>
      </w:tr>
      <w:tr w:rsidR="004B35CA" w:rsidRPr="004B35CA" w:rsidTr="004B35CA">
        <w:trPr>
          <w:tblCellSpacing w:w="0" w:type="dxa"/>
        </w:trPr>
        <w:tc>
          <w:tcPr>
            <w:tcW w:w="2850" w:type="dxa"/>
            <w:tcBorders>
              <w:bottom w:val="single" w:sz="6" w:space="0" w:color="E8E8E8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应用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——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通用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:rsidR="004B35CA" w:rsidRPr="004B35CA" w:rsidRDefault="004B35CA" w:rsidP="004B35CA">
            <w:pPr>
              <w:widowControl/>
              <w:numPr>
                <w:ilvl w:val="0"/>
                <w:numId w:val="1"/>
              </w:numPr>
              <w:spacing w:before="100" w:beforeAutospacing="1" w:after="75"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 xml:space="preserve">89600 VSA 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软件</w:t>
            </w:r>
          </w:p>
          <w:p w:rsidR="004B35CA" w:rsidRPr="004B35CA" w:rsidRDefault="004B35CA" w:rsidP="004B35CA">
            <w:pPr>
              <w:widowControl/>
              <w:numPr>
                <w:ilvl w:val="0"/>
                <w:numId w:val="1"/>
              </w:numPr>
              <w:spacing w:before="100" w:beforeAutospacing="1" w:after="75"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模拟解调</w:t>
            </w:r>
          </w:p>
          <w:p w:rsidR="004B35CA" w:rsidRPr="004B35CA" w:rsidRDefault="004B35CA" w:rsidP="004B35CA">
            <w:pPr>
              <w:widowControl/>
              <w:numPr>
                <w:ilvl w:val="0"/>
                <w:numId w:val="1"/>
              </w:numPr>
              <w:spacing w:before="100" w:beforeAutospacing="1" w:after="75"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噪声系数</w:t>
            </w:r>
          </w:p>
          <w:p w:rsidR="004B35CA" w:rsidRPr="004B35CA" w:rsidRDefault="004B35CA" w:rsidP="004B35CA">
            <w:pPr>
              <w:widowControl/>
              <w:numPr>
                <w:ilvl w:val="0"/>
                <w:numId w:val="1"/>
              </w:numPr>
              <w:spacing w:before="100" w:beforeAutospacing="1" w:after="75"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相位噪声</w:t>
            </w:r>
          </w:p>
          <w:p w:rsidR="004B35CA" w:rsidRPr="004B35CA" w:rsidRDefault="004B35CA" w:rsidP="004B35CA">
            <w:pPr>
              <w:widowControl/>
              <w:numPr>
                <w:ilvl w:val="0"/>
                <w:numId w:val="1"/>
              </w:numPr>
              <w:spacing w:before="100" w:beforeAutospacing="1" w:after="75"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脉冲</w:t>
            </w:r>
          </w:p>
          <w:p w:rsidR="004B35CA" w:rsidRPr="004B35CA" w:rsidRDefault="004B35CA" w:rsidP="004B35CA">
            <w:pPr>
              <w:widowControl/>
              <w:numPr>
                <w:ilvl w:val="0"/>
                <w:numId w:val="1"/>
              </w:numPr>
              <w:spacing w:before="100" w:beforeAutospacing="1" w:after="75"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激励响应</w:t>
            </w:r>
          </w:p>
          <w:p w:rsidR="004B35CA" w:rsidRPr="004B35CA" w:rsidRDefault="004B35CA" w:rsidP="004B35CA">
            <w:pPr>
              <w:widowControl/>
              <w:numPr>
                <w:ilvl w:val="0"/>
                <w:numId w:val="1"/>
              </w:numPr>
              <w:spacing w:before="100" w:beforeAutospacing="1" w:after="75"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EMI</w:t>
            </w:r>
          </w:p>
          <w:p w:rsidR="004B35CA" w:rsidRPr="004B35CA" w:rsidRDefault="004B35CA" w:rsidP="004B35CA">
            <w:pPr>
              <w:widowControl/>
              <w:numPr>
                <w:ilvl w:val="0"/>
                <w:numId w:val="1"/>
              </w:numPr>
              <w:spacing w:before="100" w:beforeAutospacing="1" w:after="75"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MATLAB</w:t>
            </w:r>
          </w:p>
          <w:p w:rsidR="004B35CA" w:rsidRPr="004B35CA" w:rsidRDefault="004B35CA" w:rsidP="004B35CA">
            <w:pPr>
              <w:widowControl/>
              <w:numPr>
                <w:ilvl w:val="0"/>
                <w:numId w:val="1"/>
              </w:numPr>
              <w:spacing w:before="100" w:beforeAutospacing="1" w:after="75"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Vector Modulation Analysis</w:t>
            </w:r>
          </w:p>
        </w:tc>
      </w:tr>
      <w:tr w:rsidR="004B35CA" w:rsidRPr="004B35CA" w:rsidTr="004B35CA">
        <w:trPr>
          <w:tblCellSpacing w:w="0" w:type="dxa"/>
        </w:trPr>
        <w:tc>
          <w:tcPr>
            <w:tcW w:w="2850" w:type="dxa"/>
            <w:tcBorders>
              <w:bottom w:val="single" w:sz="6" w:space="0" w:color="E8E8E8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lastRenderedPageBreak/>
              <w:t>应用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——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蜂窝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:rsidR="004B35CA" w:rsidRPr="004B35CA" w:rsidRDefault="004B35CA" w:rsidP="004B35CA">
            <w:pPr>
              <w:widowControl/>
              <w:numPr>
                <w:ilvl w:val="0"/>
                <w:numId w:val="2"/>
              </w:numPr>
              <w:spacing w:before="100" w:beforeAutospacing="1" w:after="75"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GSM/EDGE</w:t>
            </w:r>
          </w:p>
          <w:p w:rsidR="004B35CA" w:rsidRPr="004B35CA" w:rsidRDefault="004B35CA" w:rsidP="004B35CA">
            <w:pPr>
              <w:widowControl/>
              <w:numPr>
                <w:ilvl w:val="0"/>
                <w:numId w:val="2"/>
              </w:numPr>
              <w:spacing w:before="100" w:beforeAutospacing="1" w:after="75"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LTE/LTE-Advanced</w:t>
            </w:r>
          </w:p>
          <w:p w:rsidR="004B35CA" w:rsidRPr="004B35CA" w:rsidRDefault="004B35CA" w:rsidP="004B35CA">
            <w:pPr>
              <w:widowControl/>
              <w:numPr>
                <w:ilvl w:val="0"/>
                <w:numId w:val="2"/>
              </w:numPr>
              <w:spacing w:before="100" w:beforeAutospacing="1" w:after="75"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NB-</w:t>
            </w:r>
            <w:proofErr w:type="spellStart"/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IoT</w:t>
            </w:r>
            <w:proofErr w:type="spellEnd"/>
          </w:p>
          <w:p w:rsidR="004B35CA" w:rsidRPr="004B35CA" w:rsidRDefault="004B35CA" w:rsidP="004B35CA">
            <w:pPr>
              <w:widowControl/>
              <w:numPr>
                <w:ilvl w:val="0"/>
                <w:numId w:val="2"/>
              </w:numPr>
              <w:spacing w:before="100" w:beforeAutospacing="1" w:after="75"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W-CDMA/HSPA/HSPA+</w:t>
            </w:r>
          </w:p>
        </w:tc>
      </w:tr>
      <w:tr w:rsidR="004B35CA" w:rsidRPr="004B35CA" w:rsidTr="004B35CA">
        <w:trPr>
          <w:tblCellSpacing w:w="0" w:type="dxa"/>
        </w:trPr>
        <w:tc>
          <w:tcPr>
            <w:tcW w:w="2850" w:type="dxa"/>
            <w:tcBorders>
              <w:bottom w:val="single" w:sz="6" w:space="0" w:color="E8E8E8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应用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——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无线连通性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:rsidR="004B35CA" w:rsidRPr="004B35CA" w:rsidRDefault="004B35CA" w:rsidP="004B35CA">
            <w:pPr>
              <w:widowControl/>
              <w:numPr>
                <w:ilvl w:val="0"/>
                <w:numId w:val="3"/>
              </w:numPr>
              <w:spacing w:before="100" w:beforeAutospacing="1" w:after="75"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Bluetooth® (BR/EDR/LE4.2/5.0)</w:t>
            </w:r>
          </w:p>
          <w:p w:rsidR="004B35CA" w:rsidRPr="004B35CA" w:rsidRDefault="004B35CA" w:rsidP="004B35CA">
            <w:pPr>
              <w:widowControl/>
              <w:numPr>
                <w:ilvl w:val="0"/>
                <w:numId w:val="3"/>
              </w:numPr>
              <w:spacing w:before="100" w:beforeAutospacing="1" w:after="75"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Short Range Communications (</w:t>
            </w:r>
            <w:proofErr w:type="spellStart"/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ZigBee</w:t>
            </w:r>
            <w:proofErr w:type="spellEnd"/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, Z-Wave)</w:t>
            </w:r>
          </w:p>
          <w:p w:rsidR="004B35CA" w:rsidRPr="004B35CA" w:rsidRDefault="004B35CA" w:rsidP="004B35CA">
            <w:pPr>
              <w:widowControl/>
              <w:numPr>
                <w:ilvl w:val="0"/>
                <w:numId w:val="3"/>
              </w:numPr>
              <w:spacing w:before="100" w:beforeAutospacing="1" w:after="75"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WLAN 802.11(a/b/g/j/</w:t>
            </w:r>
            <w:proofErr w:type="spellStart"/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p/n</w:t>
            </w:r>
            <w:proofErr w:type="spellEnd"/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/ac/</w:t>
            </w:r>
            <w:proofErr w:type="spellStart"/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af</w:t>
            </w:r>
            <w:proofErr w:type="spellEnd"/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/ah/ax)</w:t>
            </w:r>
          </w:p>
        </w:tc>
      </w:tr>
      <w:tr w:rsidR="004B35CA" w:rsidRPr="004B35CA" w:rsidTr="004B35CA">
        <w:trPr>
          <w:tblCellSpacing w:w="0" w:type="dxa"/>
        </w:trPr>
        <w:tc>
          <w:tcPr>
            <w:tcW w:w="2850" w:type="dxa"/>
            <w:tcBorders>
              <w:bottom w:val="single" w:sz="6" w:space="0" w:color="E8E8E8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标准衰减器衰减范围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50 dB</w:t>
            </w:r>
          </w:p>
        </w:tc>
      </w:tr>
      <w:tr w:rsidR="004B35CA" w:rsidRPr="004B35CA" w:rsidTr="004B35CA">
        <w:trPr>
          <w:tblCellSpacing w:w="0" w:type="dxa"/>
        </w:trPr>
        <w:tc>
          <w:tcPr>
            <w:tcW w:w="2850" w:type="dxa"/>
            <w:tcBorders>
              <w:bottom w:val="single" w:sz="6" w:space="0" w:color="E8E8E8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标准衰减器步进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10 dB</w:t>
            </w:r>
          </w:p>
        </w:tc>
      </w:tr>
      <w:tr w:rsidR="004B35CA" w:rsidRPr="004B35CA" w:rsidTr="004B35CA">
        <w:trPr>
          <w:tblCellSpacing w:w="0" w:type="dxa"/>
        </w:trPr>
        <w:tc>
          <w:tcPr>
            <w:tcW w:w="2850" w:type="dxa"/>
            <w:tcBorders>
              <w:bottom w:val="single" w:sz="6" w:space="0" w:color="E8E8E8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触发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:rsidR="004B35CA" w:rsidRPr="004B35CA" w:rsidRDefault="004B35CA" w:rsidP="004B35CA">
            <w:pPr>
              <w:widowControl/>
              <w:numPr>
                <w:ilvl w:val="0"/>
                <w:numId w:val="4"/>
              </w:numPr>
              <w:spacing w:before="100" w:beforeAutospacing="1" w:after="75"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电平</w:t>
            </w:r>
          </w:p>
          <w:p w:rsidR="004B35CA" w:rsidRPr="004B35CA" w:rsidRDefault="004B35CA" w:rsidP="004B35CA">
            <w:pPr>
              <w:widowControl/>
              <w:numPr>
                <w:ilvl w:val="0"/>
                <w:numId w:val="4"/>
              </w:numPr>
              <w:spacing w:before="100" w:beforeAutospacing="1" w:after="75"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射频猝发</w:t>
            </w:r>
          </w:p>
          <w:p w:rsidR="004B35CA" w:rsidRPr="004B35CA" w:rsidRDefault="004B35CA" w:rsidP="004B35CA">
            <w:pPr>
              <w:widowControl/>
              <w:numPr>
                <w:ilvl w:val="0"/>
                <w:numId w:val="4"/>
              </w:numPr>
              <w:spacing w:before="100" w:beforeAutospacing="1" w:after="75"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线路</w:t>
            </w:r>
          </w:p>
          <w:p w:rsidR="004B35CA" w:rsidRPr="004B35CA" w:rsidRDefault="004B35CA" w:rsidP="004B35CA">
            <w:pPr>
              <w:widowControl/>
              <w:numPr>
                <w:ilvl w:val="0"/>
                <w:numId w:val="4"/>
              </w:numPr>
              <w:spacing w:before="100" w:beforeAutospacing="1" w:after="75"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外置</w:t>
            </w:r>
          </w:p>
          <w:p w:rsidR="004B35CA" w:rsidRPr="004B35CA" w:rsidRDefault="004B35CA" w:rsidP="004B35CA">
            <w:pPr>
              <w:widowControl/>
              <w:numPr>
                <w:ilvl w:val="0"/>
                <w:numId w:val="4"/>
              </w:numPr>
              <w:spacing w:before="100" w:beforeAutospacing="1" w:after="75"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周期</w:t>
            </w:r>
          </w:p>
        </w:tc>
      </w:tr>
      <w:tr w:rsidR="004B35CA" w:rsidRPr="004B35CA" w:rsidTr="004B35CA">
        <w:trPr>
          <w:tblCellSpacing w:w="0" w:type="dxa"/>
        </w:trPr>
        <w:tc>
          <w:tcPr>
            <w:tcW w:w="2850" w:type="dxa"/>
            <w:tcBorders>
              <w:bottom w:val="single" w:sz="6" w:space="0" w:color="E8E8E8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 xml:space="preserve">10 GHz 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时的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 xml:space="preserve"> DANL</w:t>
            </w: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，不配备前置放大器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:rsidR="004B35CA" w:rsidRPr="004B35CA" w:rsidRDefault="004B35CA" w:rsidP="004B35CA">
            <w:pPr>
              <w:widowControl/>
              <w:jc w:val="left"/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</w:pPr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 xml:space="preserve">-142 </w:t>
            </w:r>
            <w:proofErr w:type="spellStart"/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dBm</w:t>
            </w:r>
            <w:proofErr w:type="spellEnd"/>
            <w:r w:rsidRPr="004B35CA">
              <w:rPr>
                <w:rFonts w:ascii="Helvetica" w:eastAsia="宋体" w:hAnsi="Helvetica" w:cs="Helvetica"/>
                <w:color w:val="343434"/>
                <w:kern w:val="0"/>
                <w:sz w:val="18"/>
                <w:szCs w:val="18"/>
              </w:rPr>
              <w:t>/Hz</w:t>
            </w:r>
          </w:p>
        </w:tc>
      </w:tr>
    </w:tbl>
    <w:p w:rsidR="004B35CA" w:rsidRDefault="004B35CA"/>
    <w:sectPr w:rsidR="004B35CA" w:rsidSect="00FB4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B3597"/>
    <w:multiLevelType w:val="multilevel"/>
    <w:tmpl w:val="47D8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FE427B"/>
    <w:multiLevelType w:val="multilevel"/>
    <w:tmpl w:val="56B0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F02635"/>
    <w:multiLevelType w:val="multilevel"/>
    <w:tmpl w:val="F484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1520EC"/>
    <w:multiLevelType w:val="multilevel"/>
    <w:tmpl w:val="4916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35CA"/>
    <w:rsid w:val="004B35CA"/>
    <w:rsid w:val="00877D4C"/>
    <w:rsid w:val="00B638F5"/>
    <w:rsid w:val="00FB4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测评人员</dc:creator>
  <cp:lastModifiedBy>测评人员</cp:lastModifiedBy>
  <cp:revision>2</cp:revision>
  <dcterms:created xsi:type="dcterms:W3CDTF">2018-07-11T02:04:00Z</dcterms:created>
  <dcterms:modified xsi:type="dcterms:W3CDTF">2018-07-11T02:04:00Z</dcterms:modified>
</cp:coreProperties>
</file>