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上海海事大学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港湾校区空调格栅增补工程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lang w:val="en-US" w:eastAsia="zh-CN"/>
        </w:rPr>
        <w:t xml:space="preserve">                                                                   </w:t>
      </w:r>
      <w:r>
        <w:rPr>
          <w:rFonts w:hint="eastAsia" w:ascii="宋体" w:hAnsi="宋体"/>
        </w:rPr>
        <w:t>采购信息编号：</w:t>
      </w:r>
    </w:p>
    <w:p>
      <w:pPr>
        <w:spacing w:line="440" w:lineRule="exact"/>
        <w:rPr>
          <w:rFonts w:ascii="黑体" w:hAnsi="华文楷体" w:eastAsia="黑体"/>
        </w:rPr>
      </w:pPr>
    </w:p>
    <w:tbl>
      <w:tblPr>
        <w:tblStyle w:val="4"/>
        <w:tblW w:w="14162" w:type="dxa"/>
        <w:jc w:val="center"/>
        <w:tblInd w:w="-4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1528"/>
        <w:gridCol w:w="2500"/>
        <w:gridCol w:w="2684"/>
        <w:gridCol w:w="1083"/>
        <w:gridCol w:w="933"/>
        <w:gridCol w:w="1350"/>
        <w:gridCol w:w="1350"/>
        <w:gridCol w:w="2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工程内容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9D08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不锈钢格栅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1.钢材品种、规格:不锈钢钢管、格栅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2.防火要求:按规范要求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3.按图纸技术要求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构件卸车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2.构件场内驳运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3.拼装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4.安装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5.补刷油漆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不锈钢钢管格栅外圈厚度为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1.5mm，里面格栅为1.2mm。材质：304不锈钢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1.5P空调外机移位至新增空调格栅内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原机器拆除；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新位置安装；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调试运行。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含制冷媒介补充及电源调整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1.2P空调外机移位至新增空调格栅内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原机器拆除；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新位置安装；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调试运行。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含制冷媒介补充及电源调整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1.5P空调铜管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铜管延长，焊接，保压；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铜管保温棉，扎带包裹。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1.2P空调铜管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铜管延长，焊接，保压；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铜管保温棉，扎带包裹。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空调保护管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1.PVC方形空调保护管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1.保护管安装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空调专用滴水管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空调滴水管延长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1.滴水管连接延长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波纹软管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PVC水管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空调冷凝水排管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1.冷凝水管延长连接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直径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墙面修补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原有空调固定孔修补，油漆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1.原有空调外机固定支架孔洞填平修补；2.粉刷与真石漆同色的外墙涂料一底两度。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措施费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项目实施所需的施工措施、安全措施、文明措施等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措施费包干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可根据现场补充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  <w:t>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税率：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Lines="5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hint="eastAsia"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Lines="5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  <w:rPr>
        <w:rFonts w:hint="eastAsia" w:eastAsiaTheme="minorEastAsia"/>
        <w:lang w:eastAsia="zh-CN"/>
      </w:rPr>
    </w:pPr>
    <w:r>
      <w:rPr>
        <w:rFonts w:hint="eastAsia" w:ascii="宋体" w:hAnsi="宋体"/>
        <w:snapToGrid/>
        <w:spacing w:val="0"/>
        <w:sz w:val="18"/>
        <w:szCs w:val="22"/>
      </w:rPr>
      <w:t>上海海事大学</w:t>
    </w:r>
    <w:r>
      <w:rPr>
        <w:rFonts w:hint="eastAsia" w:ascii="宋体" w:hAnsi="宋体"/>
        <w:snapToGrid/>
        <w:spacing w:val="0"/>
        <w:sz w:val="18"/>
        <w:szCs w:val="22"/>
        <w:lang w:eastAsia="zh-CN"/>
      </w:rPr>
      <w:t>港湾校区空调格栅增补工程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D3F5C3"/>
    <w:multiLevelType w:val="singleLevel"/>
    <w:tmpl w:val="F5D3F5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5FE48BD"/>
    <w:multiLevelType w:val="singleLevel"/>
    <w:tmpl w:val="15FE4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230615B9"/>
    <w:multiLevelType w:val="singleLevel"/>
    <w:tmpl w:val="230615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6D81A40"/>
    <w:multiLevelType w:val="singleLevel"/>
    <w:tmpl w:val="26D81A40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907E42"/>
    <w:rsid w:val="00C150C2"/>
    <w:rsid w:val="00EA123C"/>
    <w:rsid w:val="00F46872"/>
    <w:rsid w:val="01502792"/>
    <w:rsid w:val="016B53C1"/>
    <w:rsid w:val="0BE4407A"/>
    <w:rsid w:val="0C6145F5"/>
    <w:rsid w:val="10950D86"/>
    <w:rsid w:val="162727F3"/>
    <w:rsid w:val="1BFF1AAA"/>
    <w:rsid w:val="1D5B5503"/>
    <w:rsid w:val="261134F5"/>
    <w:rsid w:val="29E40653"/>
    <w:rsid w:val="2ED955AC"/>
    <w:rsid w:val="3044422E"/>
    <w:rsid w:val="32301618"/>
    <w:rsid w:val="328F44A0"/>
    <w:rsid w:val="335F16E4"/>
    <w:rsid w:val="3A1953E1"/>
    <w:rsid w:val="53AF0340"/>
    <w:rsid w:val="5D7B1176"/>
    <w:rsid w:val="683C733F"/>
    <w:rsid w:val="69D66CAD"/>
    <w:rsid w:val="7AAB7697"/>
    <w:rsid w:val="7B3E5C2A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345</Words>
  <Characters>1972</Characters>
  <Lines>16</Lines>
  <Paragraphs>4</Paragraphs>
  <TotalTime>0</TotalTime>
  <ScaleCrop>false</ScaleCrop>
  <LinksUpToDate>false</LinksUpToDate>
  <CharactersWithSpaces>2313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狂风爱</cp:lastModifiedBy>
  <cp:lastPrinted>2019-05-21T12:56:00Z</cp:lastPrinted>
  <dcterms:modified xsi:type="dcterms:W3CDTF">2019-05-25T10:01:19Z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