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6A561">
      <w:pPr>
        <w:jc w:val="center"/>
        <w:rPr>
          <w:rFonts w:hint="eastAsia" w:ascii="方正兰亭黑简体" w:hAnsi="方正兰亭黑简体" w:eastAsia="方正兰亭黑简体" w:cs="方正兰亭黑简体"/>
          <w:b/>
          <w:bCs/>
          <w:color w:val="auto"/>
          <w:sz w:val="28"/>
          <w:szCs w:val="36"/>
          <w:highlight w:val="none"/>
          <w:lang w:val="en-US" w:eastAsia="zh-CN"/>
        </w:rPr>
      </w:pPr>
    </w:p>
    <w:p w14:paraId="05F143FD">
      <w:pPr>
        <w:jc w:val="center"/>
        <w:rPr>
          <w:rFonts w:hint="eastAsia" w:ascii="方正兰亭黑简体" w:hAnsi="方正兰亭黑简体" w:eastAsia="方正兰亭黑简体" w:cs="方正兰亭黑简体"/>
          <w:b/>
          <w:bCs/>
          <w:color w:val="auto"/>
          <w:sz w:val="28"/>
          <w:szCs w:val="36"/>
          <w:highlight w:val="none"/>
          <w:lang w:val="en-US" w:eastAsia="zh-CN"/>
        </w:rPr>
      </w:pPr>
    </w:p>
    <w:p w14:paraId="7C29A4C3">
      <w:pPr>
        <w:jc w:val="center"/>
        <w:rPr>
          <w:rFonts w:hint="eastAsia" w:ascii="方正兰亭黑简体" w:hAnsi="方正兰亭黑简体" w:eastAsia="方正兰亭黑简体" w:cs="方正兰亭黑简体"/>
          <w:b/>
          <w:bCs/>
          <w:color w:val="auto"/>
          <w:sz w:val="28"/>
          <w:szCs w:val="36"/>
          <w:highlight w:val="none"/>
          <w:lang w:val="en-US" w:eastAsia="zh-CN"/>
        </w:rPr>
      </w:pPr>
    </w:p>
    <w:p w14:paraId="75D3CC17">
      <w:pPr>
        <w:jc w:val="center"/>
        <w:rPr>
          <w:rFonts w:hint="default" w:ascii="方正兰亭黑简体" w:hAnsi="方正兰亭黑简体" w:eastAsia="方正兰亭黑简体" w:cs="方正兰亭黑简体"/>
          <w:b/>
          <w:bCs/>
          <w:color w:val="auto"/>
          <w:sz w:val="28"/>
          <w:szCs w:val="28"/>
          <w:highlight w:val="none"/>
          <w:lang w:val="en-US" w:eastAsia="zh-CN"/>
        </w:rPr>
      </w:pPr>
      <w:r>
        <w:rPr>
          <w:rFonts w:hint="eastAsia" w:ascii="方正兰亭黑简体" w:hAnsi="方正兰亭黑简体" w:eastAsia="方正兰亭黑简体" w:cs="方正兰亭黑简体"/>
          <w:b/>
          <w:bCs/>
          <w:color w:val="auto"/>
          <w:sz w:val="28"/>
          <w:szCs w:val="28"/>
          <w:highlight w:val="none"/>
          <w:lang w:val="en-US" w:eastAsia="zh-CN"/>
        </w:rPr>
        <w:t>智能工业机器人综合实训台</w:t>
      </w:r>
    </w:p>
    <w:p w14:paraId="3A6F3C59">
      <w:pPr>
        <w:jc w:val="center"/>
        <w:rPr>
          <w:rFonts w:hint="default" w:ascii="方正兰亭黑简体" w:hAnsi="方正兰亭黑简体" w:eastAsia="方正兰亭黑简体" w:cs="方正兰亭黑简体"/>
          <w:b/>
          <w:bCs/>
          <w:color w:val="auto"/>
          <w:sz w:val="28"/>
          <w:szCs w:val="28"/>
          <w:highlight w:val="none"/>
          <w:lang w:val="en-US" w:eastAsia="zh-CN"/>
        </w:rPr>
      </w:pPr>
      <w:r>
        <w:rPr>
          <w:rFonts w:hint="eastAsia" w:ascii="方正兰亭黑简体" w:hAnsi="方正兰亭黑简体" w:eastAsia="方正兰亭黑简体" w:cs="方正兰亭黑简体"/>
          <w:b/>
          <w:bCs/>
          <w:color w:val="auto"/>
          <w:sz w:val="28"/>
          <w:szCs w:val="28"/>
          <w:highlight w:val="none"/>
          <w:lang w:val="en-US" w:eastAsia="zh-CN"/>
        </w:rPr>
        <w:t>比选文件</w:t>
      </w:r>
    </w:p>
    <w:p w14:paraId="746E0DD5">
      <w:pPr>
        <w:jc w:val="center"/>
        <w:rPr>
          <w:rFonts w:hint="default" w:ascii="方正兰亭黑简体" w:hAnsi="方正兰亭黑简体" w:eastAsia="方正兰亭黑简体" w:cs="方正兰亭黑简体"/>
          <w:b/>
          <w:bCs/>
          <w:color w:val="auto"/>
          <w:sz w:val="28"/>
          <w:szCs w:val="28"/>
          <w:highlight w:val="none"/>
          <w:lang w:val="en-US" w:eastAsia="zh-CN"/>
        </w:rPr>
      </w:pPr>
    </w:p>
    <w:p w14:paraId="7F5B1C2D">
      <w:pPr>
        <w:jc w:val="center"/>
        <w:rPr>
          <w:rFonts w:hint="default" w:ascii="方正兰亭黑简体" w:hAnsi="方正兰亭黑简体" w:eastAsia="方正兰亭黑简体" w:cs="方正兰亭黑简体"/>
          <w:b/>
          <w:bCs/>
          <w:color w:val="auto"/>
          <w:sz w:val="28"/>
          <w:szCs w:val="28"/>
          <w:highlight w:val="none"/>
          <w:lang w:val="en-US" w:eastAsia="zh-CN"/>
        </w:rPr>
      </w:pPr>
    </w:p>
    <w:p w14:paraId="0B84232F">
      <w:pPr>
        <w:jc w:val="center"/>
        <w:rPr>
          <w:rFonts w:hint="default" w:ascii="方正兰亭黑简体" w:hAnsi="方正兰亭黑简体" w:eastAsia="方正兰亭黑简体" w:cs="方正兰亭黑简体"/>
          <w:b/>
          <w:bCs/>
          <w:color w:val="auto"/>
          <w:sz w:val="28"/>
          <w:szCs w:val="28"/>
          <w:highlight w:val="none"/>
          <w:lang w:val="en-US" w:eastAsia="zh-CN"/>
        </w:rPr>
      </w:pPr>
      <w:r>
        <w:rPr>
          <w:rFonts w:hint="eastAsia" w:ascii="方正兰亭黑简体" w:hAnsi="方正兰亭黑简体" w:eastAsia="方正兰亭黑简体" w:cs="方正兰亭黑简体"/>
          <w:b/>
          <w:bCs/>
          <w:color w:val="auto"/>
          <w:sz w:val="28"/>
          <w:szCs w:val="28"/>
          <w:highlight w:val="none"/>
          <w:lang w:val="en-US" w:eastAsia="zh-CN"/>
        </w:rPr>
        <w:t>项目编号：</w:t>
      </w:r>
      <w:r>
        <w:rPr>
          <w:rFonts w:hint="eastAsia" w:ascii="方正兰亭黑简体" w:hAnsi="方正兰亭黑简体" w:eastAsia="方正兰亭黑简体" w:cs="方正兰亭黑简体"/>
          <w:color w:val="auto"/>
          <w:sz w:val="28"/>
          <w:szCs w:val="28"/>
          <w:highlight w:val="none"/>
          <w:lang w:val="en-US" w:eastAsia="zh-CN"/>
        </w:rPr>
        <w:t>HFBX2026069</w:t>
      </w:r>
    </w:p>
    <w:p w14:paraId="43E1A511">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564BAADD">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1CBECD87">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77AEA8DD">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6AFBFE6C">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18A2CE08">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69F671C1">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0E2559B5">
      <w:pPr>
        <w:jc w:val="cente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采购人：上海海事大学</w:t>
      </w:r>
    </w:p>
    <w:p w14:paraId="64BB9721">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二〇二六年七月</w:t>
      </w:r>
    </w:p>
    <w:p w14:paraId="4258C5C0">
      <w:pP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br w:type="page"/>
      </w:r>
    </w:p>
    <w:p w14:paraId="5637B82A">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第一章 比选公告</w:t>
      </w:r>
    </w:p>
    <w:p w14:paraId="54E46ED1">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为公开、公正、公平地做好各项货物与服务的采购工作，进一步提高采购过程的透明度，有利于我校选择性价比更高的产品及更优质的服务，欢迎各供应单位本着务实友好的工作态度，积极参与，并做好成本核算，进行一次性报价。我校将本着公开、公正、公平的工作原则，对各供应单位所提供的资料，进行综合评议，择优选购。为确保本次比选采购项目采购工作的顺利开展，请各报价单位按照下述要求提供报价单等相关资料。具体要求及相关注意事项如下：</w:t>
      </w:r>
    </w:p>
    <w:p w14:paraId="5694D68E">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一、项目基本情况</w:t>
      </w:r>
    </w:p>
    <w:p w14:paraId="6ED9240D">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项目编号：</w:t>
      </w:r>
      <w:r>
        <w:rPr>
          <w:rFonts w:hint="eastAsia" w:ascii="方正兰亭黑简体" w:hAnsi="方正兰亭黑简体" w:eastAsia="方正兰亭黑简体" w:cs="方正兰亭黑简体"/>
          <w:color w:val="auto"/>
          <w:sz w:val="22"/>
          <w:szCs w:val="28"/>
          <w:highlight w:val="none"/>
          <w:lang w:val="en-US" w:eastAsia="zh-CN"/>
        </w:rPr>
        <w:t>HFBX2026069；</w:t>
      </w:r>
    </w:p>
    <w:p w14:paraId="40680CD9">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项目名称：</w:t>
      </w:r>
      <w:r>
        <w:rPr>
          <w:rFonts w:hint="eastAsia" w:ascii="方正兰亭黑简体" w:hAnsi="方正兰亭黑简体" w:eastAsia="方正兰亭黑简体" w:cs="方正兰亭黑简体"/>
          <w:color w:val="auto"/>
          <w:sz w:val="22"/>
          <w:szCs w:val="28"/>
          <w:highlight w:val="none"/>
          <w:lang w:val="en-US" w:eastAsia="zh-CN"/>
        </w:rPr>
        <w:t>智能工业机器人综合实训台；</w:t>
      </w:r>
    </w:p>
    <w:p w14:paraId="49D3EF92">
      <w:pPr>
        <w:jc w:val="left"/>
        <w:rPr>
          <w:rFonts w:hint="eastAsia" w:ascii="方正兰亭黑简体" w:hAnsi="方正兰亭黑简体" w:eastAsia="方正兰亭黑简体" w:cs="方正兰亭黑简体"/>
          <w:color w:val="auto"/>
          <w:sz w:val="22"/>
          <w:szCs w:val="28"/>
          <w:highlight w:val="none"/>
          <w:lang w:eastAsia="zh-CN"/>
        </w:rPr>
      </w:pPr>
      <w:r>
        <w:rPr>
          <w:rFonts w:hint="eastAsia" w:ascii="方正兰亭黑简体" w:hAnsi="方正兰亭黑简体" w:eastAsia="方正兰亭黑简体" w:cs="方正兰亭黑简体"/>
          <w:color w:val="auto"/>
          <w:sz w:val="22"/>
          <w:szCs w:val="28"/>
          <w:highlight w:val="none"/>
        </w:rPr>
        <w:t>采购方式：</w:t>
      </w:r>
      <w:r>
        <w:rPr>
          <w:rFonts w:hint="eastAsia" w:ascii="方正兰亭黑简体" w:hAnsi="方正兰亭黑简体" w:eastAsia="方正兰亭黑简体" w:cs="方正兰亭黑简体"/>
          <w:color w:val="auto"/>
          <w:sz w:val="22"/>
          <w:szCs w:val="28"/>
          <w:highlight w:val="none"/>
          <w:lang w:val="en-US" w:eastAsia="zh-CN"/>
        </w:rPr>
        <w:t>学校</w:t>
      </w:r>
      <w:r>
        <w:rPr>
          <w:rFonts w:hint="eastAsia" w:ascii="方正兰亭黑简体" w:hAnsi="方正兰亭黑简体" w:eastAsia="方正兰亭黑简体" w:cs="方正兰亭黑简体"/>
          <w:color w:val="auto"/>
          <w:sz w:val="22"/>
          <w:szCs w:val="28"/>
          <w:highlight w:val="none"/>
        </w:rPr>
        <w:t>比选</w:t>
      </w:r>
      <w:r>
        <w:rPr>
          <w:rFonts w:hint="eastAsia" w:ascii="方正兰亭黑简体" w:hAnsi="方正兰亭黑简体" w:eastAsia="方正兰亭黑简体" w:cs="方正兰亭黑简体"/>
          <w:color w:val="auto"/>
          <w:sz w:val="22"/>
          <w:szCs w:val="28"/>
          <w:highlight w:val="none"/>
          <w:lang w:eastAsia="zh-CN"/>
        </w:rPr>
        <w:t>；</w:t>
      </w:r>
    </w:p>
    <w:p w14:paraId="11D14FFE">
      <w:pPr>
        <w:jc w:val="left"/>
        <w:rPr>
          <w:rFonts w:hint="eastAsia" w:ascii="方正兰亭黑简体" w:hAnsi="方正兰亭黑简体" w:eastAsia="方正兰亭黑简体" w:cs="方正兰亭黑简体"/>
          <w:color w:val="auto"/>
          <w:sz w:val="22"/>
          <w:szCs w:val="28"/>
          <w:highlight w:val="none"/>
          <w:lang w:eastAsia="zh-CN"/>
        </w:rPr>
      </w:pPr>
      <w:r>
        <w:rPr>
          <w:rFonts w:hint="eastAsia" w:ascii="方正兰亭黑简体" w:hAnsi="方正兰亭黑简体" w:eastAsia="方正兰亭黑简体" w:cs="方正兰亭黑简体"/>
          <w:color w:val="auto"/>
          <w:sz w:val="22"/>
          <w:szCs w:val="28"/>
          <w:highlight w:val="none"/>
        </w:rPr>
        <w:t>预算金额（亦是最高限价）：人民币</w:t>
      </w:r>
      <w:r>
        <w:rPr>
          <w:rFonts w:hint="eastAsia" w:ascii="方正兰亭黑简体" w:hAnsi="方正兰亭黑简体" w:eastAsia="方正兰亭黑简体" w:cs="方正兰亭黑简体"/>
          <w:color w:val="auto"/>
          <w:sz w:val="22"/>
          <w:szCs w:val="28"/>
          <w:highlight w:val="none"/>
          <w:lang w:val="en-US" w:eastAsia="zh-CN"/>
        </w:rPr>
        <w:t>26</w:t>
      </w:r>
      <w:r>
        <w:rPr>
          <w:rFonts w:hint="eastAsia" w:ascii="方正兰亭黑简体" w:hAnsi="方正兰亭黑简体" w:eastAsia="方正兰亭黑简体" w:cs="方正兰亭黑简体"/>
          <w:color w:val="auto"/>
          <w:sz w:val="22"/>
          <w:szCs w:val="28"/>
          <w:highlight w:val="none"/>
        </w:rPr>
        <w:t>万元</w:t>
      </w:r>
      <w:r>
        <w:rPr>
          <w:rFonts w:hint="eastAsia" w:ascii="方正兰亭黑简体" w:hAnsi="方正兰亭黑简体" w:eastAsia="方正兰亭黑简体" w:cs="方正兰亭黑简体"/>
          <w:color w:val="auto"/>
          <w:sz w:val="22"/>
          <w:szCs w:val="28"/>
          <w:highlight w:val="none"/>
          <w:lang w:eastAsia="zh-CN"/>
        </w:rPr>
        <w:t>；</w:t>
      </w:r>
    </w:p>
    <w:p w14:paraId="192657F0">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采购需求：</w:t>
      </w:r>
      <w:r>
        <w:rPr>
          <w:rFonts w:hint="eastAsia" w:ascii="方正兰亭黑简体" w:hAnsi="方正兰亭黑简体" w:eastAsia="方正兰亭黑简体" w:cs="方正兰亭黑简体"/>
          <w:color w:val="auto"/>
          <w:sz w:val="22"/>
          <w:szCs w:val="28"/>
          <w:highlight w:val="none"/>
          <w:lang w:val="en-US" w:eastAsia="zh-CN"/>
        </w:rPr>
        <w:t>本项目须采购一套智能工业机器人综合实训台，该实训台集成工业机器人操作、PLC控制、传感器检测、气动执行、视觉识别、自动搬运与分拣等功能，构建集安装、调试、编程与运行维护于一体的综合实训单元。（具体</w:t>
      </w:r>
      <w:r>
        <w:rPr>
          <w:rFonts w:hint="eastAsia" w:ascii="方正兰亭黑简体" w:hAnsi="方正兰亭黑简体" w:eastAsia="方正兰亭黑简体" w:cs="方正兰亭黑简体"/>
          <w:color w:val="auto"/>
          <w:sz w:val="22"/>
          <w:szCs w:val="28"/>
          <w:highlight w:val="none"/>
        </w:rPr>
        <w:t>要求详见比选文件—第二</w:t>
      </w:r>
      <w:r>
        <w:rPr>
          <w:rFonts w:hint="eastAsia" w:ascii="方正兰亭黑简体" w:hAnsi="方正兰亭黑简体" w:eastAsia="方正兰亭黑简体" w:cs="方正兰亭黑简体"/>
          <w:color w:val="auto"/>
          <w:sz w:val="22"/>
          <w:szCs w:val="28"/>
          <w:highlight w:val="none"/>
          <w:lang w:val="en-US" w:eastAsia="zh-CN"/>
        </w:rPr>
        <w:t>章节</w:t>
      </w:r>
      <w:r>
        <w:rPr>
          <w:rFonts w:hint="eastAsia" w:ascii="方正兰亭黑简体" w:hAnsi="方正兰亭黑简体" w:eastAsia="方正兰亭黑简体" w:cs="方正兰亭黑简体"/>
          <w:color w:val="auto"/>
          <w:sz w:val="22"/>
          <w:szCs w:val="28"/>
          <w:highlight w:val="none"/>
        </w:rPr>
        <w:t>采购需求）</w:t>
      </w:r>
    </w:p>
    <w:p w14:paraId="07A4D9AA">
      <w:pPr>
        <w:jc w:val="left"/>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交付地址：上海市浦东大道2600号</w:t>
      </w:r>
      <w:bookmarkStart w:id="4" w:name="_GoBack"/>
      <w:bookmarkEnd w:id="4"/>
      <w:r>
        <w:rPr>
          <w:rFonts w:hint="eastAsia" w:ascii="方正兰亭黑简体" w:hAnsi="方正兰亭黑简体" w:eastAsia="方正兰亭黑简体" w:cs="方正兰亭黑简体"/>
          <w:color w:val="auto"/>
          <w:sz w:val="22"/>
          <w:szCs w:val="28"/>
          <w:highlight w:val="none"/>
          <w:lang w:val="en-US" w:eastAsia="zh-CN"/>
        </w:rPr>
        <w:t>。</w:t>
      </w:r>
    </w:p>
    <w:p w14:paraId="1B7A6D3F">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交付时间：合同签订后30日内完成安装、调试，满足科研项目要求。</w:t>
      </w:r>
    </w:p>
    <w:p w14:paraId="52623BFF">
      <w:pPr>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质保时间：提供不少于3年的免费质保服务。</w:t>
      </w:r>
    </w:p>
    <w:p w14:paraId="27BDE804">
      <w:pPr>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付款方式：</w:t>
      </w:r>
      <w:r>
        <w:rPr>
          <w:rFonts w:hint="eastAsia" w:ascii="方正兰亭黑简体" w:hAnsi="方正兰亭黑简体" w:eastAsia="方正兰亭黑简体" w:cs="方正兰亭黑简体"/>
          <w:color w:val="auto"/>
          <w:sz w:val="22"/>
          <w:szCs w:val="28"/>
          <w:highlight w:val="none"/>
          <w:lang w:val="en-US" w:eastAsia="zh-CN"/>
        </w:rPr>
        <w:t>合同签订后十个工作日内，甲方支付70%预付款，整体</w:t>
      </w:r>
      <w:r>
        <w:rPr>
          <w:rFonts w:hint="eastAsia" w:ascii="方正兰亭黑简体" w:hAnsi="方正兰亭黑简体" w:eastAsia="方正兰亭黑简体" w:cs="方正兰亭黑简体"/>
          <w:color w:val="auto"/>
          <w:sz w:val="22"/>
          <w:szCs w:val="28"/>
          <w:highlight w:val="none"/>
        </w:rPr>
        <w:t>验收合格后</w:t>
      </w:r>
      <w:r>
        <w:rPr>
          <w:rFonts w:hint="eastAsia" w:ascii="方正兰亭黑简体" w:hAnsi="方正兰亭黑简体" w:eastAsia="方正兰亭黑简体" w:cs="方正兰亭黑简体"/>
          <w:color w:val="auto"/>
          <w:sz w:val="22"/>
          <w:szCs w:val="28"/>
          <w:highlight w:val="none"/>
          <w:lang w:val="en-US" w:eastAsia="zh-CN"/>
        </w:rPr>
        <w:t>的十个工作日内</w:t>
      </w:r>
      <w:r>
        <w:rPr>
          <w:rFonts w:hint="eastAsia"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lang w:val="en-US" w:eastAsia="zh-CN"/>
        </w:rPr>
        <w:t>甲方支付剩余30%款项</w:t>
      </w:r>
      <w:r>
        <w:rPr>
          <w:rFonts w:hint="eastAsia" w:ascii="方正兰亭黑简体" w:hAnsi="方正兰亭黑简体" w:eastAsia="方正兰亭黑简体" w:cs="方正兰亭黑简体"/>
          <w:color w:val="auto"/>
          <w:sz w:val="22"/>
          <w:szCs w:val="28"/>
          <w:highlight w:val="none"/>
        </w:rPr>
        <w:t>。合同内全部款项均以“银行转账”方式予以支付。</w:t>
      </w:r>
    </w:p>
    <w:p w14:paraId="41BEA8D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二、</w:t>
      </w:r>
      <w:r>
        <w:rPr>
          <w:rFonts w:hint="eastAsia" w:ascii="方正兰亭黑简体" w:hAnsi="方正兰亭黑简体" w:eastAsia="方正兰亭黑简体" w:cs="方正兰亭黑简体"/>
          <w:b/>
          <w:bCs/>
          <w:color w:val="auto"/>
          <w:sz w:val="22"/>
          <w:szCs w:val="28"/>
          <w:highlight w:val="none"/>
          <w:lang w:val="en-US" w:eastAsia="zh-CN"/>
        </w:rPr>
        <w:t>报价</w:t>
      </w:r>
      <w:r>
        <w:rPr>
          <w:rFonts w:hint="eastAsia" w:ascii="方正兰亭黑简体" w:hAnsi="方正兰亭黑简体" w:eastAsia="方正兰亭黑简体" w:cs="方正兰亭黑简体"/>
          <w:b/>
          <w:bCs/>
          <w:color w:val="auto"/>
          <w:sz w:val="22"/>
          <w:szCs w:val="28"/>
          <w:highlight w:val="none"/>
        </w:rPr>
        <w:t>人的资格要求</w:t>
      </w:r>
    </w:p>
    <w:p w14:paraId="022E876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1、符合</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中华人民共和国</w:t>
      </w:r>
      <w:r>
        <w:rPr>
          <w:rFonts w:hint="eastAsia" w:ascii="方正兰亭黑简体" w:hAnsi="方正兰亭黑简体" w:eastAsia="方正兰亭黑简体" w:cs="方正兰亭黑简体"/>
          <w:color w:val="auto"/>
          <w:sz w:val="22"/>
          <w:szCs w:val="28"/>
          <w:highlight w:val="none"/>
        </w:rPr>
        <w:t>政府采购法</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rPr>
        <w:t>第二十二条之供应商资格规定。</w:t>
      </w:r>
    </w:p>
    <w:p w14:paraId="6441606B">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2、供应商未被列入“信用中国”网站（www.creditchina.gov.cn）失信执行人名单、重大税收违法案件当事人名单和中国政府采购网（www.ccgp.gov.cn）政府</w:t>
      </w:r>
      <w:r>
        <w:rPr>
          <w:rFonts w:hint="eastAsia" w:ascii="方正兰亭黑简体" w:hAnsi="方正兰亭黑简体" w:eastAsia="方正兰亭黑简体" w:cs="方正兰亭黑简体"/>
          <w:color w:val="auto"/>
          <w:sz w:val="22"/>
          <w:szCs w:val="28"/>
          <w:highlight w:val="none"/>
          <w:lang w:val="en-US" w:eastAsia="zh-CN"/>
        </w:rPr>
        <w:t>采购</w:t>
      </w:r>
      <w:r>
        <w:rPr>
          <w:rFonts w:hint="eastAsia" w:ascii="方正兰亭黑简体" w:hAnsi="方正兰亭黑简体" w:eastAsia="方正兰亭黑简体" w:cs="方正兰亭黑简体"/>
          <w:color w:val="auto"/>
          <w:sz w:val="22"/>
          <w:szCs w:val="28"/>
          <w:highlight w:val="none"/>
        </w:rPr>
        <w:t>严重违法失信行为记录名单的供应商。</w:t>
      </w:r>
    </w:p>
    <w:p w14:paraId="3A3BF07A">
      <w:pPr>
        <w:jc w:val="left"/>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3、</w:t>
      </w:r>
      <w:r>
        <w:rPr>
          <w:rFonts w:hint="eastAsia" w:ascii="方正兰亭黑简体" w:hAnsi="方正兰亭黑简体" w:eastAsia="方正兰亭黑简体" w:cs="方正兰亭黑简体"/>
          <w:color w:val="auto"/>
          <w:sz w:val="22"/>
          <w:szCs w:val="28"/>
          <w:highlight w:val="none"/>
        </w:rPr>
        <w:t>经营范围及拟投标货物（服务）符合本次比选要求，具有与本次投标货物（服务）相应的经营、代理（经销）资质，能全程参与并完成本项目，且具有较强的服务能力，以及畅通的问题响应机制和渠道等；</w:t>
      </w:r>
    </w:p>
    <w:p w14:paraId="3710B34B">
      <w:pPr>
        <w:jc w:val="left"/>
        <w:rPr>
          <w:rFonts w:hint="eastAsia" w:ascii="方正兰亭黑简体" w:hAnsi="方正兰亭黑简体" w:eastAsia="方正兰亭黑简体" w:cs="方正兰亭黑简体"/>
          <w:b/>
          <w:bCs/>
          <w:color w:val="auto"/>
          <w:sz w:val="22"/>
          <w:szCs w:val="28"/>
          <w:highlight w:val="none"/>
          <w:lang w:val="en-US" w:eastAsia="zh-CN"/>
        </w:rPr>
      </w:pPr>
      <w:r>
        <w:rPr>
          <w:rFonts w:hint="eastAsia" w:ascii="方正兰亭黑简体" w:hAnsi="方正兰亭黑简体" w:eastAsia="方正兰亭黑简体" w:cs="方正兰亭黑简体"/>
          <w:b/>
          <w:bCs/>
          <w:color w:val="auto"/>
          <w:sz w:val="22"/>
          <w:szCs w:val="28"/>
          <w:highlight w:val="none"/>
        </w:rPr>
        <w:t>三、报名</w:t>
      </w:r>
      <w:r>
        <w:rPr>
          <w:rFonts w:hint="eastAsia" w:ascii="方正兰亭黑简体" w:hAnsi="方正兰亭黑简体" w:eastAsia="方正兰亭黑简体" w:cs="方正兰亭黑简体"/>
          <w:b/>
          <w:bCs/>
          <w:color w:val="auto"/>
          <w:sz w:val="22"/>
          <w:szCs w:val="28"/>
          <w:highlight w:val="none"/>
          <w:lang w:val="en-US" w:eastAsia="zh-CN"/>
        </w:rPr>
        <w:t>要求</w:t>
      </w:r>
    </w:p>
    <w:p w14:paraId="04917284">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报名邮箱、时间：不单独组织报名，意向单位可在截止日期前递交响应文件。</w:t>
      </w:r>
    </w:p>
    <w:p w14:paraId="24CD6CDE">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四、获取采购文件</w:t>
      </w:r>
    </w:p>
    <w:p w14:paraId="5050A62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获取方式：公告页面</w:t>
      </w:r>
      <w:r>
        <w:rPr>
          <w:rFonts w:hint="eastAsia" w:ascii="方正兰亭黑简体" w:hAnsi="方正兰亭黑简体" w:eastAsia="方正兰亭黑简体" w:cs="方正兰亭黑简体"/>
          <w:color w:val="auto"/>
          <w:sz w:val="22"/>
          <w:szCs w:val="28"/>
          <w:highlight w:val="none"/>
          <w:lang w:val="en-US" w:eastAsia="zh-CN"/>
        </w:rPr>
        <w:t>下方自行</w:t>
      </w:r>
      <w:r>
        <w:rPr>
          <w:rFonts w:hint="eastAsia" w:ascii="方正兰亭黑简体" w:hAnsi="方正兰亭黑简体" w:eastAsia="方正兰亭黑简体" w:cs="方正兰亭黑简体"/>
          <w:color w:val="auto"/>
          <w:sz w:val="22"/>
          <w:szCs w:val="28"/>
          <w:highlight w:val="none"/>
        </w:rPr>
        <w:t>下载</w:t>
      </w:r>
    </w:p>
    <w:p w14:paraId="4D745344">
      <w:pPr>
        <w:jc w:val="left"/>
        <w:rPr>
          <w:rFonts w:hint="eastAsia" w:ascii="方正兰亭黑简体" w:hAnsi="方正兰亭黑简体" w:eastAsia="方正兰亭黑简体" w:cs="方正兰亭黑简体"/>
          <w:b/>
          <w:bCs/>
          <w:color w:val="auto"/>
          <w:sz w:val="22"/>
          <w:szCs w:val="28"/>
          <w:highlight w:val="none"/>
        </w:rPr>
      </w:pPr>
      <w:bookmarkStart w:id="0" w:name="_Toc28359005"/>
      <w:r>
        <w:rPr>
          <w:rFonts w:hint="eastAsia" w:ascii="方正兰亭黑简体" w:hAnsi="方正兰亭黑简体" w:eastAsia="方正兰亭黑简体" w:cs="方正兰亭黑简体"/>
          <w:b/>
          <w:bCs/>
          <w:color w:val="auto"/>
          <w:sz w:val="22"/>
          <w:szCs w:val="28"/>
          <w:highlight w:val="none"/>
        </w:rPr>
        <w:t>五、现场踏勘</w:t>
      </w:r>
      <w:bookmarkEnd w:id="0"/>
    </w:p>
    <w:p w14:paraId="2C26225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不组织。</w:t>
      </w:r>
    </w:p>
    <w:p w14:paraId="213C813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lang w:val="en-US" w:eastAsia="zh-CN"/>
        </w:rPr>
        <w:t>六</w:t>
      </w:r>
      <w:r>
        <w:rPr>
          <w:rFonts w:hint="eastAsia" w:ascii="方正兰亭黑简体" w:hAnsi="方正兰亭黑简体" w:eastAsia="方正兰亭黑简体" w:cs="方正兰亭黑简体"/>
          <w:b/>
          <w:bCs/>
          <w:color w:val="auto"/>
          <w:sz w:val="22"/>
          <w:szCs w:val="28"/>
          <w:highlight w:val="none"/>
        </w:rPr>
        <w:t>、响应文件提交</w:t>
      </w:r>
    </w:p>
    <w:p w14:paraId="231DF229">
      <w:pPr>
        <w:jc w:val="left"/>
        <w:rPr>
          <w:rFonts w:hint="eastAsia" w:ascii="方正兰亭黑简体" w:hAnsi="方正兰亭黑简体" w:eastAsia="方正兰亭黑简体" w:cs="方正兰亭黑简体"/>
          <w:color w:val="auto"/>
          <w:sz w:val="22"/>
          <w:szCs w:val="28"/>
          <w:highlight w:val="none"/>
          <w:lang w:eastAsia="zh-CN"/>
        </w:rPr>
      </w:pPr>
      <w:bookmarkStart w:id="1" w:name="_Toc35393795"/>
      <w:bookmarkEnd w:id="1"/>
      <w:bookmarkStart w:id="2" w:name="_Toc35393626"/>
      <w:r>
        <w:rPr>
          <w:rFonts w:hint="eastAsia" w:ascii="方正兰亭黑简体" w:hAnsi="方正兰亭黑简体" w:eastAsia="方正兰亭黑简体" w:cs="方正兰亭黑简体"/>
          <w:color w:val="auto"/>
          <w:sz w:val="22"/>
          <w:szCs w:val="28"/>
          <w:highlight w:val="none"/>
        </w:rPr>
        <w:t>截止</w:t>
      </w:r>
      <w:bookmarkEnd w:id="2"/>
      <w:r>
        <w:rPr>
          <w:rFonts w:hint="eastAsia" w:ascii="方正兰亭黑简体" w:hAnsi="方正兰亭黑简体" w:eastAsia="方正兰亭黑简体" w:cs="方正兰亭黑简体"/>
          <w:color w:val="auto"/>
          <w:sz w:val="22"/>
          <w:szCs w:val="28"/>
          <w:highlight w:val="none"/>
        </w:rPr>
        <w:t>时间：202</w:t>
      </w:r>
      <w:r>
        <w:rPr>
          <w:rFonts w:hint="eastAsia" w:ascii="方正兰亭黑简体" w:hAnsi="方正兰亭黑简体" w:eastAsia="方正兰亭黑简体" w:cs="方正兰亭黑简体"/>
          <w:color w:val="auto"/>
          <w:sz w:val="22"/>
          <w:szCs w:val="28"/>
          <w:highlight w:val="none"/>
          <w:lang w:val="en-US" w:eastAsia="zh-CN"/>
        </w:rPr>
        <w:t>6</w:t>
      </w:r>
      <w:r>
        <w:rPr>
          <w:rFonts w:hint="eastAsia" w:ascii="方正兰亭黑简体" w:hAnsi="方正兰亭黑简体" w:eastAsia="方正兰亭黑简体" w:cs="方正兰亭黑简体"/>
          <w:color w:val="auto"/>
          <w:sz w:val="22"/>
          <w:szCs w:val="28"/>
          <w:highlight w:val="none"/>
        </w:rPr>
        <w:t>年</w:t>
      </w:r>
      <w:r>
        <w:rPr>
          <w:rFonts w:hint="eastAsia" w:ascii="方正兰亭黑简体" w:hAnsi="方正兰亭黑简体" w:eastAsia="方正兰亭黑简体" w:cs="方正兰亭黑简体"/>
          <w:color w:val="auto"/>
          <w:sz w:val="22"/>
          <w:szCs w:val="28"/>
          <w:highlight w:val="none"/>
          <w:lang w:val="en-US" w:eastAsia="zh-CN"/>
        </w:rPr>
        <w:t>7</w:t>
      </w:r>
      <w:r>
        <w:rPr>
          <w:rFonts w:hint="eastAsia" w:ascii="方正兰亭黑简体" w:hAnsi="方正兰亭黑简体" w:eastAsia="方正兰亭黑简体" w:cs="方正兰亭黑简体"/>
          <w:color w:val="auto"/>
          <w:sz w:val="22"/>
          <w:szCs w:val="28"/>
          <w:highlight w:val="none"/>
        </w:rPr>
        <w:t>月</w:t>
      </w:r>
      <w:r>
        <w:rPr>
          <w:rFonts w:hint="eastAsia" w:ascii="方正兰亭黑简体" w:hAnsi="方正兰亭黑简体" w:eastAsia="方正兰亭黑简体" w:cs="方正兰亭黑简体"/>
          <w:color w:val="auto"/>
          <w:sz w:val="22"/>
          <w:szCs w:val="28"/>
          <w:highlight w:val="none"/>
          <w:lang w:val="en-US" w:eastAsia="zh-CN"/>
        </w:rPr>
        <w:t>31</w:t>
      </w:r>
      <w:r>
        <w:rPr>
          <w:rFonts w:hint="eastAsia" w:ascii="方正兰亭黑简体" w:hAnsi="方正兰亭黑简体" w:eastAsia="方正兰亭黑简体" w:cs="方正兰亭黑简体"/>
          <w:color w:val="auto"/>
          <w:sz w:val="22"/>
          <w:szCs w:val="28"/>
          <w:highlight w:val="none"/>
        </w:rPr>
        <w:t>日</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周五</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上午11</w:t>
      </w:r>
      <w:r>
        <w:rPr>
          <w:rFonts w:hint="eastAsia" w:ascii="方正兰亭黑简体" w:hAnsi="方正兰亭黑简体" w:eastAsia="方正兰亭黑简体" w:cs="方正兰亭黑简体"/>
          <w:color w:val="auto"/>
          <w:sz w:val="22"/>
          <w:szCs w:val="28"/>
          <w:highlight w:val="none"/>
        </w:rPr>
        <w:t>时</w:t>
      </w:r>
      <w:r>
        <w:rPr>
          <w:rFonts w:hint="eastAsia" w:ascii="方正兰亭黑简体" w:hAnsi="方正兰亭黑简体" w:eastAsia="方正兰亭黑简体" w:cs="方正兰亭黑简体"/>
          <w:color w:val="auto"/>
          <w:sz w:val="22"/>
          <w:szCs w:val="28"/>
          <w:highlight w:val="none"/>
          <w:lang w:val="en-US" w:eastAsia="zh-CN"/>
        </w:rPr>
        <w:t>00</w:t>
      </w:r>
      <w:r>
        <w:rPr>
          <w:rFonts w:hint="eastAsia" w:ascii="方正兰亭黑简体" w:hAnsi="方正兰亭黑简体" w:eastAsia="方正兰亭黑简体" w:cs="方正兰亭黑简体"/>
          <w:color w:val="auto"/>
          <w:sz w:val="22"/>
          <w:szCs w:val="28"/>
          <w:highlight w:val="none"/>
        </w:rPr>
        <w:t>分</w:t>
      </w:r>
    </w:p>
    <w:p w14:paraId="52EA2719">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提交方式：发送盖章扫描版</w:t>
      </w:r>
      <w:r>
        <w:rPr>
          <w:rFonts w:hint="eastAsia" w:ascii="方正兰亭黑简体" w:hAnsi="方正兰亭黑简体" w:eastAsia="方正兰亭黑简体" w:cs="方正兰亭黑简体"/>
          <w:color w:val="auto"/>
          <w:sz w:val="22"/>
          <w:szCs w:val="28"/>
          <w:highlight w:val="none"/>
          <w:lang w:val="en-US" w:eastAsia="zh-CN"/>
        </w:rPr>
        <w:t>PDF</w:t>
      </w:r>
      <w:r>
        <w:rPr>
          <w:rFonts w:hint="eastAsia" w:ascii="方正兰亭黑简体" w:hAnsi="方正兰亭黑简体" w:eastAsia="方正兰亭黑简体" w:cs="方正兰亭黑简体"/>
          <w:color w:val="auto"/>
          <w:sz w:val="22"/>
          <w:szCs w:val="28"/>
          <w:highlight w:val="none"/>
        </w:rPr>
        <w:t>到指定邮箱</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邮件名称：项目编号+公司名称</w:t>
      </w:r>
    </w:p>
    <w:p w14:paraId="45738F2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邮箱地址：</w:t>
      </w:r>
      <w:r>
        <w:rPr>
          <w:rFonts w:hint="eastAsia" w:ascii="方正兰亭黑简体" w:hAnsi="方正兰亭黑简体" w:eastAsia="方正兰亭黑简体" w:cs="方正兰亭黑简体"/>
          <w:color w:val="auto"/>
          <w:sz w:val="22"/>
          <w:szCs w:val="28"/>
          <w:highlight w:val="none"/>
          <w:u w:val="none"/>
        </w:rPr>
        <w:t>quotation@shmtu.edu.cn</w:t>
      </w:r>
    </w:p>
    <w:p w14:paraId="7C16205B">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lang w:val="en-US" w:eastAsia="zh-CN"/>
        </w:rPr>
        <w:t>七</w:t>
      </w:r>
      <w:r>
        <w:rPr>
          <w:rFonts w:hint="eastAsia" w:ascii="方正兰亭黑简体" w:hAnsi="方正兰亭黑简体" w:eastAsia="方正兰亭黑简体" w:cs="方正兰亭黑简体"/>
          <w:b/>
          <w:bCs/>
          <w:color w:val="auto"/>
          <w:sz w:val="22"/>
          <w:szCs w:val="28"/>
          <w:highlight w:val="none"/>
        </w:rPr>
        <w:t>、其他补充事宜</w:t>
      </w:r>
    </w:p>
    <w:p w14:paraId="3C9CF2D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1.中标结果将通过发布比选公告的媒介进行公示，公示期</w:t>
      </w:r>
      <w:r>
        <w:rPr>
          <w:rFonts w:hint="eastAsia" w:ascii="方正兰亭黑简体" w:hAnsi="方正兰亭黑简体" w:eastAsia="方正兰亭黑简体" w:cs="方正兰亭黑简体"/>
          <w:color w:val="auto"/>
          <w:sz w:val="22"/>
          <w:szCs w:val="28"/>
          <w:highlight w:val="none"/>
          <w:lang w:val="en-US" w:eastAsia="zh-CN"/>
        </w:rPr>
        <w:t>为1个工作日</w:t>
      </w:r>
      <w:r>
        <w:rPr>
          <w:rFonts w:hint="eastAsia" w:ascii="方正兰亭黑简体" w:hAnsi="方正兰亭黑简体" w:eastAsia="方正兰亭黑简体" w:cs="方正兰亭黑简体"/>
          <w:color w:val="auto"/>
          <w:sz w:val="22"/>
          <w:szCs w:val="28"/>
          <w:highlight w:val="none"/>
        </w:rPr>
        <w:t>，公示期内如对中标结果有异议可向校方提出书面质疑。</w:t>
      </w:r>
      <w:bookmarkStart w:id="3" w:name="_Toc35393627"/>
    </w:p>
    <w:p w14:paraId="17FB2B9E">
      <w:pPr>
        <w:jc w:val="left"/>
        <w:rPr>
          <w:rFonts w:hint="eastAsia" w:ascii="方正兰亭黑简体" w:hAnsi="方正兰亭黑简体" w:eastAsia="方正兰亭黑简体" w:cs="方正兰亭黑简体"/>
          <w:color w:val="auto"/>
          <w:sz w:val="22"/>
          <w:szCs w:val="28"/>
          <w:highlight w:val="none"/>
          <w:lang w:eastAsia="zh-CN"/>
        </w:rPr>
      </w:pPr>
      <w:r>
        <w:rPr>
          <w:rFonts w:hint="eastAsia" w:ascii="方正兰亭黑简体" w:hAnsi="方正兰亭黑简体" w:eastAsia="方正兰亭黑简体" w:cs="方正兰亭黑简体"/>
          <w:color w:val="auto"/>
          <w:sz w:val="22"/>
          <w:szCs w:val="28"/>
          <w:highlight w:val="none"/>
        </w:rPr>
        <w:t>2.</w:t>
      </w:r>
      <w:bookmarkEnd w:id="3"/>
      <w:r>
        <w:rPr>
          <w:rFonts w:hint="eastAsia" w:ascii="方正兰亭黑简体" w:hAnsi="方正兰亭黑简体" w:eastAsia="方正兰亭黑简体" w:cs="方正兰亭黑简体"/>
          <w:color w:val="auto"/>
          <w:sz w:val="22"/>
          <w:szCs w:val="28"/>
          <w:highlight w:val="none"/>
        </w:rPr>
        <w:t>凡对本次采购提出询问，请按以下方式联系</w:t>
      </w:r>
      <w:r>
        <w:rPr>
          <w:rFonts w:hint="eastAsia" w:ascii="方正兰亭黑简体" w:hAnsi="方正兰亭黑简体" w:eastAsia="方正兰亭黑简体" w:cs="方正兰亭黑简体"/>
          <w:color w:val="auto"/>
          <w:sz w:val="22"/>
          <w:szCs w:val="28"/>
          <w:highlight w:val="none"/>
          <w:lang w:eastAsia="zh-CN"/>
        </w:rPr>
        <w:t>：</w:t>
      </w:r>
    </w:p>
    <w:p w14:paraId="53930B0F">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商务信息：</w:t>
      </w:r>
      <w:r>
        <w:rPr>
          <w:rFonts w:hint="eastAsia" w:ascii="方正兰亭黑简体" w:hAnsi="方正兰亭黑简体" w:eastAsia="方正兰亭黑简体" w:cs="方正兰亭黑简体"/>
          <w:color w:val="auto"/>
          <w:sz w:val="22"/>
          <w:szCs w:val="28"/>
          <w:highlight w:val="none"/>
          <w:lang w:val="en-US" w:eastAsia="zh-CN"/>
        </w:rPr>
        <w:t>仲</w:t>
      </w:r>
      <w:r>
        <w:rPr>
          <w:rFonts w:hint="eastAsia" w:ascii="方正兰亭黑简体" w:hAnsi="方正兰亭黑简体" w:eastAsia="方正兰亭黑简体" w:cs="方正兰亭黑简体"/>
          <w:color w:val="auto"/>
          <w:sz w:val="22"/>
          <w:szCs w:val="28"/>
          <w:highlight w:val="none"/>
        </w:rPr>
        <w:t>老师021-3828470</w:t>
      </w:r>
      <w:r>
        <w:rPr>
          <w:rFonts w:hint="eastAsia" w:ascii="方正兰亭黑简体" w:hAnsi="方正兰亭黑简体" w:eastAsia="方正兰亭黑简体" w:cs="方正兰亭黑简体"/>
          <w:color w:val="auto"/>
          <w:sz w:val="22"/>
          <w:szCs w:val="28"/>
          <w:highlight w:val="none"/>
          <w:lang w:val="en-US" w:eastAsia="zh-CN"/>
        </w:rPr>
        <w:t>7、13764131075</w:t>
      </w:r>
    </w:p>
    <w:p w14:paraId="1CEF1F38">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技术信息：</w:t>
      </w:r>
      <w:r>
        <w:rPr>
          <w:rFonts w:hint="eastAsia" w:ascii="方正兰亭黑简体" w:hAnsi="方正兰亭黑简体" w:eastAsia="方正兰亭黑简体" w:cs="方正兰亭黑简体"/>
          <w:color w:val="auto"/>
          <w:sz w:val="22"/>
          <w:szCs w:val="28"/>
          <w:highlight w:val="none"/>
          <w:lang w:val="en-US" w:eastAsia="zh-CN"/>
        </w:rPr>
        <w:t>沈老师021-50460391、13564049658</w:t>
      </w:r>
    </w:p>
    <w:p w14:paraId="52A47FAD">
      <w:pP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br w:type="page"/>
      </w:r>
    </w:p>
    <w:p w14:paraId="4B9C0EF3">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第二章 采购需求</w:t>
      </w:r>
    </w:p>
    <w:p w14:paraId="2B6E113B">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一、项目概况</w:t>
      </w:r>
    </w:p>
    <w:p w14:paraId="0950B331">
      <w:pPr>
        <w:spacing w:line="360" w:lineRule="auto"/>
        <w:ind w:firstLine="440" w:firstLineChars="200"/>
        <w:rPr>
          <w:rFonts w:hint="default" w:ascii="Times New Roman" w:hAnsi="Times New Roman" w:eastAsia="方正兰亭黑简体" w:cs="Times New Roman"/>
          <w:color w:val="auto"/>
          <w:sz w:val="22"/>
          <w:szCs w:val="22"/>
          <w:highlight w:val="none"/>
          <w:lang w:val="en-US" w:eastAsia="zh-CN"/>
        </w:rPr>
      </w:pPr>
      <w:r>
        <w:rPr>
          <w:rFonts w:hint="default" w:ascii="Times New Roman" w:hAnsi="Times New Roman" w:eastAsia="方正兰亭黑简体" w:cs="Times New Roman"/>
          <w:color w:val="auto"/>
          <w:sz w:val="22"/>
          <w:szCs w:val="22"/>
          <w:highlight w:val="none"/>
        </w:rPr>
        <w:t>本次采购的智能工业机器人综合实训台，是港机远程操控和智能运维实训室运维实训模块的核心设备。该实训台集成工业机器人操作、PLC控制、传感器检测、气动执行、视觉识别、自动搬运与分拣等功能，构建集安装、调试、编程与运行维护于一体的综合实训单元。实训内容紧密对接港口智能装备典型应用场景，重点培养学生对港口机电设备安装调试、故障排查、联机运行和系统运维的实操能力。该设备与远程操控模块，共同支撑港机远程操控员、机电设备装调运维技术员等岗位的系统化培养，为港口企业输送“懂操作、会维护、能排故”的高素质技术技能人才。</w:t>
      </w:r>
    </w:p>
    <w:p w14:paraId="27219A1B">
      <w:pPr>
        <w:spacing w:line="360" w:lineRule="auto"/>
        <w:rPr>
          <w:rFonts w:hint="eastAsia" w:ascii="Times New Roman" w:hAnsi="Times New Roman" w:eastAsia="方正兰亭黑简体" w:cs="Times New Roman"/>
          <w:b/>
          <w:bCs/>
          <w:color w:val="auto"/>
          <w:sz w:val="22"/>
          <w:szCs w:val="22"/>
          <w:highlight w:val="none"/>
          <w:lang w:val="en-US" w:eastAsia="zh-CN"/>
        </w:rPr>
      </w:pPr>
    </w:p>
    <w:p w14:paraId="7DE6D34A">
      <w:pPr>
        <w:spacing w:line="360" w:lineRule="auto"/>
        <w:rPr>
          <w:rFonts w:hint="eastAsia"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二、货物清单及规格参数</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778"/>
        <w:gridCol w:w="823"/>
        <w:gridCol w:w="541"/>
        <w:gridCol w:w="541"/>
        <w:gridCol w:w="5739"/>
      </w:tblGrid>
      <w:tr w14:paraId="3F880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vAlign w:val="center"/>
          </w:tcPr>
          <w:p w14:paraId="7D900C02">
            <w:pPr>
              <w:spacing w:line="360" w:lineRule="auto"/>
              <w:jc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sz w:val="20"/>
                <w:szCs w:val="20"/>
                <w:highlight w:val="none"/>
              </w:rPr>
              <w:t>序号</w:t>
            </w:r>
          </w:p>
        </w:tc>
        <w:tc>
          <w:tcPr>
            <w:tcW w:w="0" w:type="auto"/>
            <w:vAlign w:val="center"/>
          </w:tcPr>
          <w:p w14:paraId="3E4654E1">
            <w:pPr>
              <w:widowControl/>
              <w:spacing w:line="360" w:lineRule="auto"/>
              <w:jc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sz w:val="20"/>
                <w:szCs w:val="20"/>
                <w:highlight w:val="none"/>
              </w:rPr>
              <w:t>名称</w:t>
            </w:r>
          </w:p>
        </w:tc>
        <w:tc>
          <w:tcPr>
            <w:tcW w:w="0" w:type="auto"/>
            <w:vAlign w:val="center"/>
          </w:tcPr>
          <w:p w14:paraId="3B6A564C">
            <w:pPr>
              <w:widowControl/>
              <w:spacing w:line="360" w:lineRule="auto"/>
              <w:jc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sz w:val="20"/>
                <w:szCs w:val="20"/>
                <w:highlight w:val="none"/>
              </w:rPr>
              <w:t>进口/国产</w:t>
            </w:r>
          </w:p>
        </w:tc>
        <w:tc>
          <w:tcPr>
            <w:tcW w:w="0" w:type="auto"/>
            <w:vAlign w:val="center"/>
          </w:tcPr>
          <w:p w14:paraId="18C0592B">
            <w:pPr>
              <w:widowControl/>
              <w:spacing w:line="360" w:lineRule="auto"/>
              <w:jc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sz w:val="20"/>
                <w:szCs w:val="20"/>
                <w:highlight w:val="none"/>
              </w:rPr>
              <w:t>单位</w:t>
            </w:r>
          </w:p>
        </w:tc>
        <w:tc>
          <w:tcPr>
            <w:tcW w:w="0" w:type="auto"/>
            <w:vAlign w:val="center"/>
          </w:tcPr>
          <w:p w14:paraId="14DCCB81">
            <w:pPr>
              <w:widowControl/>
              <w:spacing w:line="360" w:lineRule="auto"/>
              <w:jc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sz w:val="20"/>
                <w:szCs w:val="20"/>
                <w:highlight w:val="none"/>
              </w:rPr>
              <w:t>数量</w:t>
            </w:r>
          </w:p>
        </w:tc>
        <w:tc>
          <w:tcPr>
            <w:tcW w:w="0" w:type="auto"/>
            <w:vAlign w:val="center"/>
          </w:tcPr>
          <w:p w14:paraId="5375C4DA">
            <w:pPr>
              <w:widowControl/>
              <w:spacing w:line="360" w:lineRule="auto"/>
              <w:jc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sz w:val="20"/>
                <w:szCs w:val="20"/>
                <w:highlight w:val="none"/>
              </w:rPr>
              <w:t>主要规格</w:t>
            </w:r>
          </w:p>
        </w:tc>
      </w:tr>
      <w:tr w14:paraId="49DAE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vAlign w:val="center"/>
          </w:tcPr>
          <w:p w14:paraId="7DEF8C0B">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0" w:type="auto"/>
            <w:vAlign w:val="center"/>
          </w:tcPr>
          <w:p w14:paraId="27DFD86A">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智能⼯业机器⼈综合实训台</w:t>
            </w:r>
          </w:p>
        </w:tc>
        <w:tc>
          <w:tcPr>
            <w:tcW w:w="0" w:type="auto"/>
            <w:vAlign w:val="center"/>
          </w:tcPr>
          <w:p w14:paraId="29650F34">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国产</w:t>
            </w:r>
          </w:p>
        </w:tc>
        <w:tc>
          <w:tcPr>
            <w:tcW w:w="0" w:type="auto"/>
            <w:vAlign w:val="center"/>
          </w:tcPr>
          <w:p w14:paraId="5A208F7B">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套</w:t>
            </w:r>
          </w:p>
        </w:tc>
        <w:tc>
          <w:tcPr>
            <w:tcW w:w="0" w:type="auto"/>
            <w:vAlign w:val="center"/>
          </w:tcPr>
          <w:p w14:paraId="59847C04">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0" w:type="auto"/>
          </w:tcPr>
          <w:p w14:paraId="39C2BA36">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1、工业6轴机器人；</w:t>
            </w:r>
          </w:p>
          <w:p w14:paraId="0AE75020">
            <w:pPr>
              <w:widowControl/>
              <w:spacing w:line="360" w:lineRule="auto"/>
              <w:jc w:val="left"/>
              <w:rPr>
                <w:rFonts w:hint="default" w:ascii="Times New Roman" w:hAnsi="Times New Roman" w:eastAsia="方正兰亭黑简体" w:cs="Times New Roman"/>
                <w:color w:val="auto"/>
                <w:sz w:val="20"/>
                <w:szCs w:val="20"/>
                <w:highlight w:val="none"/>
                <w:lang w:val="en-US" w:eastAsia="zh-CN"/>
              </w:rPr>
            </w:pPr>
            <w:r>
              <w:rPr>
                <w:rFonts w:hint="default" w:ascii="Times New Roman" w:hAnsi="Times New Roman" w:eastAsia="方正兰亭黑简体" w:cs="Times New Roman"/>
                <w:color w:val="auto"/>
                <w:sz w:val="20"/>
                <w:szCs w:val="20"/>
                <w:highlight w:val="none"/>
              </w:rPr>
              <w:t>2、PLC</w:t>
            </w:r>
            <w:r>
              <w:rPr>
                <w:rFonts w:hint="default" w:ascii="Times New Roman" w:hAnsi="Times New Roman" w:eastAsia="方正兰亭黑简体" w:cs="Times New Roman"/>
                <w:color w:val="auto"/>
                <w:sz w:val="20"/>
                <w:szCs w:val="20"/>
                <w:highlight w:val="none"/>
                <w:lang w:val="en-US" w:eastAsia="zh-CN"/>
              </w:rPr>
              <w:t>控制器；</w:t>
            </w:r>
          </w:p>
          <w:p w14:paraId="6F4321DB">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3、工业视觉模块；</w:t>
            </w:r>
          </w:p>
          <w:p w14:paraId="7D76C8EA">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4、功能单元：自动供料、输送带、环形传送、立体仓库（6仓位）、气动快换工具、RFID读写；</w:t>
            </w:r>
          </w:p>
          <w:p w14:paraId="5106AAAC">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5、</w:t>
            </w:r>
            <w:r>
              <w:rPr>
                <w:rFonts w:hint="default" w:ascii="Times New Roman" w:hAnsi="Times New Roman" w:eastAsia="方正兰亭黑简体" w:cs="Times New Roman"/>
                <w:color w:val="auto"/>
                <w:sz w:val="20"/>
                <w:szCs w:val="20"/>
                <w:highlight w:val="none"/>
                <w:lang w:val="en-US" w:eastAsia="zh-CN"/>
              </w:rPr>
              <w:t>编程工作站；</w:t>
            </w:r>
          </w:p>
          <w:p w14:paraId="653ED931">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6、铝型材实训台架，集成安全保护（短路/急停/漏电），支持搬运/码垛/装配等实训。</w:t>
            </w:r>
          </w:p>
        </w:tc>
      </w:tr>
    </w:tbl>
    <w:p w14:paraId="4754FDC1">
      <w:pPr>
        <w:spacing w:line="360" w:lineRule="auto"/>
        <w:rPr>
          <w:rFonts w:hint="eastAsia" w:ascii="Times New Roman" w:hAnsi="Times New Roman" w:eastAsia="方正兰亭黑简体" w:cs="Times New Roman"/>
          <w:b/>
          <w:bCs/>
          <w:color w:val="auto"/>
          <w:sz w:val="22"/>
          <w:szCs w:val="22"/>
          <w:highlight w:val="none"/>
          <w:lang w:val="en-US" w:eastAsia="zh-CN"/>
        </w:rPr>
      </w:pPr>
    </w:p>
    <w:p w14:paraId="75A7C11C">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三、技术要求</w:t>
      </w:r>
    </w:p>
    <w:p w14:paraId="5D8580A5">
      <w:pPr>
        <w:pStyle w:val="2"/>
        <w:spacing w:line="360" w:lineRule="auto"/>
        <w:rPr>
          <w:rFonts w:hint="default" w:ascii="Times New Roman" w:hAnsi="Times New Roman" w:eastAsia="方正兰亭黑简体" w:cs="Times New Roman"/>
          <w:b/>
          <w:bCs/>
          <w:color w:val="auto"/>
          <w:kern w:val="2"/>
          <w:sz w:val="22"/>
          <w:szCs w:val="22"/>
          <w:highlight w:val="none"/>
        </w:rPr>
      </w:pPr>
      <w:r>
        <w:rPr>
          <w:rFonts w:hint="default" w:ascii="Times New Roman" w:hAnsi="Times New Roman" w:eastAsia="方正兰亭黑简体" w:cs="Times New Roman"/>
          <w:b/>
          <w:bCs/>
          <w:color w:val="auto"/>
          <w:kern w:val="2"/>
          <w:sz w:val="22"/>
          <w:szCs w:val="22"/>
          <w:highlight w:val="none"/>
        </w:rPr>
        <w:t>（1）、智能⼯业机器⼈综合实训台整体技术要求</w:t>
      </w:r>
    </w:p>
    <w:p w14:paraId="40C3842D">
      <w:pPr>
        <w:overflowPunct w:val="0"/>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1.1打造智能制造全链条实训平台，实现从设备操作、产线模拟到生产管理、虚拟调试的一体化教学，衔接理论与工业实际应用。智能⼯业机器⼈综合实训台平台应含6轴机器人、工具快换模块、RFID读写模块，以及自动供料、直线/环形输送、组装、立体仓库等功能单元；配备视觉检测单元、PLC控制器、≥7英寸HMI触摸屏；含MES管理软件、工业物联网云平台、工厂虚拟调试仿真软件（≥200种设备库、支持虚实PLC联调）及《工业机器人编程基础》教材与数字化教学平台，投标文件中应提供该满足该装置的设计效果图。</w:t>
      </w:r>
    </w:p>
    <w:p w14:paraId="7CD992BD">
      <w:pPr>
        <w:overflowPunct w:val="0"/>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1.2可模拟智能制造产线全流程（供料-输送-检测-组装-仓储），通过视觉单元完成物料定位识别，借助MES系统实现订单/库存/生产数据管理，利用云平台远程监控设备与预测性维护，通过仿真软件搭建1:1虚拟场景并完成虚实调试。</w:t>
      </w:r>
    </w:p>
    <w:p w14:paraId="3CAF2C63">
      <w:pPr>
        <w:overflowPunct w:val="0"/>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1.3支撑《工业机器人编程基础》《工业机器人系统集成》《智能制造生产管理》《虚拟调试技术》等课程，也可覆盖机器视觉应用、工业物联网技术相关教学内容。</w:t>
      </w:r>
    </w:p>
    <w:p w14:paraId="7CF4CF75">
      <w:pPr>
        <w:pStyle w:val="2"/>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1.4 实训台具备模块化安装接口，集成短路保护、急停保护、漏电保护等安全功能。</w:t>
      </w:r>
    </w:p>
    <w:p w14:paraId="042D8CB7">
      <w:pPr>
        <w:spacing w:line="360" w:lineRule="auto"/>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（2）、采购内容明细及技术要求</w:t>
      </w:r>
    </w:p>
    <w:p w14:paraId="05890E42">
      <w:pPr>
        <w:widowControl/>
        <w:shd w:val="clear" w:color="auto" w:fill="FFFFFF"/>
        <w:spacing w:line="360" w:lineRule="auto"/>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2.1机器人模块</w:t>
      </w:r>
    </w:p>
    <w:p w14:paraId="6711F985">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2.1.1机器人轴数：6轴</w:t>
      </w:r>
    </w:p>
    <w:p w14:paraId="4B84A09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2.1.2额定负载：≥5kg</w:t>
      </w:r>
    </w:p>
    <w:p w14:paraId="6BFC5D9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2.1.3工作半径：≥900 mm</w:t>
      </w:r>
    </w:p>
    <w:p w14:paraId="58D4434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2.1.4重复定位精度：≤±0.02 mm</w:t>
      </w:r>
    </w:p>
    <w:p w14:paraId="792FB88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2.1.5工作速度：≥3m/s</w:t>
      </w:r>
    </w:p>
    <w:p w14:paraId="72873D2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2.1.6关节活动范围：</w:t>
      </w:r>
    </w:p>
    <w:p w14:paraId="076D2D0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2.1.6.1 J1:± 360°</w:t>
      </w:r>
    </w:p>
    <w:p w14:paraId="67264DC0">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2.1.6.2 J2:± 360°</w:t>
      </w:r>
    </w:p>
    <w:p w14:paraId="0F2E72BE">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2.1.6.3 J3:± 155°</w:t>
      </w:r>
    </w:p>
    <w:p w14:paraId="1D45583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2.1.6.4 J4:± 360°</w:t>
      </w:r>
    </w:p>
    <w:p w14:paraId="348DC765">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2.1.6.5 J5:± 360°</w:t>
      </w:r>
    </w:p>
    <w:p w14:paraId="16C137A8">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2.1.6.6 J6:± 360°</w:t>
      </w:r>
    </w:p>
    <w:p w14:paraId="65D601B6">
      <w:pPr>
        <w:pStyle w:val="25"/>
        <w:spacing w:line="360" w:lineRule="auto"/>
        <w:ind w:firstLine="0" w:firstLineChars="0"/>
        <w:jc w:val="left"/>
        <w:rPr>
          <w:rFonts w:hint="default" w:ascii="Times New Roman" w:hAnsi="Times New Roman" w:eastAsia="方正兰亭黑简体" w:cs="Times New Roman"/>
          <w:color w:val="auto"/>
          <w:kern w:val="0"/>
          <w:sz w:val="22"/>
          <w:szCs w:val="22"/>
          <w:highlight w:val="none"/>
        </w:rPr>
      </w:pPr>
      <w:r>
        <w:rPr>
          <w:rFonts w:hint="default" w:ascii="Times New Roman" w:hAnsi="Times New Roman" w:eastAsia="方正兰亭黑简体" w:cs="Times New Roman"/>
          <w:color w:val="auto"/>
          <w:sz w:val="22"/>
          <w:szCs w:val="22"/>
          <w:highlight w:val="none"/>
        </w:rPr>
        <w:t>2.1.7该模块可以多平台升级，</w:t>
      </w:r>
      <w:r>
        <w:rPr>
          <w:rFonts w:hint="default" w:ascii="Times New Roman" w:hAnsi="Times New Roman" w:eastAsia="方正兰亭黑简体" w:cs="Times New Roman"/>
          <w:color w:val="auto"/>
          <w:kern w:val="0"/>
          <w:sz w:val="22"/>
          <w:szCs w:val="22"/>
          <w:highlight w:val="none"/>
        </w:rPr>
        <w:t>能够升级至少两种以上的相关竞赛设备平台，提供相关证明。</w:t>
      </w:r>
    </w:p>
    <w:p w14:paraId="5CB11658">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2.2机器人控制器</w:t>
      </w:r>
    </w:p>
    <w:p w14:paraId="5F1EB76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2.2.1输入电源：100~240 V AC，50/60 Hz</w:t>
      </w:r>
    </w:p>
    <w:p w14:paraId="62EA151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2.2.2输出电源：≤48V DC，≤20A</w:t>
      </w:r>
    </w:p>
    <w:p w14:paraId="5E995473">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2.2.3控制器接口：</w:t>
      </w:r>
    </w:p>
    <w:p w14:paraId="7F4A111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2.2.3.1数字输入DI：≥16路</w:t>
      </w:r>
    </w:p>
    <w:p w14:paraId="4480F0A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2.2.3.2数字输出DO：≥16路（可复用为DI）</w:t>
      </w:r>
    </w:p>
    <w:p w14:paraId="3847EC57">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2.2.3.3模拟量输入AI：≥2路</w:t>
      </w:r>
    </w:p>
    <w:p w14:paraId="11892EE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2.2.3.4模拟量输出AO：≥2路</w:t>
      </w:r>
    </w:p>
    <w:p w14:paraId="7553D873">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2.2.3.5编码器输入：≥1组</w:t>
      </w:r>
    </w:p>
    <w:p w14:paraId="011B8DF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2.2.4通讯方式：TCP/IP，Modbus TCP,无线网络</w:t>
      </w:r>
    </w:p>
    <w:p w14:paraId="1B0E41C8">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2.2.5示教方法：APP、电脑、手持示教器</w:t>
      </w:r>
    </w:p>
    <w:p w14:paraId="19E5EE0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2.2.6编程语言：脚本/图形化</w:t>
      </w:r>
    </w:p>
    <w:p w14:paraId="1439D56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2.2.7防护等级：IP20</w:t>
      </w:r>
    </w:p>
    <w:p w14:paraId="7298C86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2.2.8安全功能：紧急停止功能、预留外部安全接口（可通过I/O 接口控制）保护性停止接口，自动运行远端确认接口功能。</w:t>
      </w:r>
    </w:p>
    <w:p w14:paraId="4BD7C7B0">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2.3工具快换模块</w:t>
      </w:r>
    </w:p>
    <w:p w14:paraId="09563A9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2.3.1机器人手臂安装有法兰端快换模块，可实现不同工具间无需人为干涉自动完成切换，不小于6路气动信号，额定负载不小于3kg，厚度不小于38mm，重量不小于125g。</w:t>
      </w:r>
    </w:p>
    <w:p w14:paraId="5BA6047B">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2.4工业RFID读写模块</w:t>
      </w:r>
    </w:p>
    <w:p w14:paraId="3C6EF877">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2.4.1采用IO-Link总线通讯</w:t>
      </w:r>
    </w:p>
    <w:p w14:paraId="60AEFA8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2.4.2防护等级IP67</w:t>
      </w:r>
    </w:p>
    <w:p w14:paraId="118B733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2.4.3工作温度-25～+70°C</w:t>
      </w:r>
    </w:p>
    <w:p w14:paraId="76615A43">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2.4.4尺寸≤M18*83mm</w:t>
      </w:r>
    </w:p>
    <w:p w14:paraId="10A1662B">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2.5自动供料单元</w:t>
      </w:r>
    </w:p>
    <w:p w14:paraId="5C404C70">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2.5.1功能：模块可以分离迭放在料桶管道内的杯体工件。由一个双作用气缸将其逐个推出，用于将工件库中的工件依次推出到环形输送。</w:t>
      </w:r>
    </w:p>
    <w:p w14:paraId="323707E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2.5.2模块结构组成：透明有机玻璃圆筒，型材基体，方圆型地脚盘，门式井架，推料舌块，柱型气缸，电磁阀模块、传感器、电气接口模块等组成。</w:t>
      </w:r>
    </w:p>
    <w:p w14:paraId="6DB76A0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2.5.3主题：分离。通过料仓的结构，可以对程序设计的简单和复杂主题进行讲授。料仓模块内可使用不同的工件或盖子。</w:t>
      </w:r>
    </w:p>
    <w:p w14:paraId="48E968A0">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2.5.4工作气压：0.4～0.6MPa</w:t>
      </w:r>
    </w:p>
    <w:p w14:paraId="5D92EF45">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2.5.5电源电压：24V DC</w:t>
      </w:r>
    </w:p>
    <w:p w14:paraId="40826D47">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2.5.6圆形工件尺寸：最大40mm（±1mm）</w:t>
      </w:r>
    </w:p>
    <w:p w14:paraId="54E899D2">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2.6自动供料单元2组</w:t>
      </w:r>
    </w:p>
    <w:p w14:paraId="23BB926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2.6.1功能：模块可以分离迭放在料桶管道内的储物盖工件。由一个双作用气缸将其逐个推出。</w:t>
      </w:r>
    </w:p>
    <w:p w14:paraId="03AE57A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2.6.2模块结构组成：金属料仓框、型材基体，门式井架，推料舌块，柱型气缸，电磁阀模块、传感器、电气接口模块等组成。</w:t>
      </w:r>
    </w:p>
    <w:p w14:paraId="54861D8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2.6.3主题：分离。通过料仓的结构，可以对程序设计的简单和复杂主题进行讲授。料仓模块内可使用不同的工件或盖子。</w:t>
      </w:r>
    </w:p>
    <w:p w14:paraId="7315332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2.6.4工作气压：0.4～0.6MPa</w:t>
      </w:r>
    </w:p>
    <w:p w14:paraId="0987840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2.6.5电源电压：24V DC</w:t>
      </w:r>
    </w:p>
    <w:p w14:paraId="42970767">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2.7直线输送单元</w:t>
      </w:r>
    </w:p>
    <w:p w14:paraId="1B7AFA20">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2.7.1功能：可以实现工件双向的传送，并通过安装在上面的传感器检测工件属性。</w:t>
      </w:r>
    </w:p>
    <w:p w14:paraId="592081A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2.7.2模块结构组成：由直流电机、减速器，涨紧调节装置，带轮，输送皮带，型材机体，可调支架，电机控制器、光电传感器、二维码扫描传感器，电气接口模块等组成。</w:t>
      </w:r>
    </w:p>
    <w:p w14:paraId="6208DE67">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2.7.3主题：双向传送工件，使用继电器切换及能耗制动控制。</w:t>
      </w:r>
    </w:p>
    <w:p w14:paraId="1303264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2.7.4电源电压：24V DC</w:t>
      </w:r>
    </w:p>
    <w:p w14:paraId="6BDD8EC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2.7.5最大工件宽度：40mm</w:t>
      </w:r>
    </w:p>
    <w:p w14:paraId="7290B29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2.7.6电机参数：24V，60r/min。</w:t>
      </w:r>
    </w:p>
    <w:p w14:paraId="31BD29B6">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2.8环形传送单元</w:t>
      </w:r>
    </w:p>
    <w:p w14:paraId="0989BEA3">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2.8.1功能：可以实现工件环形运送，并通过安装在上面的传感器检测工件属性。</w:t>
      </w:r>
    </w:p>
    <w:p w14:paraId="11E8FC0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2.8.2模块结构组成：由变频电机、减速器，涨紧调节装置，型材机体，可调支架，电机控制器、光电传感器、二维码扫描传感器，电气接口模块等组成。</w:t>
      </w:r>
    </w:p>
    <w:p w14:paraId="281EE577">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2.8.3主题：环形传送工件，使用变频器来控制传送带的运行。</w:t>
      </w:r>
    </w:p>
    <w:p w14:paraId="4428A61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2.8.4电源电压：220V AC。</w:t>
      </w:r>
    </w:p>
    <w:p w14:paraId="78C8438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2.8.5电机参数：三相220V，功率≥25W。</w:t>
      </w:r>
    </w:p>
    <w:p w14:paraId="1DBAB74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2.8.6 驱动器支持USS通讯，功率≥370W。</w:t>
      </w:r>
    </w:p>
    <w:p w14:paraId="761DD26D">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2.9组装单元</w:t>
      </w:r>
    </w:p>
    <w:p w14:paraId="0AD9578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2.9.1功能：该平台可放置4个工件盒，可以将传送带上的物料，按照颜色、高低、编码等不同进行分拣装配。工件盒内设有4个工件槽用于放置工件，每个工件盒和工件盖四个角带有磁性粘合，可以使工件盒与工件盖紧密组合在一起。</w:t>
      </w:r>
    </w:p>
    <w:p w14:paraId="3E01A62D">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2.10废料回收单元</w:t>
      </w:r>
    </w:p>
    <w:p w14:paraId="6650FB6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2.10.1功能：用于存储非订单的工件。（通过传感器检测，机器人将非订单中的工件，搬运到废料盒中。）</w:t>
      </w:r>
    </w:p>
    <w:p w14:paraId="3A09EA44">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2.11立体仓库单元</w:t>
      </w:r>
    </w:p>
    <w:p w14:paraId="714937B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2.11.1由铝质材料加工而成，仓位≥6，安装在型材实训桌上，用于放置装配完的组件，也可以通过机器人对装配完成的组件进行拆装，并分类放置到相应的工件料库。</w:t>
      </w:r>
    </w:p>
    <w:p w14:paraId="7719B371">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2.12视觉检测单元</w:t>
      </w:r>
    </w:p>
    <w:p w14:paraId="4873DB0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2.12.1视觉检测采用≥230万像素网口面阵，IMX249，彩色；分辨率≥1920×120，最大帧率41fps；镜头接口C-Mount，数据接口GigE。</w:t>
      </w:r>
    </w:p>
    <w:p w14:paraId="5C4DA81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2.12.2提供环形光源，供电电压≥24VDC，光照强度连续无极调节，供电电流≥440mA。</w:t>
      </w:r>
    </w:p>
    <w:p w14:paraId="698A654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2.12.3视觉算法平台，图形化编程采用拖拽流程框图完成检测项目的流程编辑；丰富的软件工具，支持VisionMaster算法开发平台，支持多种图像采集设备，能够满足机器视觉领域中定位、测量、识别、检测等需求。自带超过70个常用工具，红外检测、深度学习等多种高级算子；方便的二次开发功能，用户不仅可以使用已有工具，而且方便添加用户自己的算法功能；灵活的软件架构，支持多线程和多项目同步运行；强大的工具特性，支持任意形状ROI，支持MASK功能，支持输出门限自由配置组合，支持计算器和公式编辑功能；多样的通讯方式，包括单不限于支持数字IO，支持Modbus、TCP/IP、RS232、S7等通讯协议</w:t>
      </w:r>
    </w:p>
    <w:p w14:paraId="166BE207">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w:t>
      </w:r>
      <w:r>
        <w:rPr>
          <w:rFonts w:hint="default" w:ascii="Times New Roman" w:hAnsi="Times New Roman" w:eastAsia="方正兰亭黑简体" w:cs="Times New Roman"/>
          <w:b/>
          <w:bCs/>
          <w:color w:val="auto"/>
          <w:sz w:val="22"/>
          <w:szCs w:val="22"/>
          <w:highlight w:val="none"/>
        </w:rPr>
        <w:t>2.13 PLC控制器</w:t>
      </w:r>
    </w:p>
    <w:p w14:paraId="01F8005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2.13.1 工作存储器≥125KB，控制器布尔运算速度≤0.08us/指令，控制器浮点运算速度≤2.3us/指令。</w:t>
      </w:r>
    </w:p>
    <w:p w14:paraId="2E39BFC5">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2.13.2本体集成I/O，数字量≥14点输入/10点输出，模拟量≥2路输入、2路输出。</w:t>
      </w:r>
    </w:p>
    <w:p w14:paraId="7505DCB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2.13.3支持≥6路高速计数器，≥2路PTO/PWM高速脉冲输出信号，最高频率≥100KHz。</w:t>
      </w:r>
    </w:p>
    <w:p w14:paraId="24B93BF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2.13.4至少具备2个以太网通信端口，具有交换机功能，支持PROFINET通信。</w:t>
      </w:r>
    </w:p>
    <w:p w14:paraId="115FC07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2.13.5扩展IO模块，数字量输入/输出模块DI8×24VDC漏型/源型及DQ8×24VDC（晶体管输出）；可组态输入延时；直插式端子块。</w:t>
      </w:r>
    </w:p>
    <w:p w14:paraId="104F556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2.13.6 在工作台侧面设有PLC的网络通信接口，方便接线。</w:t>
      </w:r>
    </w:p>
    <w:p w14:paraId="16454F3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2.13.</w:t>
      </w:r>
      <w:r>
        <w:rPr>
          <w:rFonts w:hint="default" w:ascii="Times New Roman" w:hAnsi="Times New Roman" w:eastAsia="方正兰亭黑简体" w:cs="Times New Roman"/>
          <w:color w:val="auto"/>
          <w:sz w:val="22"/>
          <w:szCs w:val="22"/>
          <w:highlight w:val="none"/>
          <w:shd w:val="clear" w:color="auto" w:fill="FFFFFF"/>
        </w:rPr>
        <w:t>7配套控制器线上教学平台，线上学习平台课程大纲不少于：PLC简介、PLC基本组成与工作原理、PLC实训装置的组成、编程软件介绍、三相异步电动机自锁正转控制、三相异步电动机正反转控制、三相异步电动机Y星型降压启动控制、四节传送带控制、天塔之光控制、水塔水位控制、数码显示控制、抢答器控制、小</w:t>
      </w:r>
      <w:r>
        <w:rPr>
          <w:rFonts w:hint="default" w:ascii="Times New Roman" w:hAnsi="Times New Roman" w:eastAsia="方正兰亭黑简体" w:cs="Times New Roman"/>
          <w:color w:val="auto"/>
          <w:sz w:val="22"/>
          <w:szCs w:val="22"/>
          <w:highlight w:val="none"/>
        </w:rPr>
        <w:t>车自动往返控制、液体混合控制、十字路口交通灯控制、两台三相异步电动机起保停控制、三相异步电动机变频调速控制等。提供满足以上要求的资源平台链接及课程大纲截图。</w:t>
      </w:r>
    </w:p>
    <w:p w14:paraId="70E04075">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2.14 HMI触摸屏</w:t>
      </w:r>
    </w:p>
    <w:p w14:paraId="1DC3056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2.14.1 显示器尺寸：≥7（寸）。</w:t>
      </w:r>
    </w:p>
    <w:p w14:paraId="0FCD0013">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2.14.2分辨率：800×480。</w:t>
      </w:r>
    </w:p>
    <w:p w14:paraId="6D38F21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2.14.3额定操作电压：DC 24V。</w:t>
      </w:r>
    </w:p>
    <w:p w14:paraId="6FCECBB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2.14.4 TFT（彩色）显示屏，触摸+8按键操作。</w:t>
      </w:r>
    </w:p>
    <w:p w14:paraId="6090366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▲2.14.5 PROFINET网络接口。</w:t>
      </w:r>
    </w:p>
    <w:p w14:paraId="77A137D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▲2.14.6为了保证兼容性需与PLC控制器同品牌</w:t>
      </w:r>
    </w:p>
    <w:p w14:paraId="3A4E79C1">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2.15 IO接口模块</w:t>
      </w:r>
    </w:p>
    <w:p w14:paraId="78D3CFE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2.15.1连接数字量输出数量≥8</w:t>
      </w:r>
    </w:p>
    <w:p w14:paraId="101058D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2.15.2要求和PLC端使用SysLink 接口相连。</w:t>
      </w:r>
    </w:p>
    <w:p w14:paraId="29E051B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2.15.3为了方便地检查开关状态和系统化故障查询，输入和输出端子装有LED指示。</w:t>
      </w:r>
    </w:p>
    <w:p w14:paraId="19D73FE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2.15.4可以安装在安装导轨上。</w:t>
      </w:r>
    </w:p>
    <w:p w14:paraId="2EF981A4">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2.16工业交互机</w:t>
      </w:r>
    </w:p>
    <w:p w14:paraId="316C224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2.16.1通讯速率≥1000M。</w:t>
      </w:r>
    </w:p>
    <w:p w14:paraId="3626B340">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2.16.2 接口数量≥5。</w:t>
      </w:r>
    </w:p>
    <w:p w14:paraId="3D2B9D6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2.16.3支持DIN导轨式安装、壁挂式安装。</w:t>
      </w:r>
    </w:p>
    <w:p w14:paraId="48431959">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2.17工作台</w:t>
      </w:r>
    </w:p>
    <w:p w14:paraId="61CD47C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2.17.1铝合金型材结构，工作台式设计，台面可安装功能模块，底部柜体内可安装电气设备。</w:t>
      </w:r>
    </w:p>
    <w:p w14:paraId="796D9034">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2.18气源模块</w:t>
      </w:r>
    </w:p>
    <w:p w14:paraId="548592F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2.18.1气泵功率≥550W</w:t>
      </w:r>
    </w:p>
    <w:p w14:paraId="5433C80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2.18.2排气量≥120L/min</w:t>
      </w:r>
    </w:p>
    <w:p w14:paraId="6A0D561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2.18.3最大压力≥8bar</w:t>
      </w:r>
    </w:p>
    <w:p w14:paraId="24B3A04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2.18.4储气罐≥6L。</w:t>
      </w:r>
    </w:p>
    <w:p w14:paraId="2B19C2C2">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2.19工业网关</w:t>
      </w:r>
    </w:p>
    <w:p w14:paraId="4C54E05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2.19.1 CPU:300MHz ARM 9；存储器：≥128MB Flash；运行Linux系统，支持边缘计算，可在本地进行数据运算，配套SC-GNConfig管理软件，可快速完成数据通道的配置；双重硬件看门狗保护，带有网络状态、数据通讯、信号状态、电源状态指示；支持PLC程序上传、下载和监控，支持Wi-Fi通讯，联网方式多样，支持超过百种工业设备协议。</w:t>
      </w:r>
    </w:p>
    <w:p w14:paraId="620F56A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2.19.2智能边缘计算工业网关，是工业互联网中的远程通信设备，可以方便地实现现场设备地数据采集、远程PLC程序地上下载及故障诊断。通信接口为4G,WIFI，以太网WAN口、以太网LAN口、RS485、RS232等。</w:t>
      </w:r>
    </w:p>
    <w:p w14:paraId="793B26E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2.19.3协议兼容：兼容主流PLC、仪器仪表等通信协议，包括并不限于西门子、三菱、欧姆龙、ABB。</w:t>
      </w:r>
    </w:p>
    <w:p w14:paraId="15718D4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2.19.4移动监控：支持网页端、微信小程序对接平台进行访问。</w:t>
      </w:r>
    </w:p>
    <w:p w14:paraId="462F2F4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2.19.5远程调试：支持对PLC、HMI等设备进行远程上下载程序及远程诊断。</w:t>
      </w:r>
    </w:p>
    <w:p w14:paraId="0590C46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2.19.6极速节流：所有数据按需发送，且需经过严格地数据压缩，降低数据流量，且提高数据交换效率。</w:t>
      </w:r>
    </w:p>
    <w:p w14:paraId="5990A63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2.19.7数据安全：硬件密钥身份识别，P2P远程安全通信，RSA数据加密。</w:t>
      </w:r>
    </w:p>
    <w:p w14:paraId="25AEBED8">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2.19.8数据开发：支持通过OPC直接对接第三方系统，如MES、ERP等。</w:t>
      </w:r>
    </w:p>
    <w:p w14:paraId="73074EE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2.19.9本地报警：支持模块本地报警、联动触发机制，结果推送平台，保证数据捕获地有效性和及时性。</w:t>
      </w:r>
    </w:p>
    <w:p w14:paraId="33B83A6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2.19.10数据交换：支持本地数据和远程数据交换功能。</w:t>
      </w:r>
    </w:p>
    <w:p w14:paraId="27428C1E">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▲2.20自动化编程软件</w:t>
      </w:r>
    </w:p>
    <w:p w14:paraId="7A1FE20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2.20.1正版软件，中文界面，可提供持续的中文技术支持服务，软件可使用所有功能模块，授权无时间限制。</w:t>
      </w:r>
    </w:p>
    <w:p w14:paraId="6B55E39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2.20.2与总控单元的PLC控制器同品牌，用于对PLC及其IO模块进行组态配置和编程编译。</w:t>
      </w:r>
    </w:p>
    <w:p w14:paraId="16B5431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2.20.3面向任务和用户的系统。</w:t>
      </w:r>
    </w:p>
    <w:p w14:paraId="13FB2C23">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2.20.4所有的程序编辑器都具有统一的外观，优化后的工作区域画面布局工位灵活便捷。</w:t>
      </w:r>
    </w:p>
    <w:p w14:paraId="23A8197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2.20.5网络与设备图形化的组合方式。</w:t>
      </w:r>
    </w:p>
    <w:p w14:paraId="4653A2B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 HMI的组态平台：</w:t>
      </w:r>
    </w:p>
    <w:p w14:paraId="477E47B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2.20.6.1正版软件，中文界面，可提供持续的中文技术支持服务，软件可使用所有功能模块，授权无时间限制；</w:t>
      </w:r>
    </w:p>
    <w:p w14:paraId="0DFCCBC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2.20.6.2与总控单元的PLC控制器同品牌，用于对HMI人机界面进行组态配置和编程编译。</w:t>
      </w:r>
    </w:p>
    <w:p w14:paraId="19C8460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2.20.6.3通用的应用程序，适合所有工业领域的解决方案。</w:t>
      </w:r>
    </w:p>
    <w:p w14:paraId="441315B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2.20.6.4内置所有操作和管理功能，可简单、有效地进行组态。</w:t>
      </w:r>
    </w:p>
    <w:p w14:paraId="0978838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2.20.6.5可基于Web持续延展，采用开放性标准，集成简便。</w:t>
      </w:r>
    </w:p>
    <w:p w14:paraId="6EEA7A3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2.20.6.6支持工业以太网通讯，方便大数据实时传输。</w:t>
      </w:r>
    </w:p>
    <w:p w14:paraId="03514B1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2.20.6.7基于最新软件技术的创新组态界面、适用于用户定义对象和面板的全面库设计，实现图形化组态和批量数据处理的智能工具。</w:t>
      </w:r>
    </w:p>
    <w:p w14:paraId="42C20786">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▲2.21 MES管理软件</w:t>
      </w:r>
    </w:p>
    <w:p w14:paraId="72A261A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2.21.1主数据管理：支持客户信息、站点信息、设备信息、操作管理及工作计划的配置；具备站点与PLC通讯配置功能，支持订单参数准确下发及设备图片上传，确保生产流程精准执行。</w:t>
      </w:r>
    </w:p>
    <w:p w14:paraId="5A89A01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2.21.2订单管理：支持生产订单全生命周期管理，包括订单新建、查询及跟踪；涵盖订单编号、客户信息、交付日期、产品数量等关键参数；具备整线“一键生产”操作功能。</w:t>
      </w:r>
    </w:p>
    <w:p w14:paraId="6CD014A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2.21.3库存管理：支持物料信息的精准识别、存储管理及出入库管理，确保库存数据准确。</w:t>
      </w:r>
    </w:p>
    <w:p w14:paraId="05B4691E">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2.21.4系统管理：支持用户账号、所属部门等信息的录入与管理；具备完善的权限管理功能，支持基于角色的权限分配。</w:t>
      </w:r>
    </w:p>
    <w:p w14:paraId="7531447D">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2.21.5可视化看板：提供设备使用效率、产品完成状态等实时统计看板；支持订单执行状态、工艺进度及生产详情的可视化监控。</w:t>
      </w:r>
    </w:p>
    <w:p w14:paraId="716DBD3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2.21.6需提供满足上述各功能的演示操作截屏及软件详细设置操作步骤截屏。</w:t>
      </w:r>
    </w:p>
    <w:p w14:paraId="2A431A6D">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▲2.22工业物联网云平台</w:t>
      </w:r>
    </w:p>
    <w:p w14:paraId="37B25AD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互联网云平台，依托于尖端的云计算和物联网（IoT）技术，需提供一套全面的设备管理解决方案。平台不仅需要实现设备的远程监控与管理功能，还拥有卓越的数据分析能力，使企业能够预先识别设备潜在故障，优化生产流程，从而达到提升效益的目的。</w:t>
      </w:r>
    </w:p>
    <w:p w14:paraId="362A8FB3">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2.22.2数据采集：通过在设备上部署的传感器，平台能够实时捕捉包括温度、流量、压力、电流、电压等多种运行数据。</w:t>
      </w:r>
    </w:p>
    <w:p w14:paraId="12CB2F9E">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2.22.3数据展示：所有收集到的数据将以图表形式直观呈现，用户可随时通过Web端或移动应用查看设备的实时运行状态。</w:t>
      </w:r>
    </w:p>
    <w:p w14:paraId="7C80926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2.22.4数据记录：平台具备长期数据存储功能，用户能够查询任意时段的历史数据，为后续分析奠定基础。</w:t>
      </w:r>
    </w:p>
    <w:p w14:paraId="50CFDA0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2.22.5远程监控：用户能够通过平台实时观察设备的运行状况，包括设备状态和工作参数。</w:t>
      </w:r>
    </w:p>
    <w:p w14:paraId="5C52412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2.22.6远程控制：用户无需亲临现场，即可远程进行设备的开关操作和参数调整，显著提升设备管理的灵活性和效率。</w:t>
      </w:r>
    </w:p>
    <w:p w14:paraId="0C3962D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2.22.7多设备管理：平台支持对多个设备进行集中管理，用户可以轻松切换监控和控制不同设备。</w:t>
      </w:r>
    </w:p>
    <w:p w14:paraId="3340E59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2.22.8故障预测：用户能够利用设备的历史数据和实时数据预测潜在故障。</w:t>
      </w:r>
    </w:p>
    <w:p w14:paraId="33C9F8A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2.22.9预警通知：系统在检测到潜在故障风险时，会自动向用户发送预警通知，通过短信、邮件、APP推送等多种方式。</w:t>
      </w:r>
    </w:p>
    <w:p w14:paraId="6F114C5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2.22.10维护建议：我们将提供详尽的故障原因分析和维护建议，帮助用户提前采取措施，避免设备停机和减少维修成本。</w:t>
      </w:r>
    </w:p>
    <w:p w14:paraId="6686E52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2.22.11数据挖掘：平台内置先进的数据分析工具，能从大量数据中提取有价值的信息，助力企业优化生产流程和资源配置。</w:t>
      </w:r>
    </w:p>
    <w:p w14:paraId="6B54E7A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2.22.12报告生成：用户可自定义生成各类报告，如设备运行报告、能耗报告、维护报告等，为决策提供科学依据。</w:t>
      </w:r>
    </w:p>
    <w:p w14:paraId="13D08A4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2.22.13访问控制：平台提供细致的权限管理功能，确保只有授权用户才能访问敏感数据和执行关键操作。</w:t>
      </w:r>
    </w:p>
    <w:p w14:paraId="7C0CE79E">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2.22.14备份与恢复：平台具备自动备份和灾难恢复功能，保障数据的完整性和可用性。</w:t>
      </w:r>
    </w:p>
    <w:p w14:paraId="60D520F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2.22.15 API支持：平台提供丰富的API接口，支持与第三方系统的集成，实现数据的自由流动和功能的灵活扩展。</w:t>
      </w:r>
    </w:p>
    <w:p w14:paraId="7021066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2.22.16二次开发：开发者可根据自身需求，利用API接口进行二次开发，定制个性化的应用和服务。</w:t>
      </w:r>
    </w:p>
    <w:p w14:paraId="3BDB54A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2.22.17 Web端：用户可通过任何支持HTML5的浏览器访问平台，享受流畅的操作体验。</w:t>
      </w:r>
    </w:p>
    <w:p w14:paraId="4B8BB45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2.22.18移动应用：平台提供iOS和Android版移动应用，用户可随时随地进行设备管理。</w:t>
      </w:r>
    </w:p>
    <w:p w14:paraId="3B74784E">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color w:val="auto"/>
          <w:sz w:val="22"/>
          <w:szCs w:val="22"/>
          <w:highlight w:val="none"/>
        </w:rPr>
        <w:t>▲</w:t>
      </w:r>
      <w:r>
        <w:rPr>
          <w:rFonts w:hint="default" w:ascii="Times New Roman" w:hAnsi="Times New Roman" w:eastAsia="方正兰亭黑简体" w:cs="Times New Roman"/>
          <w:b/>
          <w:bCs/>
          <w:color w:val="auto"/>
          <w:sz w:val="22"/>
          <w:szCs w:val="22"/>
          <w:highlight w:val="none"/>
        </w:rPr>
        <w:t>2.23工厂虚拟调试仿真软件</w:t>
      </w:r>
    </w:p>
    <w:p w14:paraId="7F2D346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2.23.1需配套机电模块仿真模型库，至少包含直线步进提升旋转搬运模块、高滑槽模块、贴标打印机模块、视觉吸盘夹爪融合模块、无档边350传送带模块、350传送带模块、无档边700传送带模块、700传送带模块、供料模块、盒体储料平台、盒盖储料平台、称重模块、15位立库模块、移位载货台、罐装模块、电摆动手模块、翻转模块等（投标文件提供满足上述该项软件功能的截图作为佐证材料）。</w:t>
      </w:r>
    </w:p>
    <w:p w14:paraId="03C38A6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2.23.2需配套硬件产线平台，该模型应包含供料分拣单元，视觉分析单元，订单罐装单元，机器人3D包装单元，智能仓储单元等仿真模型。投标文件中应提供基于该系统的实物模型与数字孪生模型对比图。该模型系统可以通过系统中的开始按钮点击开始进行仿真或结束仿真，当点击开始按钮进行仿真时，供料分拣单元当中会根据推料模块机构推出红色的工件至输送带上输送至视觉分析单元工作单元，视觉分析工作单元接受到工件进来的指令后，开始进行输送至视觉检测模块当中进行视觉检测分析，分析结果正确时继续输送至订单罐装单元，分析结果不正确时，则分拣出有缺陷的工件。工件传输至订单罐装单元时，通过罐装模块给罐入相应数量的钢珠，罐装结束后，通过机器人来进行加盖完成，并放置打包盒当中，并在打包盒外面贴上相应的标签，最后通过三轴步进模块搬运至不同的仓库中。（投标文件提供满足上述该项软件功能的截图作为佐证材料）。</w:t>
      </w:r>
    </w:p>
    <w:p w14:paraId="2C9207F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2.23.3需配套过程控制系统平台，系统以工业供水场景为原型，完成从原水抽取至水塔注水全流程的高保真工艺仿真，系统配备双水箱，分别对应仿真高架水塔与低位用水箱的真实运行工况，原水需通过叶轮泵加压后注入仿真水塔，可精准复现工业供水系统的核心运行逻辑与参数变化特性。本实训设备可充分匹配过程自动化专业的仿真实训需求，开展多种类型的实操实训项目，涵盖液位PID控制、流量PID控制、两点法控制等核心实训内容，满足多样化的控制算法验证与仿真实操教学需求（投标文件提供满足上述该项软件功能的截图作为佐证材料）。</w:t>
      </w:r>
    </w:p>
    <w:p w14:paraId="2242368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2.23.4需配套重介洗煤模拟仿真模型，主要模拟原煤颗粒上料、重介质制备、旋流器分选作业、固定筛，香蕉筛产品脱介、介质回收，循环复用、灰度测量等工艺流程。具体工艺流程要求如下：（投标文件提供满足上述该项软件功能的截图作为佐证材料）。</w:t>
      </w:r>
    </w:p>
    <w:p w14:paraId="04AF22E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2.23.4.1模拟煤炭颗粒循环线</w:t>
      </w:r>
    </w:p>
    <w:p w14:paraId="4DDBD54F">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a) 初始启动：将模拟精煤颗粒、矸石颗粒放入对应的物料箱，启动固料运输进入重介旋流器。</w:t>
      </w:r>
    </w:p>
    <w:p w14:paraId="0593112B">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b）重介旋流器分路：模拟精煤颗粒从旋流器左侧排出，矸石颗粒从旋流器右侧排出，直观模拟分选后产物分流。</w:t>
      </w:r>
    </w:p>
    <w:p w14:paraId="76064D73">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c）脱介质模拟：旋流器选出的颗粒先落入对应测固定筛（模拟初步脱介/分级），然后落入模拟香蕉震动筛进一步完成脱介。</w:t>
      </w:r>
    </w:p>
    <w:p w14:paraId="6AD622C5">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d)脱介后的精煤，落在传送带上，重新传回物料箱。（在此过程中可启动测灰仪模型，模拟测量精煤灰度）；脱介后矸石颗粒直接落入对应的物料箱。</w:t>
      </w:r>
    </w:p>
    <w:p w14:paraId="3400D248">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2.23.4.2模拟介质循环线。</w:t>
      </w:r>
    </w:p>
    <w:p w14:paraId="1E8FF198">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a)加介质模拟：启动起重机模组，控制电磁吸盘移动，模拟起重机装卸介质的功能。</w:t>
      </w:r>
    </w:p>
    <w:p w14:paraId="13341B1B">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b)储水启动：合介桶与稀介桶内注入清水，作为模拟的水源。</w:t>
      </w:r>
    </w:p>
    <w:p w14:paraId="510087D7">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c)水的输送：合介桶与稀介桶内清水通过泵输送至混料桶，模拟“合介制备”。</w:t>
      </w:r>
    </w:p>
    <w:p w14:paraId="1C682351">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d)旋流器供水与回流：混料桶内清水经管路（介质入口与料分别进入细分为独立管路）输送至重介旋流器附近，之后从旋流器精煤出料口与矸石出料口分别通过两根独立管路排出，排出后分为两路管道，一路直接重新汇入混料桶，完成 “合介循环”；另一路则随物料经过筛网与脱介筛附近进入稀料桶。</w:t>
      </w:r>
    </w:p>
    <w:p w14:paraId="621F9697">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e)稀介模拟与回流：在两台模拟脱介筛底部各走一根管，管末端接入稀介桶,模拟“脱介过程中稀介回流”。</w:t>
      </w:r>
    </w:p>
    <w:p w14:paraId="70E11996">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d)稀介复用：稀介桶内的水通过泵输送至混料桶，与浓介桶来水汇合，完成 “稀介回收复用”闭环。</w:t>
      </w:r>
    </w:p>
    <w:p w14:paraId="069F7D9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2.23.4.3 磁选机工作演示</w:t>
      </w:r>
    </w:p>
    <w:p w14:paraId="2FA0D0B6">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a)磁粉吸附模拟：通过旋转滚筒将磁粉吸附在滚筒表面。</w:t>
      </w:r>
    </w:p>
    <w:p w14:paraId="47738FF6">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b)磁粉脱落模拟：通过刮板将磁粉刮落，模拟脱离磁粉。</w:t>
      </w:r>
    </w:p>
    <w:p w14:paraId="380E206F">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c)磁选机水循环回收模拟：使用水管内模拟介质滴水回落，LED灯带模拟磁粉介质流向磁尾桶。</w:t>
      </w:r>
    </w:p>
    <w:p w14:paraId="2F00B96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2.23.5需配套三层电梯PLC+HMI联合虚拟仿真工程：通过触摸屏按钮下发楼层呼梯指令，控制右侧3D电梯轿厢升降，完整模拟真实电梯外呼、内选层控制逻辑（投标文件提供满足上述该项软件功能的截图作为佐证材料）。</w:t>
      </w:r>
    </w:p>
    <w:p w14:paraId="4853AEB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2.23.6六轴工业机器人分拣搬运单元仿真工程：核心执行机构，六轴关节工业机械臂，安装于移动底座平台，负责抓取、转运工件。</w:t>
      </w:r>
    </w:p>
    <w:p w14:paraId="339544DE">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a)上料定位工位：带升降顶料气缸结构，用于工件顶升定位。</w:t>
      </w:r>
    </w:p>
    <w:p w14:paraId="506AD5E4">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b)物料存放料盘：分区摆放三类工件：红色方块、黄色圆形、红色三角，对应 HMI 三种搬运任务。</w:t>
      </w:r>
    </w:p>
    <w:p w14:paraId="64FADFFC">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c)设备联动逻辑 左侧 HMI 触摸屏下发任务指令（选择圆圈/三角/方块搬运、设定搬运数量），右侧 3D 机器人工作站同步执行对应物料分拣搬运动作（投标文件提供满足上述该项软件功能的截图作为佐证材料）。</w:t>
      </w:r>
    </w:p>
    <w:p w14:paraId="475F6104">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▲2.24机器人在线学习平台</w:t>
      </w:r>
    </w:p>
    <w:p w14:paraId="5B688AA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2.24.1设备配套在线学习平台：平台需具有多种类型的课程分类方式和功能，能够满足不同学习群体、不同品牌工业机器人、不同层次技能人员的学习，还可以进行在线考核。</w:t>
      </w:r>
    </w:p>
    <w:p w14:paraId="5FA84C5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2.24.2课程界面需包含工业机器人、PLC可编程控制器、工业机器人虚拟仿真、智能制造、工业互联网、机电计算机、人工智能、培训认证等子页面。</w:t>
      </w:r>
    </w:p>
    <w:p w14:paraId="57788F15">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2.24.3工业机器人相关课程内容需包含：入门实用、实训指导、技术基础、编程操作、集成应用、高级编程、工程现场、原理设计、创新开发等进阶课程。</w:t>
      </w:r>
    </w:p>
    <w:p w14:paraId="0529E34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2.24.4课程需包含不低于12个品牌的机器人课程，不低于3个等级的学习课程。</w:t>
      </w:r>
    </w:p>
    <w:p w14:paraId="635C8AD0">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2.24.5配套工业机器人实用教程课程，实用教程内容≥11章节，≥24课时、≥300分钟，涵盖基础理论部分和项目应用部分。基于工业机器人，详细介绍工业机器人认知、手动操纵、机器人坐标系、I/O配置、常用指令、编程操作、典型项目应用和离线仿真等内容。</w:t>
      </w:r>
    </w:p>
    <w:p w14:paraId="2EE2A38B">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2.24.6配套工业机器人知识要点解析课程，知识要点解析课程≥5部分，≥42课时、≥350分钟，涵盖基础理论部分和项目应用部分。本课程需系统地介绍工业机器人的主要技术参数、手动操纵方法、坐标系定义流程、I/O配置过程、程序编辑步骤、手动调试技巧以及示教器常用操作等核心内容。</w:t>
      </w:r>
    </w:p>
    <w:p w14:paraId="1A722CFE">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2.24.7平台学习内容还需包含：工业机器人专业英语≥12章节，≥49课时。工业机器人基础与应用≥8章节，≥42课时.工业机器人技术基础及应用≥10章节，≥72课时.工业机器人技术人才培养方案≥5章节，≥5课时。工业机器人运动控制技术≥8章节，≥36课时等课程内容。</w:t>
      </w:r>
    </w:p>
    <w:p w14:paraId="132080A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2.24.8投标文件内需提供上述7条内容的界面佐证材料，以示满足所述要求。</w:t>
      </w:r>
    </w:p>
    <w:p w14:paraId="2ECB3314">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2.25配套《工业机器人编程基础》教材资源</w:t>
      </w:r>
    </w:p>
    <w:p w14:paraId="707542FC">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2.25.1教材由国家级知名出版社出版发行，印刷精美，排版合理，方便使用。</w:t>
      </w:r>
    </w:p>
    <w:p w14:paraId="5407CB61">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2.25.2教材与所投标品牌的工业机器人配套编写，内容编排合理，资料详实丰富。</w:t>
      </w:r>
    </w:p>
    <w:p w14:paraId="21189FF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2.25.3教材结构为任务驱动式，满足新形态一体化教材编写要求，知识点丰富，技能点均配有二维码扩展资源接口，可方便直接观看学习。</w:t>
      </w:r>
    </w:p>
    <w:p w14:paraId="40BE29FF">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color w:val="auto"/>
          <w:sz w:val="22"/>
          <w:szCs w:val="22"/>
          <w:highlight w:val="none"/>
        </w:rPr>
        <w:t>▲</w:t>
      </w:r>
      <w:r>
        <w:rPr>
          <w:rFonts w:hint="default" w:ascii="Times New Roman" w:hAnsi="Times New Roman" w:eastAsia="方正兰亭黑简体" w:cs="Times New Roman"/>
          <w:b/>
          <w:bCs/>
          <w:color w:val="auto"/>
          <w:sz w:val="22"/>
          <w:szCs w:val="22"/>
          <w:highlight w:val="none"/>
        </w:rPr>
        <w:t>2.26数字化教学资源平台</w:t>
      </w:r>
    </w:p>
    <w:p w14:paraId="4B755276">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2.26.1本系统可适配多品类专业教学应用场景，全面满足机电一体化、机器人技术、传感器应用技术、电工技能、过程控制技术、PLC可编程控制器技术、气动传动技术等各类工科相关专业日常教学、实训授课需求。具体专业课程要求如下，投标文件中需逐条提供满足以下个专业课程的截图证明材料：</w:t>
      </w:r>
    </w:p>
    <w:p w14:paraId="5AEFFA5B">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机器人课程应包含：教学目标、实训设备、硬件设置、启动和调试、控制柜 I/O 设置、工作空间设置和监测、安全门坐标系统、工具坐标校准、基座坐标系校准、机器人控制、点动控制机器人、机器人位置、机器人运动、机器人运动原理、运动模式、运动编程、逻辑指令编程、项目工作任务 1：创建新项目</w:t>
      </w:r>
    </w:p>
    <w:p w14:paraId="46B8AA37">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、任务 2：运动计划、任务 3：添加运动命令、实训 4：运行程序、任务 5：在 T2 和 AUT 模式下运行、任务 6：PLC 程序编写、任务 7：机器人程序编写等</w:t>
      </w:r>
    </w:p>
    <w:p w14:paraId="6A37AA32">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传感器技术课程应包含：教学目标、实验设备、传器接线方法、测量误差、电感式接近开关、感应距考、实验:材料检测、测验:电感式接近开关、光电和光纤传感器发射器和接收器等。</w:t>
      </w:r>
    </w:p>
    <w:p w14:paraId="1DF4F44D">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电工技能课程应包含：实训目的、实训安全操作规程、常用电工工具介绍、常用导线介绍、电气布线基本要求；照明电路实训包含简单的照明电路介绍、实训 1：一个开关控制一盏灯、实训 2：两个开关控制一盏灯、实训 3：三个开关控制一盏灯、实训 4：声控开关控制一盏灯、实训 5：触摸延时开关控制一盏灯、实训 6：人体感应开关控制一盏灯；电能监测电路实训包含电压电流表的使用、实训 1：单相电度表使用、实训 2：三相电度表使用；电动机控制实训包含直流和交流电压介绍、三相交流电介绍、实训 1：电动机接触器点动控制、实训 2：电动机接触器自锁控制、实训 3：电动机的两地控制、实训 4：倒顺开关控制电动机正反转、实训 5：接触器连锁的正反转控制、实训 6：按钮连锁的正反转控制、实训 7：接触器和按钮双重连锁正反转控制、实训 8：电动机定子绕组串联电阻启动控制、实训 9：电动机星三角启动控制、实训 10：工作台自动往返控制、实训 11：电动机能耗制动控制、实训 12：直流电动机安装控制。</w:t>
      </w:r>
    </w:p>
    <w:p w14:paraId="503D607E">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过程控制技术课程应包含：教学目标、实验设备、管路图、 设备硬件介绍（电能表、三色灯、电容传感器、电动调节阀、磁力泵、流量传感器、PLC 控制器、超声波传感器</w:t>
      </w:r>
    </w:p>
    <w:p w14:paraId="219A6DA8">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气动技术课程应包含：教学目标、实验设备、安全说明、介绍（气动应用、压缩空气作为能源、知识测验 1）、电信号控制部分的元器件（电路符号、继电器和接触器、机械信号元件、时间继电器、实验：时间继电器、接近开关、知识测验 2）、气缸（气缸的功能、单动气缸、双动气缸）、方向和流速控制阀、真空、电气动控制图形描述、实现电气动控制系统、气动控制系统的安全措施。</w:t>
      </w:r>
    </w:p>
    <w:p w14:paraId="76207FDC">
      <w:pPr>
        <w:pStyle w:val="25"/>
        <w:spacing w:line="360" w:lineRule="auto"/>
        <w:ind w:firstLine="48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PLC可编程控制器技术课程应包含：教学目标、应用示例、PLC 的结构、实训设备、硬件设置、分配地址（输入输出地址分配、变量声明、位和字节地址）、编程语言（梯形逻辑图、高级语言 (SCL)、状态图编程）、基本逻辑运算（AND 运算、OR 运算、XOR 运算、取反）、复合逻辑运算、程序结构 / 控制、模拟值处理、物料分拣实物对象控制、伺服电机控制。</w:t>
      </w:r>
    </w:p>
    <w:p w14:paraId="6AAE1CE8">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2.26.2集成资源功能详细要求：平台由加密保护，平台终身免费维护升级及系统内容更新。投标文件中需提供下列要求界面图片及提供功能演示截图：平台资源集成与设备配套的实验指导书及中华人民共和国第一届或第二届或第三届职业技能大赛国赛机电一体化或工业4.0或机器人系统集成等竞赛试题或技术文件，实验指导书内容需含有实验原理与目的、步骤、实验报告与分析等，竞包含赛试题或技术文件需要包含封面及主要内容。</w:t>
      </w:r>
    </w:p>
    <w:p w14:paraId="7E051689">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2.26.3平台包含动画和视频教学资源，平台内所显示的设备图片，元器件图片等内容必须跟投标实物一致，以及视频内设备操作视频需与项目供货实物保证一致，保证理实虚一体化教学的效果。</w:t>
      </w:r>
    </w:p>
    <w:p w14:paraId="017700D8">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2.26.4为保护软件知识产权和方便后期维护升级，投标人需提供实验室课程管理软件平台软件著作权证书扫描件并加盖版权所有人公章和软件产品登记测试报告证书扫描件并加盖版权所有人公章。</w:t>
      </w:r>
    </w:p>
    <w:p w14:paraId="5FD0CA40">
      <w:pPr>
        <w:pStyle w:val="25"/>
        <w:spacing w:line="360" w:lineRule="auto"/>
        <w:ind w:firstLine="0" w:firstLineChars="0"/>
        <w:jc w:val="left"/>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2.27编程工作站</w:t>
      </w:r>
    </w:p>
    <w:p w14:paraId="42B4C26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2.27.1 主频：≥i5 2.5GHz</w:t>
      </w:r>
    </w:p>
    <w:p w14:paraId="2B92544A">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2.27.2 内存：≥16G</w:t>
      </w:r>
    </w:p>
    <w:p w14:paraId="1E59C224">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2.27.3 硬盘：≥256G固态</w:t>
      </w:r>
    </w:p>
    <w:p w14:paraId="461CDA9F">
      <w:pPr>
        <w:pStyle w:val="25"/>
        <w:spacing w:line="360" w:lineRule="auto"/>
        <w:ind w:firstLine="0" w:firstLineChars="0"/>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2.27.4 显存：≥2G</w:t>
      </w:r>
    </w:p>
    <w:p w14:paraId="1839FC46">
      <w:pPr>
        <w:widowControl/>
        <w:shd w:val="clear" w:color="auto" w:fill="FFFFFF"/>
        <w:spacing w:line="360" w:lineRule="auto"/>
        <w:jc w:val="left"/>
        <w:rPr>
          <w:rFonts w:hint="eastAsia" w:ascii="方正兰亭黑简体" w:hAnsi="方正兰亭黑简体" w:eastAsia="方正兰亭黑简体" w:cs="方正兰亭黑简体"/>
          <w:b/>
          <w:bCs/>
          <w:color w:val="auto"/>
          <w:kern w:val="0"/>
          <w:sz w:val="22"/>
          <w:szCs w:val="22"/>
          <w:highlight w:val="none"/>
          <w:lang w:val="en-US" w:eastAsia="zh-CN"/>
        </w:rPr>
      </w:pPr>
    </w:p>
    <w:p w14:paraId="34E97200">
      <w:pPr>
        <w:widowControl/>
        <w:shd w:val="clear" w:color="auto" w:fill="FFFFFF"/>
        <w:spacing w:line="360" w:lineRule="auto"/>
        <w:jc w:val="left"/>
        <w:rPr>
          <w:rFonts w:hint="eastAsia" w:ascii="方正兰亭黑简体" w:hAnsi="方正兰亭黑简体" w:eastAsia="方正兰亭黑简体" w:cs="方正兰亭黑简体"/>
          <w:color w:val="auto"/>
          <w:kern w:val="0"/>
          <w:sz w:val="22"/>
          <w:szCs w:val="22"/>
          <w:highlight w:val="none"/>
          <w:lang w:val="en-US" w:eastAsia="zh-CN"/>
        </w:rPr>
      </w:pPr>
      <w:r>
        <w:rPr>
          <w:rFonts w:hint="eastAsia" w:ascii="方正兰亭黑简体" w:hAnsi="方正兰亭黑简体" w:eastAsia="方正兰亭黑简体" w:cs="方正兰亭黑简体"/>
          <w:b/>
          <w:bCs/>
          <w:color w:val="auto"/>
          <w:kern w:val="0"/>
          <w:sz w:val="22"/>
          <w:szCs w:val="22"/>
          <w:highlight w:val="none"/>
          <w:lang w:val="en-US" w:eastAsia="zh-CN"/>
        </w:rPr>
        <w:t>四</w:t>
      </w:r>
      <w:r>
        <w:rPr>
          <w:rFonts w:hint="default" w:ascii="方正兰亭黑简体" w:hAnsi="方正兰亭黑简体" w:eastAsia="方正兰亭黑简体" w:cs="方正兰亭黑简体"/>
          <w:b/>
          <w:bCs/>
          <w:color w:val="auto"/>
          <w:kern w:val="0"/>
          <w:sz w:val="22"/>
          <w:szCs w:val="22"/>
          <w:highlight w:val="none"/>
          <w:lang w:val="en-US" w:eastAsia="zh-CN"/>
        </w:rPr>
        <w:t>、</w:t>
      </w:r>
      <w:r>
        <w:rPr>
          <w:rFonts w:hint="eastAsia" w:ascii="方正兰亭黑简体" w:hAnsi="方正兰亭黑简体" w:eastAsia="方正兰亭黑简体" w:cs="方正兰亭黑简体"/>
          <w:b/>
          <w:bCs/>
          <w:color w:val="auto"/>
          <w:kern w:val="0"/>
          <w:sz w:val="22"/>
          <w:szCs w:val="22"/>
          <w:highlight w:val="none"/>
          <w:lang w:val="en-US" w:eastAsia="zh-CN"/>
        </w:rPr>
        <w:t>其他要求</w:t>
      </w:r>
    </w:p>
    <w:p w14:paraId="4BC7DE85">
      <w:pPr>
        <w:ind w:left="0" w:leftChars="0" w:firstLine="0" w:firstLineChars="0"/>
        <w:jc w:val="left"/>
        <w:rPr>
          <w:rFonts w:hint="eastAsia" w:ascii="方正兰亭黑简体" w:hAnsi="方正兰亭黑简体" w:eastAsia="方正兰亭黑简体" w:cs="方正兰亭黑简体"/>
          <w:color w:val="auto"/>
          <w:sz w:val="22"/>
          <w:szCs w:val="28"/>
          <w:highlight w:val="none"/>
          <w:lang w:val="zh-CN" w:eastAsia="zh-CN"/>
        </w:rPr>
      </w:pPr>
      <w:r>
        <w:rPr>
          <w:rFonts w:hint="eastAsia" w:ascii="方正兰亭黑简体" w:hAnsi="方正兰亭黑简体" w:eastAsia="方正兰亭黑简体" w:cs="方正兰亭黑简体"/>
          <w:color w:val="auto"/>
          <w:sz w:val="22"/>
          <w:szCs w:val="28"/>
          <w:highlight w:val="none"/>
          <w:lang w:val="en-US" w:eastAsia="zh-CN"/>
        </w:rPr>
        <w:t>1、质保服务：</w:t>
      </w:r>
      <w:r>
        <w:rPr>
          <w:rFonts w:hint="eastAsia" w:ascii="方正兰亭黑简体" w:hAnsi="方正兰亭黑简体" w:eastAsia="方正兰亭黑简体" w:cs="方正兰亭黑简体"/>
          <w:color w:val="auto"/>
          <w:sz w:val="22"/>
          <w:szCs w:val="28"/>
          <w:highlight w:val="none"/>
          <w:lang w:val="zh-CN" w:eastAsia="zh-CN"/>
        </w:rPr>
        <w:t>3年免费质保与运营服务（含维护、培训、技术支撑、7×24小时响应）。</w:t>
      </w:r>
    </w:p>
    <w:p w14:paraId="38300D2D">
      <w:pPr>
        <w:ind w:left="0" w:leftChars="0" w:firstLine="0" w:firstLineChars="0"/>
        <w:jc w:val="left"/>
        <w:rPr>
          <w:rFonts w:hint="eastAsia" w:ascii="方正兰亭黑简体" w:hAnsi="方正兰亭黑简体" w:eastAsia="方正兰亭黑简体" w:cs="方正兰亭黑简体"/>
          <w:color w:val="auto"/>
          <w:sz w:val="22"/>
          <w:szCs w:val="28"/>
          <w:highlight w:val="none"/>
          <w:lang w:val="zh-CN" w:eastAsia="zh-CN"/>
        </w:rPr>
      </w:pPr>
      <w:r>
        <w:rPr>
          <w:rFonts w:hint="eastAsia" w:ascii="方正兰亭黑简体" w:hAnsi="方正兰亭黑简体" w:eastAsia="方正兰亭黑简体" w:cs="方正兰亭黑简体"/>
          <w:color w:val="auto"/>
          <w:sz w:val="22"/>
          <w:szCs w:val="28"/>
          <w:highlight w:val="none"/>
          <w:lang w:val="zh-CN" w:eastAsia="zh-CN"/>
        </w:rPr>
        <w:t>质保期内7×</w:t>
      </w:r>
      <w:r>
        <w:rPr>
          <w:rFonts w:hint="eastAsia" w:ascii="方正兰亭黑简体" w:hAnsi="方正兰亭黑简体" w:eastAsia="方正兰亭黑简体" w:cs="方正兰亭黑简体"/>
          <w:color w:val="auto"/>
          <w:sz w:val="22"/>
          <w:szCs w:val="28"/>
          <w:highlight w:val="none"/>
          <w:lang w:val="en-US" w:eastAsia="zh-CN"/>
        </w:rPr>
        <w:t>24</w:t>
      </w:r>
      <w:r>
        <w:rPr>
          <w:rFonts w:hint="eastAsia" w:ascii="方正兰亭黑简体" w:hAnsi="方正兰亭黑简体" w:eastAsia="方正兰亭黑简体" w:cs="方正兰亭黑简体"/>
          <w:color w:val="auto"/>
          <w:sz w:val="22"/>
          <w:szCs w:val="28"/>
          <w:highlight w:val="none"/>
          <w:lang w:val="zh-CN" w:eastAsia="zh-CN"/>
        </w:rPr>
        <w:t>小时技术支持，所有硬件</w:t>
      </w:r>
      <w:r>
        <w:rPr>
          <w:rFonts w:hint="eastAsia" w:ascii="方正兰亭黑简体" w:hAnsi="方正兰亭黑简体" w:eastAsia="方正兰亭黑简体" w:cs="方正兰亭黑简体"/>
          <w:color w:val="auto"/>
          <w:sz w:val="22"/>
          <w:szCs w:val="28"/>
          <w:highlight w:val="none"/>
          <w:lang w:val="en-US" w:eastAsia="zh-CN"/>
        </w:rPr>
        <w:t>3</w:t>
      </w:r>
      <w:r>
        <w:rPr>
          <w:rFonts w:hint="eastAsia" w:ascii="方正兰亭黑简体" w:hAnsi="方正兰亭黑简体" w:eastAsia="方正兰亭黑简体" w:cs="方正兰亭黑简体"/>
          <w:color w:val="auto"/>
          <w:sz w:val="22"/>
          <w:szCs w:val="28"/>
          <w:highlight w:val="none"/>
          <w:lang w:val="zh-CN" w:eastAsia="zh-CN"/>
        </w:rPr>
        <w:t>年免费保修、所有软件</w:t>
      </w:r>
      <w:r>
        <w:rPr>
          <w:rFonts w:hint="eastAsia" w:ascii="方正兰亭黑简体" w:hAnsi="方正兰亭黑简体" w:eastAsia="方正兰亭黑简体" w:cs="方正兰亭黑简体"/>
          <w:color w:val="auto"/>
          <w:sz w:val="22"/>
          <w:szCs w:val="28"/>
          <w:highlight w:val="none"/>
          <w:lang w:val="en-US" w:eastAsia="zh-CN"/>
        </w:rPr>
        <w:t>3</w:t>
      </w:r>
      <w:r>
        <w:rPr>
          <w:rFonts w:hint="eastAsia" w:ascii="方正兰亭黑简体" w:hAnsi="方正兰亭黑简体" w:eastAsia="方正兰亭黑简体" w:cs="方正兰亭黑简体"/>
          <w:color w:val="auto"/>
          <w:sz w:val="22"/>
          <w:szCs w:val="28"/>
          <w:highlight w:val="none"/>
          <w:lang w:val="zh-CN" w:eastAsia="zh-CN"/>
        </w:rPr>
        <w:t>年免费维护升级、电话报修后</w:t>
      </w:r>
      <w:r>
        <w:rPr>
          <w:rFonts w:hint="eastAsia" w:ascii="方正兰亭黑简体" w:hAnsi="方正兰亭黑简体" w:eastAsia="方正兰亭黑简体" w:cs="方正兰亭黑简体"/>
          <w:color w:val="auto"/>
          <w:sz w:val="22"/>
          <w:szCs w:val="28"/>
          <w:highlight w:val="none"/>
          <w:lang w:val="en-US" w:eastAsia="zh-CN"/>
        </w:rPr>
        <w:t>1</w:t>
      </w:r>
      <w:r>
        <w:rPr>
          <w:rFonts w:hint="eastAsia" w:ascii="方正兰亭黑简体" w:hAnsi="方正兰亭黑简体" w:eastAsia="方正兰亭黑简体" w:cs="方正兰亭黑简体"/>
          <w:color w:val="auto"/>
          <w:sz w:val="22"/>
          <w:szCs w:val="28"/>
          <w:highlight w:val="none"/>
          <w:lang w:val="zh-CN" w:eastAsia="zh-CN"/>
        </w:rPr>
        <w:t>小时</w:t>
      </w:r>
      <w:r>
        <w:rPr>
          <w:rFonts w:hint="eastAsia" w:ascii="方正兰亭黑简体" w:hAnsi="方正兰亭黑简体" w:eastAsia="方正兰亭黑简体" w:cs="方正兰亭黑简体"/>
          <w:color w:val="auto"/>
          <w:sz w:val="22"/>
          <w:szCs w:val="28"/>
          <w:highlight w:val="none"/>
          <w:lang w:val="en-US" w:eastAsia="zh-CN"/>
        </w:rPr>
        <w:t>响应，4小时</w:t>
      </w:r>
      <w:r>
        <w:rPr>
          <w:rFonts w:hint="eastAsia" w:ascii="方正兰亭黑简体" w:hAnsi="方正兰亭黑简体" w:eastAsia="方正兰亭黑简体" w:cs="方正兰亭黑简体"/>
          <w:color w:val="auto"/>
          <w:sz w:val="22"/>
          <w:szCs w:val="28"/>
          <w:highlight w:val="none"/>
          <w:lang w:val="zh-CN" w:eastAsia="zh-CN"/>
        </w:rPr>
        <w:t>上门服务、</w:t>
      </w:r>
      <w:r>
        <w:rPr>
          <w:rFonts w:hint="eastAsia" w:ascii="方正兰亭黑简体" w:hAnsi="方正兰亭黑简体" w:eastAsia="方正兰亭黑简体" w:cs="方正兰亭黑简体"/>
          <w:color w:val="auto"/>
          <w:sz w:val="22"/>
          <w:szCs w:val="28"/>
          <w:highlight w:val="none"/>
          <w:lang w:val="en-US" w:eastAsia="zh-CN"/>
        </w:rPr>
        <w:t>24</w:t>
      </w:r>
      <w:r>
        <w:rPr>
          <w:rFonts w:hint="eastAsia" w:ascii="方正兰亭黑简体" w:hAnsi="方正兰亭黑简体" w:eastAsia="方正兰亭黑简体" w:cs="方正兰亭黑简体"/>
          <w:color w:val="auto"/>
          <w:sz w:val="22"/>
          <w:szCs w:val="28"/>
          <w:highlight w:val="none"/>
          <w:lang w:val="zh-CN" w:eastAsia="zh-CN"/>
        </w:rPr>
        <w:t>小时内排除故障。</w:t>
      </w:r>
    </w:p>
    <w:p w14:paraId="27935752">
      <w:pPr>
        <w:ind w:left="0" w:leftChars="0" w:firstLine="0" w:firstLineChars="0"/>
        <w:jc w:val="left"/>
        <w:rPr>
          <w:rFonts w:hint="eastAsia" w:ascii="方正兰亭黑简体" w:hAnsi="方正兰亭黑简体" w:eastAsia="方正兰亭黑简体" w:cs="方正兰亭黑简体"/>
          <w:color w:val="auto"/>
          <w:sz w:val="22"/>
          <w:szCs w:val="28"/>
          <w:highlight w:val="none"/>
          <w:lang w:val="zh-CN" w:eastAsia="zh-CN"/>
        </w:rPr>
      </w:pPr>
      <w:r>
        <w:rPr>
          <w:rFonts w:hint="eastAsia" w:ascii="方正兰亭黑简体" w:hAnsi="方正兰亭黑简体" w:eastAsia="方正兰亭黑简体" w:cs="方正兰亭黑简体"/>
          <w:color w:val="auto"/>
          <w:sz w:val="22"/>
          <w:szCs w:val="28"/>
          <w:highlight w:val="none"/>
          <w:lang w:val="en-US" w:eastAsia="zh-CN"/>
        </w:rPr>
        <w:t>2、履约验收：</w:t>
      </w:r>
      <w:r>
        <w:rPr>
          <w:rFonts w:hint="eastAsia" w:ascii="方正兰亭黑简体" w:hAnsi="方正兰亭黑简体" w:eastAsia="方正兰亭黑简体" w:cs="方正兰亭黑简体"/>
          <w:color w:val="auto"/>
          <w:sz w:val="22"/>
          <w:szCs w:val="28"/>
          <w:highlight w:val="none"/>
          <w:lang w:val="zh-CN" w:eastAsia="zh-CN"/>
        </w:rPr>
        <w:t>验收主体：上海海事大学</w:t>
      </w:r>
    </w:p>
    <w:p w14:paraId="5C8C5FBA">
      <w:pPr>
        <w:ind w:left="0" w:leftChars="0" w:firstLine="0" w:firstLineChars="0"/>
        <w:jc w:val="left"/>
        <w:rPr>
          <w:rFonts w:hint="eastAsia" w:ascii="方正兰亭黑简体" w:hAnsi="方正兰亭黑简体" w:eastAsia="方正兰亭黑简体" w:cs="方正兰亭黑简体"/>
          <w:color w:val="auto"/>
          <w:sz w:val="22"/>
          <w:szCs w:val="28"/>
          <w:highlight w:val="none"/>
          <w:lang w:val="zh-CN" w:eastAsia="zh-CN"/>
        </w:rPr>
      </w:pPr>
      <w:r>
        <w:rPr>
          <w:rFonts w:hint="eastAsia" w:ascii="方正兰亭黑简体" w:hAnsi="方正兰亭黑简体" w:eastAsia="方正兰亭黑简体" w:cs="方正兰亭黑简体"/>
          <w:color w:val="auto"/>
          <w:sz w:val="22"/>
          <w:szCs w:val="28"/>
          <w:highlight w:val="none"/>
          <w:lang w:val="zh-CN" w:eastAsia="zh-CN"/>
        </w:rPr>
        <w:t>验收时间：</w:t>
      </w:r>
      <w:r>
        <w:rPr>
          <w:rFonts w:hint="eastAsia" w:ascii="方正兰亭黑简体" w:hAnsi="方正兰亭黑简体" w:eastAsia="方正兰亭黑简体" w:cs="方正兰亭黑简体"/>
          <w:color w:val="auto"/>
          <w:sz w:val="22"/>
          <w:szCs w:val="28"/>
          <w:highlight w:val="none"/>
          <w:lang w:val="en-US" w:eastAsia="zh-CN"/>
        </w:rPr>
        <w:t>安装调试完成后；</w:t>
      </w:r>
    </w:p>
    <w:p w14:paraId="2633D33F">
      <w:pPr>
        <w:ind w:left="0" w:leftChars="0" w:firstLine="0" w:firstLineChars="0"/>
        <w:jc w:val="left"/>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zh-CN" w:eastAsia="zh-CN"/>
        </w:rPr>
        <w:t>验收方式：</w:t>
      </w:r>
      <w:r>
        <w:rPr>
          <w:rFonts w:hint="eastAsia" w:ascii="方正兰亭黑简体" w:hAnsi="方正兰亭黑简体" w:eastAsia="方正兰亭黑简体" w:cs="方正兰亭黑简体"/>
          <w:color w:val="auto"/>
          <w:sz w:val="22"/>
          <w:szCs w:val="28"/>
          <w:highlight w:val="none"/>
          <w:lang w:val="en-US" w:eastAsia="zh-CN"/>
        </w:rPr>
        <w:t>线下功能测试；</w:t>
      </w:r>
    </w:p>
    <w:p w14:paraId="34D02E22">
      <w:pPr>
        <w:ind w:left="0" w:leftChars="0" w:firstLine="0" w:firstLineChars="0"/>
        <w:jc w:val="left"/>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zh-CN" w:eastAsia="zh-CN"/>
        </w:rPr>
        <w:t>验收内容：</w:t>
      </w:r>
      <w:r>
        <w:rPr>
          <w:rFonts w:hint="eastAsia" w:ascii="方正兰亭黑简体" w:hAnsi="方正兰亭黑简体" w:eastAsia="方正兰亭黑简体" w:cs="方正兰亭黑简体"/>
          <w:color w:val="auto"/>
          <w:sz w:val="22"/>
          <w:szCs w:val="28"/>
          <w:highlight w:val="none"/>
          <w:lang w:val="en-US" w:eastAsia="zh-CN"/>
        </w:rPr>
        <w:t>智能⼯业机器⼈综合实训台；</w:t>
      </w:r>
    </w:p>
    <w:p w14:paraId="57ABD9A5">
      <w:pPr>
        <w:ind w:left="0" w:leftChars="0" w:firstLine="0" w:firstLineChars="0"/>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验收标准：按照比选参数需求。</w:t>
      </w:r>
    </w:p>
    <w:p w14:paraId="104324FB">
      <w:pP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br w:type="page"/>
      </w:r>
    </w:p>
    <w:p w14:paraId="6F08D747">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第三章 评审办法</w:t>
      </w:r>
    </w:p>
    <w:p w14:paraId="69EFEE19">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综合本项目的特点，根据相关法律法规的规定，本着保护竞争，维护采购工作公开、公平、公正原则，特制定本评审办法，作为选定本次采购</w:t>
      </w:r>
      <w:r>
        <w:rPr>
          <w:rFonts w:hint="eastAsia" w:ascii="方正兰亭黑简体" w:hAnsi="方正兰亭黑简体" w:eastAsia="方正兰亭黑简体" w:cs="方正兰亭黑简体"/>
          <w:color w:val="auto"/>
          <w:sz w:val="22"/>
          <w:szCs w:val="28"/>
          <w:highlight w:val="none"/>
          <w:lang w:eastAsia="zh-CN"/>
        </w:rPr>
        <w:t>中标</w:t>
      </w:r>
      <w:r>
        <w:rPr>
          <w:rFonts w:hint="eastAsia" w:ascii="方正兰亭黑简体" w:hAnsi="方正兰亭黑简体" w:eastAsia="方正兰亭黑简体" w:cs="方正兰亭黑简体"/>
          <w:color w:val="auto"/>
          <w:sz w:val="22"/>
          <w:szCs w:val="28"/>
          <w:highlight w:val="none"/>
        </w:rPr>
        <w:t>人的依据。</w:t>
      </w:r>
    </w:p>
    <w:p w14:paraId="117C452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1、成立比选评审小组</w:t>
      </w:r>
    </w:p>
    <w:p w14:paraId="49C58FDA">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采购人将根据</w:t>
      </w:r>
      <w:r>
        <w:rPr>
          <w:rFonts w:hint="eastAsia" w:ascii="方正兰亭黑简体" w:hAnsi="方正兰亭黑简体" w:eastAsia="方正兰亭黑简体" w:cs="方正兰亭黑简体"/>
          <w:color w:val="auto"/>
          <w:sz w:val="22"/>
          <w:szCs w:val="28"/>
          <w:highlight w:val="none"/>
          <w:lang w:val="en-US" w:eastAsia="zh-CN"/>
        </w:rPr>
        <w:t>货物与服务</w:t>
      </w:r>
      <w:r>
        <w:rPr>
          <w:rFonts w:hint="eastAsia" w:ascii="方正兰亭黑简体" w:hAnsi="方正兰亭黑简体" w:eastAsia="方正兰亭黑简体" w:cs="方正兰亭黑简体"/>
          <w:color w:val="auto"/>
          <w:sz w:val="22"/>
          <w:szCs w:val="28"/>
          <w:highlight w:val="none"/>
        </w:rPr>
        <w:t>的特点，依</w:t>
      </w:r>
      <w:r>
        <w:rPr>
          <w:rFonts w:hint="eastAsia" w:ascii="方正兰亭黑简体" w:hAnsi="方正兰亭黑简体" w:eastAsia="方正兰亭黑简体" w:cs="方正兰亭黑简体"/>
          <w:color w:val="auto"/>
          <w:sz w:val="22"/>
          <w:szCs w:val="28"/>
          <w:highlight w:val="none"/>
          <w:lang w:val="en-US" w:eastAsia="zh-CN"/>
        </w:rPr>
        <w:t>规</w:t>
      </w:r>
      <w:r>
        <w:rPr>
          <w:rFonts w:hint="eastAsia" w:ascii="方正兰亭黑简体" w:hAnsi="方正兰亭黑简体" w:eastAsia="方正兰亭黑简体" w:cs="方正兰亭黑简体"/>
          <w:color w:val="auto"/>
          <w:sz w:val="22"/>
          <w:szCs w:val="28"/>
          <w:highlight w:val="none"/>
        </w:rPr>
        <w:t>组建比选小组，比选小组由3人或以上的单数组成。</w:t>
      </w:r>
    </w:p>
    <w:p w14:paraId="123C9161">
      <w:pPr>
        <w:numPr>
          <w:ilvl w:val="0"/>
          <w:numId w:val="0"/>
        </w:num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kern w:val="2"/>
          <w:sz w:val="22"/>
          <w:szCs w:val="28"/>
          <w:highlight w:val="none"/>
          <w:lang w:val="en-US" w:eastAsia="zh-CN" w:bidi="ar-SA"/>
        </w:rPr>
        <w:t>2、</w:t>
      </w:r>
      <w:r>
        <w:rPr>
          <w:rFonts w:hint="eastAsia" w:ascii="方正兰亭黑简体" w:hAnsi="方正兰亭黑简体" w:eastAsia="方正兰亭黑简体" w:cs="方正兰亭黑简体"/>
          <w:color w:val="auto"/>
          <w:sz w:val="22"/>
          <w:szCs w:val="28"/>
          <w:highlight w:val="none"/>
        </w:rPr>
        <w:t>具体评分细则如下：</w:t>
      </w:r>
    </w:p>
    <w:tbl>
      <w:tblPr>
        <w:tblStyle w:val="15"/>
        <w:tblW w:w="4984"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3"/>
        <w:gridCol w:w="1734"/>
        <w:gridCol w:w="713"/>
        <w:gridCol w:w="6830"/>
      </w:tblGrid>
      <w:tr w14:paraId="64002D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742FB554">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序号</w:t>
            </w:r>
          </w:p>
        </w:tc>
        <w:tc>
          <w:tcPr>
            <w:tcW w:w="873" w:type="pct"/>
            <w:noWrap w:val="0"/>
            <w:vAlign w:val="center"/>
          </w:tcPr>
          <w:p w14:paraId="5F54B63A">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评审因素</w:t>
            </w:r>
          </w:p>
        </w:tc>
        <w:tc>
          <w:tcPr>
            <w:tcW w:w="359" w:type="pct"/>
            <w:noWrap w:val="0"/>
            <w:vAlign w:val="center"/>
          </w:tcPr>
          <w:p w14:paraId="25FE165D">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分值</w:t>
            </w:r>
          </w:p>
        </w:tc>
        <w:tc>
          <w:tcPr>
            <w:tcW w:w="3436" w:type="pct"/>
            <w:noWrap w:val="0"/>
            <w:vAlign w:val="center"/>
          </w:tcPr>
          <w:p w14:paraId="1A737473">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评分说明</w:t>
            </w:r>
          </w:p>
        </w:tc>
      </w:tr>
      <w:tr w14:paraId="41C4C7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000" w:type="pct"/>
            <w:gridSpan w:val="4"/>
            <w:noWrap w:val="0"/>
            <w:vAlign w:val="center"/>
          </w:tcPr>
          <w:p w14:paraId="3FFFCA77">
            <w:pPr>
              <w:spacing w:line="36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一、价格部分</w:t>
            </w:r>
          </w:p>
        </w:tc>
      </w:tr>
      <w:tr w14:paraId="7E29D1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10CE2961">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w:t>
            </w:r>
          </w:p>
        </w:tc>
        <w:tc>
          <w:tcPr>
            <w:tcW w:w="873" w:type="pct"/>
            <w:noWrap w:val="0"/>
            <w:vAlign w:val="center"/>
          </w:tcPr>
          <w:p w14:paraId="69DFDD83">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价格得分</w:t>
            </w:r>
          </w:p>
          <w:p w14:paraId="5224EE0B">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客观分</w:t>
            </w:r>
            <w:r>
              <w:rPr>
                <w:rFonts w:hint="eastAsia" w:ascii="方正兰亭黑简体" w:hAnsi="方正兰亭黑简体" w:eastAsia="方正兰亭黑简体" w:cs="方正兰亭黑简体"/>
                <w:color w:val="auto"/>
                <w:sz w:val="20"/>
                <w:szCs w:val="20"/>
                <w:highlight w:val="none"/>
                <w:lang w:eastAsia="zh-CN"/>
              </w:rPr>
              <w:t>）</w:t>
            </w:r>
          </w:p>
        </w:tc>
        <w:tc>
          <w:tcPr>
            <w:tcW w:w="359" w:type="pct"/>
            <w:noWrap w:val="0"/>
            <w:vAlign w:val="center"/>
          </w:tcPr>
          <w:p w14:paraId="4CB6FE52">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30</w:t>
            </w:r>
          </w:p>
        </w:tc>
        <w:tc>
          <w:tcPr>
            <w:tcW w:w="3436" w:type="pct"/>
            <w:noWrap w:val="0"/>
            <w:vAlign w:val="center"/>
          </w:tcPr>
          <w:p w14:paraId="7EE17ECD">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采用低价优先法计算，即满足</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rPr>
              <w:t>文件要求且</w:t>
            </w:r>
            <w:r>
              <w:rPr>
                <w:rFonts w:hint="eastAsia" w:ascii="方正兰亭黑简体" w:hAnsi="方正兰亭黑简体" w:eastAsia="方正兰亭黑简体" w:cs="方正兰亭黑简体"/>
                <w:color w:val="auto"/>
                <w:sz w:val="20"/>
                <w:szCs w:val="20"/>
                <w:highlight w:val="none"/>
                <w:lang w:val="en-US" w:eastAsia="zh-CN"/>
              </w:rPr>
              <w:t>最低</w:t>
            </w:r>
            <w:r>
              <w:rPr>
                <w:rFonts w:hint="eastAsia" w:ascii="方正兰亭黑简体" w:hAnsi="方正兰亭黑简体" w:eastAsia="方正兰亭黑简体" w:cs="方正兰亭黑简体"/>
                <w:color w:val="auto"/>
                <w:sz w:val="20"/>
                <w:szCs w:val="20"/>
                <w:highlight w:val="none"/>
              </w:rPr>
              <w:t>的报价为基准价，其价格分为满分30分。其他报价</w:t>
            </w:r>
            <w:r>
              <w:rPr>
                <w:rFonts w:hint="eastAsia" w:ascii="方正兰亭黑简体" w:hAnsi="方正兰亭黑简体" w:eastAsia="方正兰亭黑简体" w:cs="方正兰亭黑简体"/>
                <w:color w:val="auto"/>
                <w:sz w:val="20"/>
                <w:szCs w:val="20"/>
                <w:highlight w:val="none"/>
                <w:lang w:val="en-US" w:eastAsia="zh-CN"/>
              </w:rPr>
              <w:t>单位</w:t>
            </w:r>
            <w:r>
              <w:rPr>
                <w:rFonts w:hint="eastAsia" w:ascii="方正兰亭黑简体" w:hAnsi="方正兰亭黑简体" w:eastAsia="方正兰亭黑简体" w:cs="方正兰亭黑简体"/>
                <w:color w:val="auto"/>
                <w:sz w:val="20"/>
                <w:szCs w:val="20"/>
                <w:highlight w:val="none"/>
              </w:rPr>
              <w:t>的报价得分计算公式如下：</w:t>
            </w:r>
          </w:p>
          <w:p w14:paraId="00A2DA11">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报价得分＝30×（评标基准价/投标报价）。</w:t>
            </w:r>
          </w:p>
        </w:tc>
      </w:tr>
      <w:tr w14:paraId="1CE67C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000" w:type="pct"/>
            <w:gridSpan w:val="4"/>
            <w:noWrap w:val="0"/>
            <w:vAlign w:val="center"/>
          </w:tcPr>
          <w:p w14:paraId="14AC1211">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二、商务</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技术部分</w:t>
            </w:r>
          </w:p>
        </w:tc>
      </w:tr>
      <w:tr w14:paraId="603C32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69B44514">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2</w:t>
            </w:r>
          </w:p>
        </w:tc>
        <w:tc>
          <w:tcPr>
            <w:tcW w:w="873" w:type="pct"/>
            <w:noWrap w:val="0"/>
            <w:vAlign w:val="center"/>
          </w:tcPr>
          <w:p w14:paraId="4BAF2162">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经验业绩</w:t>
            </w:r>
          </w:p>
          <w:p w14:paraId="654A2B2C">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客观分</w:t>
            </w:r>
            <w:r>
              <w:rPr>
                <w:rFonts w:hint="eastAsia" w:ascii="方正兰亭黑简体" w:hAnsi="方正兰亭黑简体" w:eastAsia="方正兰亭黑简体" w:cs="方正兰亭黑简体"/>
                <w:color w:val="auto"/>
                <w:sz w:val="20"/>
                <w:szCs w:val="20"/>
                <w:highlight w:val="none"/>
                <w:lang w:eastAsia="zh-CN"/>
              </w:rPr>
              <w:t>）</w:t>
            </w:r>
          </w:p>
        </w:tc>
        <w:tc>
          <w:tcPr>
            <w:tcW w:w="359" w:type="pct"/>
            <w:noWrap w:val="0"/>
            <w:vAlign w:val="center"/>
          </w:tcPr>
          <w:p w14:paraId="7C2DAE44">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1</w:t>
            </w:r>
            <w:r>
              <w:rPr>
                <w:rFonts w:hint="eastAsia" w:ascii="方正兰亭黑简体" w:hAnsi="方正兰亭黑简体" w:eastAsia="方正兰亭黑简体" w:cs="方正兰亭黑简体"/>
                <w:color w:val="auto"/>
                <w:sz w:val="20"/>
                <w:szCs w:val="20"/>
                <w:highlight w:val="none"/>
                <w:lang w:val="en-US" w:eastAsia="zh-CN"/>
              </w:rPr>
              <w:t>5</w:t>
            </w:r>
          </w:p>
        </w:tc>
        <w:tc>
          <w:tcPr>
            <w:tcW w:w="3436" w:type="pct"/>
            <w:noWrap w:val="0"/>
            <w:vAlign w:val="center"/>
          </w:tcPr>
          <w:p w14:paraId="4A5A3383">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提供</w:t>
            </w:r>
            <w:r>
              <w:rPr>
                <w:rFonts w:hint="eastAsia" w:ascii="方正兰亭黑简体" w:hAnsi="方正兰亭黑简体" w:eastAsia="方正兰亭黑简体" w:cs="方正兰亭黑简体"/>
                <w:color w:val="auto"/>
                <w:sz w:val="20"/>
                <w:szCs w:val="20"/>
                <w:highlight w:val="none"/>
              </w:rPr>
              <w:t>近3年（合同签订日期自202</w:t>
            </w: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年</w:t>
            </w:r>
            <w:r>
              <w:rPr>
                <w:rFonts w:hint="eastAsia" w:ascii="方正兰亭黑简体" w:hAnsi="方正兰亭黑简体" w:eastAsia="方正兰亭黑简体" w:cs="方正兰亭黑简体"/>
                <w:color w:val="auto"/>
                <w:sz w:val="20"/>
                <w:szCs w:val="20"/>
                <w:highlight w:val="none"/>
                <w:lang w:val="en-US" w:eastAsia="zh-CN"/>
              </w:rPr>
              <w:t>7</w:t>
            </w:r>
            <w:r>
              <w:rPr>
                <w:rFonts w:hint="eastAsia" w:ascii="方正兰亭黑简体" w:hAnsi="方正兰亭黑简体" w:eastAsia="方正兰亭黑简体" w:cs="方正兰亭黑简体"/>
                <w:color w:val="auto"/>
                <w:sz w:val="20"/>
                <w:szCs w:val="20"/>
                <w:highlight w:val="none"/>
              </w:rPr>
              <w:t>月起至今）</w:t>
            </w:r>
            <w:r>
              <w:rPr>
                <w:rFonts w:hint="eastAsia" w:ascii="方正兰亭黑简体" w:hAnsi="方正兰亭黑简体" w:eastAsia="方正兰亭黑简体" w:cs="方正兰亭黑简体"/>
                <w:color w:val="auto"/>
                <w:sz w:val="20"/>
                <w:szCs w:val="20"/>
                <w:highlight w:val="none"/>
                <w:lang w:val="en-US" w:eastAsia="zh-CN"/>
              </w:rPr>
              <w:t>业绩案例</w:t>
            </w:r>
            <w:r>
              <w:rPr>
                <w:rFonts w:hint="eastAsia" w:ascii="方正兰亭黑简体" w:hAnsi="方正兰亭黑简体" w:eastAsia="方正兰亭黑简体" w:cs="方正兰亭黑简体"/>
                <w:color w:val="auto"/>
                <w:sz w:val="20"/>
                <w:szCs w:val="20"/>
                <w:highlight w:val="none"/>
              </w:rPr>
              <w:t>。（每提供1个得</w:t>
            </w: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分；最高得1</w:t>
            </w: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分）注：需提供相关业绩的合同复印件，否则将不予认可。</w:t>
            </w:r>
          </w:p>
        </w:tc>
      </w:tr>
      <w:tr w14:paraId="4674DA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147D3766">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873" w:type="pct"/>
            <w:noWrap w:val="0"/>
            <w:vAlign w:val="center"/>
          </w:tcPr>
          <w:p w14:paraId="069DEA50">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技术响应程度</w:t>
            </w:r>
          </w:p>
          <w:p w14:paraId="1793C67A">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客观分</w:t>
            </w:r>
            <w:r>
              <w:rPr>
                <w:rFonts w:hint="eastAsia" w:ascii="方正兰亭黑简体" w:hAnsi="方正兰亭黑简体" w:eastAsia="方正兰亭黑简体" w:cs="方正兰亭黑简体"/>
                <w:color w:val="auto"/>
                <w:sz w:val="20"/>
                <w:szCs w:val="20"/>
                <w:highlight w:val="none"/>
                <w:lang w:eastAsia="zh-CN"/>
              </w:rPr>
              <w:t>）</w:t>
            </w:r>
          </w:p>
        </w:tc>
        <w:tc>
          <w:tcPr>
            <w:tcW w:w="359" w:type="pct"/>
            <w:noWrap w:val="0"/>
            <w:vAlign w:val="center"/>
          </w:tcPr>
          <w:p w14:paraId="70332D36">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30</w:t>
            </w:r>
          </w:p>
        </w:tc>
        <w:tc>
          <w:tcPr>
            <w:tcW w:w="3436" w:type="pct"/>
            <w:shd w:val="clear" w:color="auto" w:fill="auto"/>
            <w:noWrap w:val="0"/>
            <w:vAlign w:val="center"/>
          </w:tcPr>
          <w:p w14:paraId="7461B042">
            <w:pPr>
              <w:spacing w:line="360" w:lineRule="auto"/>
              <w:jc w:val="both"/>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rPr>
              <w:t>针对第</w:t>
            </w:r>
            <w:r>
              <w:rPr>
                <w:rFonts w:hint="eastAsia" w:ascii="方正兰亭黑简体" w:hAnsi="方正兰亭黑简体" w:eastAsia="方正兰亭黑简体" w:cs="方正兰亭黑简体"/>
                <w:color w:val="auto"/>
                <w:sz w:val="20"/>
                <w:szCs w:val="20"/>
                <w:highlight w:val="none"/>
                <w:lang w:val="en-US" w:eastAsia="zh-CN"/>
              </w:rPr>
              <w:t>二</w:t>
            </w:r>
            <w:r>
              <w:rPr>
                <w:rFonts w:hint="eastAsia" w:ascii="方正兰亭黑简体" w:hAnsi="方正兰亭黑简体" w:eastAsia="方正兰亭黑简体" w:cs="方正兰亭黑简体"/>
                <w:color w:val="auto"/>
                <w:sz w:val="20"/>
                <w:szCs w:val="20"/>
                <w:highlight w:val="none"/>
              </w:rPr>
              <w:t>章中的</w:t>
            </w:r>
            <w:r>
              <w:rPr>
                <w:rFonts w:hint="eastAsia" w:ascii="方正兰亭黑简体" w:hAnsi="方正兰亭黑简体" w:eastAsia="方正兰亭黑简体" w:cs="方正兰亭黑简体"/>
                <w:color w:val="auto"/>
                <w:sz w:val="20"/>
                <w:szCs w:val="20"/>
                <w:highlight w:val="none"/>
                <w:lang w:val="en-US" w:eastAsia="zh-CN"/>
              </w:rPr>
              <w:t>采购需求</w:t>
            </w:r>
            <w:r>
              <w:rPr>
                <w:rFonts w:hint="eastAsia" w:ascii="方正兰亭黑简体" w:hAnsi="方正兰亭黑简体" w:eastAsia="方正兰亭黑简体" w:cs="方正兰亭黑简体"/>
                <w:color w:val="auto"/>
                <w:sz w:val="20"/>
                <w:szCs w:val="20"/>
                <w:highlight w:val="none"/>
              </w:rPr>
              <w:t>：不满足技术条款的，每项扣</w:t>
            </w: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分；扣完为止。</w:t>
            </w:r>
          </w:p>
        </w:tc>
      </w:tr>
      <w:tr w14:paraId="321557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67884245">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873" w:type="pct"/>
            <w:tcBorders>
              <w:top w:val="single" w:color="auto" w:sz="6" w:space="0"/>
              <w:left w:val="single" w:color="auto" w:sz="6" w:space="0"/>
              <w:bottom w:val="single" w:color="auto" w:sz="6" w:space="0"/>
              <w:right w:val="single" w:color="auto" w:sz="6" w:space="0"/>
            </w:tcBorders>
            <w:noWrap w:val="0"/>
            <w:vAlign w:val="center"/>
          </w:tcPr>
          <w:p w14:paraId="5083A718">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产品性能介绍</w:t>
            </w:r>
          </w:p>
          <w:p w14:paraId="1A5865D0">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359" w:type="pct"/>
            <w:noWrap w:val="0"/>
            <w:vAlign w:val="center"/>
          </w:tcPr>
          <w:p w14:paraId="3662F0A0">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10</w:t>
            </w:r>
          </w:p>
        </w:tc>
        <w:tc>
          <w:tcPr>
            <w:tcW w:w="3436" w:type="pct"/>
            <w:noWrap w:val="0"/>
            <w:vAlign w:val="center"/>
          </w:tcPr>
          <w:p w14:paraId="37F6985E">
            <w:pPr>
              <w:spacing w:line="360" w:lineRule="auto"/>
              <w:jc w:val="both"/>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优秀（</w:t>
            </w:r>
            <w:r>
              <w:rPr>
                <w:rFonts w:hint="eastAsia" w:ascii="方正兰亭黑简体" w:hAnsi="方正兰亭黑简体" w:eastAsia="方正兰亭黑简体" w:cs="方正兰亭黑简体"/>
                <w:color w:val="auto"/>
                <w:sz w:val="20"/>
                <w:szCs w:val="20"/>
                <w:highlight w:val="none"/>
                <w:lang w:val="en-US" w:eastAsia="zh-CN"/>
              </w:rPr>
              <w:t>8～10</w:t>
            </w:r>
            <w:r>
              <w:rPr>
                <w:rFonts w:hint="eastAsia" w:ascii="方正兰亭黑简体" w:hAnsi="方正兰亭黑简体" w:eastAsia="方正兰亭黑简体" w:cs="方正兰亭黑简体"/>
                <w:color w:val="auto"/>
                <w:sz w:val="20"/>
                <w:szCs w:val="20"/>
                <w:highlight w:val="none"/>
              </w:rPr>
              <w:t>分）：详细介绍了产品的各项性能参数</w:t>
            </w:r>
            <w:r>
              <w:rPr>
                <w:rFonts w:hint="eastAsia" w:ascii="方正兰亭黑简体" w:hAnsi="方正兰亭黑简体" w:eastAsia="方正兰亭黑简体" w:cs="方正兰亭黑简体"/>
                <w:color w:val="auto"/>
                <w:sz w:val="20"/>
                <w:szCs w:val="20"/>
                <w:highlight w:val="none"/>
                <w:lang w:eastAsia="zh-CN"/>
              </w:rPr>
              <w:t>。</w:t>
            </w:r>
          </w:p>
          <w:p w14:paraId="62A7189F">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良好（</w:t>
            </w:r>
            <w:r>
              <w:rPr>
                <w:rFonts w:hint="eastAsia" w:ascii="方正兰亭黑简体" w:hAnsi="方正兰亭黑简体" w:eastAsia="方正兰亭黑简体" w:cs="方正兰亭黑简体"/>
                <w:color w:val="auto"/>
                <w:sz w:val="20"/>
                <w:szCs w:val="20"/>
                <w:highlight w:val="none"/>
                <w:lang w:val="en-US" w:eastAsia="zh-CN"/>
              </w:rPr>
              <w:t>5～7</w:t>
            </w:r>
            <w:r>
              <w:rPr>
                <w:rFonts w:hint="eastAsia" w:ascii="方正兰亭黑简体" w:hAnsi="方正兰亭黑简体" w:eastAsia="方正兰亭黑简体" w:cs="方正兰亭黑简体"/>
                <w:color w:val="auto"/>
                <w:sz w:val="20"/>
                <w:szCs w:val="20"/>
                <w:highlight w:val="none"/>
              </w:rPr>
              <w:t>分）：较全面地介绍了产品的性能参数。</w:t>
            </w:r>
          </w:p>
          <w:p w14:paraId="70A493C7">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一般（</w:t>
            </w:r>
            <w:r>
              <w:rPr>
                <w:rFonts w:hint="eastAsia" w:ascii="方正兰亭黑简体" w:hAnsi="方正兰亭黑简体" w:eastAsia="方正兰亭黑简体" w:cs="方正兰亭黑简体"/>
                <w:color w:val="auto"/>
                <w:sz w:val="20"/>
                <w:szCs w:val="20"/>
                <w:highlight w:val="none"/>
                <w:lang w:val="en-US" w:eastAsia="zh-CN"/>
              </w:rPr>
              <w:t>2～4</w:t>
            </w:r>
            <w:r>
              <w:rPr>
                <w:rFonts w:hint="eastAsia" w:ascii="方正兰亭黑简体" w:hAnsi="方正兰亭黑简体" w:eastAsia="方正兰亭黑简体" w:cs="方正兰亭黑简体"/>
                <w:color w:val="auto"/>
                <w:sz w:val="20"/>
                <w:szCs w:val="20"/>
                <w:highlight w:val="none"/>
              </w:rPr>
              <w:t>分）：介绍了部分性能参数，但不够全面或详细。</w:t>
            </w:r>
          </w:p>
          <w:p w14:paraId="0BEE09AF">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较差（0</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分）：性能参数介绍不完整或存在明显错误。</w:t>
            </w:r>
          </w:p>
        </w:tc>
      </w:tr>
      <w:tr w14:paraId="261A6E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063649C8">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873" w:type="pct"/>
            <w:noWrap w:val="0"/>
            <w:vAlign w:val="center"/>
          </w:tcPr>
          <w:p w14:paraId="555CFAE5">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技术支持与</w:t>
            </w:r>
            <w:r>
              <w:rPr>
                <w:rFonts w:hint="eastAsia" w:ascii="方正兰亭黑简体" w:hAnsi="方正兰亭黑简体" w:eastAsia="方正兰亭黑简体" w:cs="方正兰亭黑简体"/>
                <w:color w:val="auto"/>
                <w:sz w:val="20"/>
                <w:szCs w:val="20"/>
                <w:highlight w:val="none"/>
                <w:lang w:val="en-US" w:eastAsia="zh-CN"/>
              </w:rPr>
              <w:t>售后</w:t>
            </w:r>
            <w:r>
              <w:rPr>
                <w:rFonts w:hint="eastAsia" w:ascii="方正兰亭黑简体" w:hAnsi="方正兰亭黑简体" w:eastAsia="方正兰亭黑简体" w:cs="方正兰亭黑简体"/>
                <w:color w:val="auto"/>
                <w:sz w:val="20"/>
                <w:szCs w:val="20"/>
                <w:highlight w:val="none"/>
              </w:rPr>
              <w:t>服务</w:t>
            </w:r>
          </w:p>
          <w:p w14:paraId="1F53F634">
            <w:pPr>
              <w:pStyle w:val="14"/>
              <w:spacing w:line="360" w:lineRule="auto"/>
              <w:ind w:firstLine="200" w:firstLineChars="100"/>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359" w:type="pct"/>
            <w:noWrap w:val="0"/>
            <w:vAlign w:val="center"/>
          </w:tcPr>
          <w:p w14:paraId="7D753253">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15</w:t>
            </w:r>
          </w:p>
        </w:tc>
        <w:tc>
          <w:tcPr>
            <w:tcW w:w="3436" w:type="pct"/>
            <w:noWrap w:val="0"/>
            <w:vAlign w:val="center"/>
          </w:tcPr>
          <w:p w14:paraId="566D5B29">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优秀（</w:t>
            </w:r>
            <w:r>
              <w:rPr>
                <w:rFonts w:hint="eastAsia" w:ascii="方正兰亭黑简体" w:hAnsi="方正兰亭黑简体" w:eastAsia="方正兰亭黑简体" w:cs="方正兰亭黑简体"/>
                <w:color w:val="auto"/>
                <w:sz w:val="20"/>
                <w:szCs w:val="20"/>
                <w:highlight w:val="none"/>
                <w:lang w:val="en-US" w:eastAsia="zh-CN"/>
              </w:rPr>
              <w:t>12～15</w:t>
            </w:r>
            <w:r>
              <w:rPr>
                <w:rFonts w:hint="eastAsia" w:ascii="方正兰亭黑简体" w:hAnsi="方正兰亭黑简体" w:eastAsia="方正兰亭黑简体" w:cs="方正兰亭黑简体"/>
                <w:color w:val="auto"/>
                <w:sz w:val="20"/>
                <w:szCs w:val="20"/>
                <w:highlight w:val="none"/>
              </w:rPr>
              <w:t>分）：提供了详尽的技术支持方案</w:t>
            </w:r>
            <w:r>
              <w:rPr>
                <w:rFonts w:hint="eastAsia" w:ascii="方正兰亭黑简体" w:hAnsi="方正兰亭黑简体" w:eastAsia="方正兰亭黑简体" w:cs="方正兰亭黑简体"/>
                <w:color w:val="auto"/>
                <w:sz w:val="20"/>
                <w:szCs w:val="20"/>
                <w:highlight w:val="none"/>
                <w:lang w:val="en-US" w:eastAsia="zh-CN"/>
              </w:rPr>
              <w:t>以及售后服务方案</w:t>
            </w:r>
            <w:r>
              <w:rPr>
                <w:rFonts w:hint="eastAsia" w:ascii="方正兰亭黑简体" w:hAnsi="方正兰亭黑简体" w:eastAsia="方正兰亭黑简体" w:cs="方正兰亭黑简体"/>
                <w:color w:val="auto"/>
                <w:sz w:val="20"/>
                <w:szCs w:val="20"/>
                <w:highlight w:val="none"/>
              </w:rPr>
              <w:t>，包括快速响应机制、服务承诺等。</w:t>
            </w:r>
          </w:p>
          <w:p w14:paraId="1B650857">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良好（</w:t>
            </w:r>
            <w:r>
              <w:rPr>
                <w:rFonts w:hint="eastAsia" w:ascii="方正兰亭黑简体" w:hAnsi="方正兰亭黑简体" w:eastAsia="方正兰亭黑简体" w:cs="方正兰亭黑简体"/>
                <w:color w:val="auto"/>
                <w:sz w:val="20"/>
                <w:szCs w:val="20"/>
                <w:highlight w:val="none"/>
                <w:lang w:val="en-US" w:eastAsia="zh-CN"/>
              </w:rPr>
              <w:t>8～11</w:t>
            </w:r>
            <w:r>
              <w:rPr>
                <w:rFonts w:hint="eastAsia" w:ascii="方正兰亭黑简体" w:hAnsi="方正兰亭黑简体" w:eastAsia="方正兰亭黑简体" w:cs="方正兰亭黑简体"/>
                <w:color w:val="auto"/>
                <w:sz w:val="20"/>
                <w:szCs w:val="20"/>
                <w:highlight w:val="none"/>
              </w:rPr>
              <w:t>分）：提供了较为全面的技术支持方案</w:t>
            </w:r>
            <w:r>
              <w:rPr>
                <w:rFonts w:hint="eastAsia" w:ascii="方正兰亭黑简体" w:hAnsi="方正兰亭黑简体" w:eastAsia="方正兰亭黑简体" w:cs="方正兰亭黑简体"/>
                <w:color w:val="auto"/>
                <w:sz w:val="20"/>
                <w:szCs w:val="20"/>
                <w:highlight w:val="none"/>
                <w:lang w:val="en-US" w:eastAsia="zh-CN"/>
              </w:rPr>
              <w:t>和售后服务方案</w:t>
            </w:r>
            <w:r>
              <w:rPr>
                <w:rFonts w:hint="eastAsia" w:ascii="方正兰亭黑简体" w:hAnsi="方正兰亭黑简体" w:eastAsia="方正兰亭黑简体" w:cs="方正兰亭黑简体"/>
                <w:color w:val="auto"/>
                <w:sz w:val="20"/>
                <w:szCs w:val="20"/>
                <w:highlight w:val="none"/>
              </w:rPr>
              <w:t>，但计划不够详细。</w:t>
            </w:r>
          </w:p>
          <w:p w14:paraId="2E6A021F">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一般（</w:t>
            </w:r>
            <w:r>
              <w:rPr>
                <w:rFonts w:hint="eastAsia" w:ascii="方正兰亭黑简体" w:hAnsi="方正兰亭黑简体" w:eastAsia="方正兰亭黑简体" w:cs="方正兰亭黑简体"/>
                <w:color w:val="auto"/>
                <w:sz w:val="20"/>
                <w:szCs w:val="20"/>
                <w:highlight w:val="none"/>
                <w:lang w:val="en-US" w:eastAsia="zh-CN"/>
              </w:rPr>
              <w:t>4～7</w:t>
            </w:r>
            <w:r>
              <w:rPr>
                <w:rFonts w:hint="eastAsia" w:ascii="方正兰亭黑简体" w:hAnsi="方正兰亭黑简体" w:eastAsia="方正兰亭黑简体" w:cs="方正兰亭黑简体"/>
                <w:color w:val="auto"/>
                <w:sz w:val="20"/>
                <w:szCs w:val="20"/>
                <w:highlight w:val="none"/>
              </w:rPr>
              <w:t>分）：方案较为简单，缺乏</w:t>
            </w:r>
            <w:r>
              <w:rPr>
                <w:rFonts w:hint="eastAsia" w:ascii="方正兰亭黑简体" w:hAnsi="方正兰亭黑简体" w:eastAsia="方正兰亭黑简体" w:cs="方正兰亭黑简体"/>
                <w:color w:val="auto"/>
                <w:sz w:val="20"/>
                <w:szCs w:val="20"/>
                <w:highlight w:val="none"/>
                <w:lang w:val="en-US" w:eastAsia="zh-CN"/>
              </w:rPr>
              <w:t>具体的</w:t>
            </w:r>
            <w:r>
              <w:rPr>
                <w:rFonts w:hint="eastAsia" w:ascii="方正兰亭黑简体" w:hAnsi="方正兰亭黑简体" w:eastAsia="方正兰亭黑简体" w:cs="方正兰亭黑简体"/>
                <w:color w:val="auto"/>
                <w:sz w:val="20"/>
                <w:szCs w:val="20"/>
                <w:highlight w:val="none"/>
              </w:rPr>
              <w:t>计划。</w:t>
            </w:r>
          </w:p>
          <w:p w14:paraId="4BA27702">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较差（0</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分）：未提供技术支持方案或售后服务承诺。</w:t>
            </w:r>
          </w:p>
        </w:tc>
      </w:tr>
    </w:tbl>
    <w:p w14:paraId="71E5B026">
      <w:pPr>
        <w:jc w:val="center"/>
        <w:rPr>
          <w:rFonts w:hint="eastAsia" w:ascii="方正兰亭黑简体" w:hAnsi="方正兰亭黑简体" w:eastAsia="方正兰亭黑简体" w:cs="方正兰亭黑简体"/>
          <w:b/>
          <w:bCs/>
          <w:color w:val="auto"/>
          <w:sz w:val="24"/>
          <w:szCs w:val="32"/>
          <w:highlight w:val="none"/>
          <w:lang w:val="en-US" w:eastAsia="zh-CN"/>
        </w:rPr>
        <w:sectPr>
          <w:footerReference r:id="rId3" w:type="default"/>
          <w:type w:val="continuous"/>
          <w:pgSz w:w="11906" w:h="16838"/>
          <w:pgMar w:top="1440" w:right="1080" w:bottom="1440" w:left="1080" w:header="851" w:footer="992" w:gutter="0"/>
          <w:pgNumType w:fmt="decimal"/>
          <w:cols w:space="425" w:num="1"/>
          <w:docGrid w:type="lines" w:linePitch="312" w:charSpace="0"/>
        </w:sectPr>
      </w:pPr>
    </w:p>
    <w:p w14:paraId="3E74C2BD">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第四章 格式附件</w:t>
      </w:r>
    </w:p>
    <w:p w14:paraId="636BB61B">
      <w:pPr>
        <w:jc w:val="left"/>
        <w:rPr>
          <w:rFonts w:hint="eastAsia" w:ascii="方正兰亭黑简体" w:hAnsi="方正兰亭黑简体" w:eastAsia="方正兰亭黑简体" w:cs="方正兰亭黑简体"/>
          <w:b/>
          <w:bCs/>
          <w:color w:val="auto"/>
          <w:sz w:val="22"/>
          <w:szCs w:val="28"/>
          <w:highlight w:val="none"/>
          <w:lang w:val="en-US" w:eastAsia="zh-CN"/>
        </w:rPr>
      </w:pPr>
      <w:r>
        <w:rPr>
          <w:rFonts w:hint="eastAsia" w:ascii="方正兰亭黑简体" w:hAnsi="方正兰亭黑简体" w:eastAsia="方正兰亭黑简体" w:cs="方正兰亭黑简体"/>
          <w:b/>
          <w:bCs/>
          <w:color w:val="auto"/>
          <w:sz w:val="22"/>
          <w:szCs w:val="28"/>
          <w:highlight w:val="none"/>
          <w:lang w:val="en-US" w:eastAsia="zh-CN"/>
        </w:rPr>
        <w:t>附件1：报价单</w:t>
      </w:r>
    </w:p>
    <w:p w14:paraId="52D9A168">
      <w:pPr>
        <w:spacing w:line="440" w:lineRule="exact"/>
        <w:jc w:val="center"/>
        <w:rPr>
          <w:rFonts w:hint="default" w:ascii="宋体" w:hAnsi="宋体" w:eastAsia="宋体"/>
          <w:color w:val="auto"/>
          <w:sz w:val="24"/>
          <w:highlight w:val="none"/>
          <w:lang w:val="en-US" w:eastAsia="zh-CN"/>
        </w:rPr>
      </w:pPr>
      <w:r>
        <w:rPr>
          <w:rFonts w:hint="eastAsia" w:ascii="黑体" w:hAnsi="华文楷体" w:eastAsia="黑体"/>
          <w:b/>
          <w:color w:val="auto"/>
          <w:sz w:val="36"/>
          <w:szCs w:val="36"/>
          <w:highlight w:val="none"/>
        </w:rPr>
        <w:t>报   价   单</w:t>
      </w:r>
    </w:p>
    <w:p w14:paraId="50E6B72B">
      <w:pPr>
        <w:spacing w:line="440" w:lineRule="exact"/>
        <w:jc w:val="left"/>
        <w:rPr>
          <w:rFonts w:hint="default" w:ascii="黑体" w:hAnsi="华文楷体" w:eastAsia="黑体"/>
          <w:color w:val="auto"/>
          <w:sz w:val="24"/>
          <w:highlight w:val="none"/>
          <w:lang w:val="en-US" w:eastAsia="zh-CN"/>
        </w:rPr>
      </w:pPr>
      <w:r>
        <w:rPr>
          <w:rFonts w:hint="eastAsia" w:ascii="黑体" w:hAnsi="华文楷体" w:eastAsia="黑体"/>
          <w:b/>
          <w:color w:val="auto"/>
          <w:sz w:val="24"/>
          <w:highlight w:val="none"/>
        </w:rPr>
        <w:t xml:space="preserve">TO: </w:t>
      </w:r>
      <w:r>
        <w:rPr>
          <w:rFonts w:hint="eastAsia" w:ascii="黑体" w:hAnsi="华文楷体" w:eastAsia="黑体"/>
          <w:color w:val="auto"/>
          <w:sz w:val="24"/>
          <w:highlight w:val="none"/>
        </w:rPr>
        <w:t xml:space="preserve"> 上海海事大学 </w:t>
      </w:r>
      <w:r>
        <w:rPr>
          <w:rFonts w:hint="eastAsia" w:ascii="黑体" w:hAnsi="华文楷体" w:eastAsia="黑体"/>
          <w:color w:val="auto"/>
          <w:sz w:val="24"/>
          <w:highlight w:val="none"/>
          <w:lang w:val="en-US" w:eastAsia="zh-CN"/>
        </w:rPr>
        <w:t>采购与招投标管理中心</w:t>
      </w:r>
      <w:r>
        <w:rPr>
          <w:rFonts w:hint="eastAsia" w:ascii="黑体" w:hAnsi="华文楷体" w:eastAsia="黑体"/>
          <w:b/>
          <w:color w:val="auto"/>
          <w:sz w:val="36"/>
          <w:szCs w:val="36"/>
          <w:highlight w:val="none"/>
        </w:rPr>
        <w:t xml:space="preserve">   </w:t>
      </w:r>
      <w:r>
        <w:rPr>
          <w:rFonts w:hint="eastAsia" w:ascii="黑体" w:hAnsi="华文楷体" w:eastAsia="黑体"/>
          <w:b/>
          <w:color w:val="auto"/>
          <w:sz w:val="36"/>
          <w:szCs w:val="36"/>
          <w:highlight w:val="none"/>
          <w:lang w:val="en-US" w:eastAsia="zh-CN"/>
        </w:rPr>
        <w:t xml:space="preserve">          </w:t>
      </w:r>
      <w:r>
        <w:rPr>
          <w:rFonts w:hint="eastAsia" w:ascii="黑体" w:hAnsi="华文楷体" w:eastAsia="黑体"/>
          <w:color w:val="auto"/>
          <w:sz w:val="24"/>
          <w:highlight w:val="none"/>
          <w:lang w:val="en-US" w:eastAsia="zh-CN"/>
        </w:rPr>
        <w:t>项目编号：HFBX2026069</w:t>
      </w:r>
      <w:r>
        <w:rPr>
          <w:rFonts w:hint="eastAsia" w:ascii="黑体" w:hAnsi="华文楷体" w:eastAsia="黑体"/>
          <w:b/>
          <w:color w:val="auto"/>
          <w:sz w:val="36"/>
          <w:szCs w:val="36"/>
          <w:highlight w:val="none"/>
        </w:rPr>
        <w:t xml:space="preserve">               </w:t>
      </w:r>
      <w:r>
        <w:rPr>
          <w:rFonts w:hint="eastAsia" w:ascii="黑体" w:hAnsi="华文楷体" w:eastAsia="黑体"/>
          <w:b/>
          <w:color w:val="auto"/>
          <w:sz w:val="36"/>
          <w:szCs w:val="36"/>
          <w:highlight w:val="none"/>
          <w:lang w:val="en-US" w:eastAsia="zh-CN"/>
        </w:rPr>
        <w:t xml:space="preserve">                    </w:t>
      </w:r>
    </w:p>
    <w:p w14:paraId="192C9FAF">
      <w:pPr>
        <w:spacing w:line="440" w:lineRule="exact"/>
        <w:rPr>
          <w:rFonts w:hint="eastAsia" w:ascii="方正仿宋_GB2312" w:hAnsi="方正仿宋_GB2312" w:eastAsia="方正仿宋_GB2312" w:cs="方正仿宋_GB2312"/>
          <w:b/>
          <w:color w:val="auto"/>
          <w:sz w:val="24"/>
          <w:highlight w:val="none"/>
        </w:rPr>
      </w:pPr>
      <w:r>
        <w:rPr>
          <w:rFonts w:hint="eastAsia" w:ascii="黑体" w:hAnsi="华文楷体" w:eastAsia="黑体"/>
          <w:b/>
          <w:color w:val="auto"/>
          <w:sz w:val="24"/>
          <w:highlight w:val="none"/>
        </w:rPr>
        <w:t>电子邮箱：</w:t>
      </w:r>
      <w:r>
        <w:rPr>
          <w:rFonts w:ascii="黑体" w:hAnsi="华文楷体" w:eastAsia="黑体"/>
          <w:b/>
          <w:color w:val="auto"/>
          <w:sz w:val="24"/>
          <w:highlight w:val="none"/>
        </w:rPr>
        <w:fldChar w:fldCharType="begin"/>
      </w:r>
      <w:r>
        <w:rPr>
          <w:rFonts w:ascii="黑体" w:hAnsi="华文楷体" w:eastAsia="黑体"/>
          <w:b/>
          <w:color w:val="auto"/>
          <w:sz w:val="24"/>
          <w:highlight w:val="none"/>
        </w:rPr>
        <w:instrText xml:space="preserve"> HYPERLINK "mailto:quotation@shmtu.edu.cn" </w:instrText>
      </w:r>
      <w:r>
        <w:rPr>
          <w:rFonts w:ascii="黑体" w:hAnsi="华文楷体" w:eastAsia="黑体"/>
          <w:b/>
          <w:color w:val="auto"/>
          <w:sz w:val="24"/>
          <w:highlight w:val="none"/>
        </w:rPr>
        <w:fldChar w:fldCharType="separate"/>
      </w:r>
      <w:r>
        <w:rPr>
          <w:rStyle w:val="19"/>
          <w:rFonts w:ascii="黑体" w:hAnsi="华文楷体" w:eastAsia="黑体"/>
          <w:b/>
          <w:color w:val="auto"/>
          <w:sz w:val="24"/>
          <w:highlight w:val="none"/>
        </w:rPr>
        <w:t>quotation@shmtu.edu.cn</w:t>
      </w:r>
      <w:r>
        <w:rPr>
          <w:rFonts w:ascii="黑体" w:hAnsi="华文楷体" w:eastAsia="黑体"/>
          <w:b/>
          <w:color w:val="auto"/>
          <w:sz w:val="24"/>
          <w:highlight w:val="none"/>
        </w:rPr>
        <w:fldChar w:fldCharType="end"/>
      </w:r>
    </w:p>
    <w:p w14:paraId="1D25A65B">
      <w:pPr>
        <w:spacing w:line="440" w:lineRule="exact"/>
        <w:rPr>
          <w:rFonts w:ascii="黑体" w:hAnsi="华文楷体" w:eastAsia="黑体"/>
          <w:b/>
          <w:color w:val="auto"/>
          <w:sz w:val="24"/>
          <w:highlight w:val="none"/>
        </w:rPr>
      </w:pPr>
      <w:r>
        <w:rPr>
          <w:rFonts w:hint="eastAsia" w:ascii="黑体" w:hAnsi="华文楷体" w:eastAsia="黑体"/>
          <w:b/>
          <w:color w:val="auto"/>
          <w:sz w:val="24"/>
          <w:highlight w:val="none"/>
        </w:rPr>
        <w:t>公司名称：</w:t>
      </w:r>
      <w:r>
        <w:rPr>
          <w:rFonts w:hint="eastAsia" w:ascii="黑体" w:hAnsi="华文楷体" w:eastAsia="黑体"/>
          <w:color w:val="auto"/>
          <w:sz w:val="24"/>
          <w:highlight w:val="none"/>
        </w:rPr>
        <w:t xml:space="preserve">                                                </w:t>
      </w:r>
      <w:r>
        <w:rPr>
          <w:rFonts w:hint="eastAsia" w:ascii="黑体" w:hAnsi="华文楷体" w:eastAsia="黑体"/>
          <w:b/>
          <w:color w:val="auto"/>
          <w:sz w:val="24"/>
          <w:highlight w:val="none"/>
        </w:rPr>
        <w:t>联系人：</w:t>
      </w:r>
    </w:p>
    <w:p w14:paraId="0416696A">
      <w:pPr>
        <w:spacing w:line="440" w:lineRule="exact"/>
        <w:rPr>
          <w:rFonts w:ascii="黑体" w:hAnsi="华文楷体" w:eastAsia="黑体"/>
          <w:b/>
          <w:color w:val="auto"/>
          <w:sz w:val="24"/>
          <w:highlight w:val="none"/>
        </w:rPr>
      </w:pPr>
      <w:r>
        <w:rPr>
          <w:rFonts w:hint="eastAsia" w:ascii="黑体" w:hAnsi="华文楷体" w:eastAsia="黑体"/>
          <w:b/>
          <w:color w:val="auto"/>
          <w:sz w:val="24"/>
          <w:highlight w:val="none"/>
        </w:rPr>
        <w:t>电子邮箱：                                                公司地址：</w:t>
      </w:r>
    </w:p>
    <w:p w14:paraId="096E10B9">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电话：                                                    联系人手机：</w:t>
      </w:r>
    </w:p>
    <w:p w14:paraId="35F2988C">
      <w:pPr>
        <w:spacing w:line="440" w:lineRule="exact"/>
        <w:rPr>
          <w:rFonts w:hint="eastAsia" w:ascii="黑体" w:hAnsi="华文楷体" w:eastAsia="黑体"/>
          <w:b/>
          <w:color w:val="auto"/>
          <w:sz w:val="24"/>
          <w:highlight w:val="none"/>
        </w:rPr>
      </w:pPr>
    </w:p>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2062"/>
        <w:gridCol w:w="971"/>
        <w:gridCol w:w="1463"/>
        <w:gridCol w:w="581"/>
        <w:gridCol w:w="876"/>
        <w:gridCol w:w="876"/>
        <w:gridCol w:w="1230"/>
        <w:gridCol w:w="1397"/>
      </w:tblGrid>
      <w:tr w14:paraId="4814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top w:val="single" w:color="auto" w:sz="12" w:space="0"/>
              <w:left w:val="single" w:color="auto" w:sz="12" w:space="0"/>
              <w:bottom w:val="double" w:color="auto" w:sz="4" w:space="0"/>
            </w:tcBorders>
            <w:noWrap w:val="0"/>
            <w:vAlign w:val="center"/>
          </w:tcPr>
          <w:p w14:paraId="67E92170">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序号</w:t>
            </w:r>
          </w:p>
        </w:tc>
        <w:tc>
          <w:tcPr>
            <w:tcW w:w="1036" w:type="pct"/>
            <w:tcBorders>
              <w:top w:val="single" w:color="auto" w:sz="12" w:space="0"/>
              <w:bottom w:val="double" w:color="auto" w:sz="4" w:space="0"/>
            </w:tcBorders>
            <w:noWrap w:val="0"/>
            <w:vAlign w:val="center"/>
          </w:tcPr>
          <w:p w14:paraId="5FFC86E8">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产品名称</w:t>
            </w:r>
          </w:p>
        </w:tc>
        <w:tc>
          <w:tcPr>
            <w:tcW w:w="488" w:type="pct"/>
            <w:tcBorders>
              <w:top w:val="single" w:color="auto" w:sz="12" w:space="0"/>
              <w:bottom w:val="double" w:color="auto" w:sz="4" w:space="0"/>
            </w:tcBorders>
            <w:noWrap w:val="0"/>
            <w:vAlign w:val="center"/>
          </w:tcPr>
          <w:p w14:paraId="5F8969CF">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品牌</w:t>
            </w:r>
          </w:p>
        </w:tc>
        <w:tc>
          <w:tcPr>
            <w:tcW w:w="733" w:type="pct"/>
            <w:tcBorders>
              <w:top w:val="single" w:color="auto" w:sz="12" w:space="0"/>
              <w:bottom w:val="double" w:color="auto" w:sz="4" w:space="0"/>
            </w:tcBorders>
            <w:noWrap w:val="0"/>
            <w:vAlign w:val="center"/>
          </w:tcPr>
          <w:p w14:paraId="16AB36D0">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型号规格</w:t>
            </w:r>
          </w:p>
        </w:tc>
        <w:tc>
          <w:tcPr>
            <w:tcW w:w="292" w:type="pct"/>
            <w:tcBorders>
              <w:top w:val="single" w:color="auto" w:sz="12" w:space="0"/>
              <w:bottom w:val="double" w:color="auto" w:sz="4" w:space="0"/>
            </w:tcBorders>
            <w:noWrap w:val="0"/>
            <w:vAlign w:val="center"/>
          </w:tcPr>
          <w:p w14:paraId="7A41A9BF">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数量</w:t>
            </w:r>
          </w:p>
        </w:tc>
        <w:tc>
          <w:tcPr>
            <w:tcW w:w="440" w:type="pct"/>
            <w:tcBorders>
              <w:top w:val="single" w:color="auto" w:sz="12" w:space="0"/>
              <w:bottom w:val="double" w:color="auto" w:sz="4" w:space="0"/>
            </w:tcBorders>
            <w:noWrap w:val="0"/>
            <w:vAlign w:val="center"/>
          </w:tcPr>
          <w:p w14:paraId="22044959">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单价</w:t>
            </w:r>
          </w:p>
        </w:tc>
        <w:tc>
          <w:tcPr>
            <w:tcW w:w="440" w:type="pct"/>
            <w:tcBorders>
              <w:top w:val="single" w:color="auto" w:sz="12" w:space="0"/>
              <w:bottom w:val="double" w:color="auto" w:sz="4" w:space="0"/>
            </w:tcBorders>
            <w:noWrap w:val="0"/>
            <w:vAlign w:val="center"/>
          </w:tcPr>
          <w:p w14:paraId="61A1F830">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金额</w:t>
            </w:r>
          </w:p>
        </w:tc>
        <w:tc>
          <w:tcPr>
            <w:tcW w:w="618" w:type="pct"/>
            <w:tcBorders>
              <w:top w:val="single" w:color="auto" w:sz="12" w:space="0"/>
              <w:bottom w:val="double" w:color="auto" w:sz="4" w:space="0"/>
            </w:tcBorders>
            <w:noWrap w:val="0"/>
            <w:vAlign w:val="center"/>
          </w:tcPr>
          <w:p w14:paraId="2F9A1E62">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质保时间</w:t>
            </w:r>
          </w:p>
        </w:tc>
        <w:tc>
          <w:tcPr>
            <w:tcW w:w="700" w:type="pct"/>
            <w:tcBorders>
              <w:top w:val="single" w:color="auto" w:sz="12" w:space="0"/>
              <w:bottom w:val="double" w:color="auto" w:sz="4" w:space="0"/>
              <w:right w:val="single" w:color="auto" w:sz="12" w:space="0"/>
            </w:tcBorders>
            <w:noWrap w:val="0"/>
            <w:vAlign w:val="center"/>
          </w:tcPr>
          <w:p w14:paraId="09E42E8D">
            <w:pPr>
              <w:spacing w:line="440" w:lineRule="exact"/>
              <w:jc w:val="center"/>
              <w:rPr>
                <w:rFonts w:hint="eastAsia" w:ascii="黑体" w:hAnsi="华文楷体" w:eastAsia="黑体"/>
                <w:color w:val="auto"/>
                <w:kern w:val="0"/>
                <w:sz w:val="24"/>
                <w:highlight w:val="none"/>
                <w:lang w:eastAsia="zh-CN"/>
              </w:rPr>
            </w:pPr>
            <w:r>
              <w:rPr>
                <w:rFonts w:ascii="黑体" w:hAnsi="华文楷体" w:eastAsia="黑体"/>
                <w:color w:val="auto"/>
                <w:kern w:val="0"/>
                <w:sz w:val="24"/>
                <w:highlight w:val="none"/>
              </w:rPr>
              <w:t>最快供货</w:t>
            </w:r>
            <w:r>
              <w:rPr>
                <w:rFonts w:hint="eastAsia" w:ascii="黑体" w:hAnsi="华文楷体" w:eastAsia="黑体"/>
                <w:color w:val="auto"/>
                <w:kern w:val="0"/>
                <w:sz w:val="24"/>
                <w:highlight w:val="none"/>
                <w:lang w:val="en-US" w:eastAsia="zh-CN"/>
              </w:rPr>
              <w:t>时间</w:t>
            </w:r>
          </w:p>
        </w:tc>
      </w:tr>
      <w:tr w14:paraId="6076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top w:val="double" w:color="auto" w:sz="4" w:space="0"/>
              <w:left w:val="single" w:color="auto" w:sz="12" w:space="0"/>
            </w:tcBorders>
            <w:noWrap w:val="0"/>
            <w:vAlign w:val="top"/>
          </w:tcPr>
          <w:p w14:paraId="6904F50E">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1</w:t>
            </w:r>
          </w:p>
        </w:tc>
        <w:tc>
          <w:tcPr>
            <w:tcW w:w="1036" w:type="pct"/>
            <w:tcBorders>
              <w:top w:val="double" w:color="auto" w:sz="4" w:space="0"/>
            </w:tcBorders>
            <w:noWrap w:val="0"/>
            <w:vAlign w:val="center"/>
          </w:tcPr>
          <w:p w14:paraId="2716FB82">
            <w:pPr>
              <w:ind w:left="-63" w:leftChars="-30" w:right="-63" w:rightChars="-30"/>
              <w:jc w:val="center"/>
              <w:rPr>
                <w:rFonts w:hint="eastAsia" w:ascii="宋体" w:hAnsi="宋体" w:cs="宋体"/>
                <w:color w:val="auto"/>
                <w:sz w:val="18"/>
                <w:szCs w:val="18"/>
                <w:highlight w:val="none"/>
              </w:rPr>
            </w:pPr>
          </w:p>
        </w:tc>
        <w:tc>
          <w:tcPr>
            <w:tcW w:w="488" w:type="pct"/>
            <w:tcBorders>
              <w:top w:val="double" w:color="auto" w:sz="4" w:space="0"/>
            </w:tcBorders>
            <w:noWrap w:val="0"/>
            <w:vAlign w:val="top"/>
          </w:tcPr>
          <w:p w14:paraId="68C63CC3">
            <w:pPr>
              <w:spacing w:line="440" w:lineRule="exact"/>
              <w:jc w:val="center"/>
              <w:rPr>
                <w:rFonts w:ascii="方正仿宋_GB2312" w:hAnsi="华文楷体" w:eastAsia="方正仿宋_GB2312"/>
                <w:color w:val="auto"/>
                <w:kern w:val="0"/>
                <w:sz w:val="24"/>
                <w:highlight w:val="none"/>
              </w:rPr>
            </w:pPr>
          </w:p>
        </w:tc>
        <w:tc>
          <w:tcPr>
            <w:tcW w:w="733" w:type="pct"/>
            <w:tcBorders>
              <w:top w:val="double" w:color="auto" w:sz="4" w:space="0"/>
            </w:tcBorders>
            <w:noWrap w:val="0"/>
            <w:vAlign w:val="top"/>
          </w:tcPr>
          <w:p w14:paraId="2062DBEC">
            <w:pPr>
              <w:spacing w:line="440" w:lineRule="exact"/>
              <w:jc w:val="center"/>
              <w:rPr>
                <w:rFonts w:ascii="方正仿宋_GB2312" w:hAnsi="华文楷体" w:eastAsia="方正仿宋_GB2312"/>
                <w:color w:val="auto"/>
                <w:kern w:val="0"/>
                <w:sz w:val="24"/>
                <w:highlight w:val="none"/>
              </w:rPr>
            </w:pPr>
          </w:p>
        </w:tc>
        <w:tc>
          <w:tcPr>
            <w:tcW w:w="292" w:type="pct"/>
            <w:tcBorders>
              <w:top w:val="double" w:color="auto" w:sz="4" w:space="0"/>
            </w:tcBorders>
            <w:noWrap w:val="0"/>
            <w:vAlign w:val="top"/>
          </w:tcPr>
          <w:p w14:paraId="5576A539">
            <w:pPr>
              <w:spacing w:line="440" w:lineRule="exact"/>
              <w:jc w:val="center"/>
              <w:rPr>
                <w:rFonts w:ascii="方正仿宋_GB2312" w:hAnsi="华文楷体" w:eastAsia="方正仿宋_GB2312"/>
                <w:color w:val="auto"/>
                <w:kern w:val="0"/>
                <w:sz w:val="24"/>
                <w:highlight w:val="none"/>
              </w:rPr>
            </w:pPr>
          </w:p>
        </w:tc>
        <w:tc>
          <w:tcPr>
            <w:tcW w:w="440" w:type="pct"/>
            <w:tcBorders>
              <w:top w:val="double" w:color="auto" w:sz="4" w:space="0"/>
            </w:tcBorders>
            <w:noWrap w:val="0"/>
            <w:vAlign w:val="top"/>
          </w:tcPr>
          <w:p w14:paraId="3366DAB2">
            <w:pPr>
              <w:spacing w:line="440" w:lineRule="exact"/>
              <w:jc w:val="center"/>
              <w:rPr>
                <w:rFonts w:ascii="方正仿宋_GB2312" w:hAnsi="华文楷体" w:eastAsia="方正仿宋_GB2312"/>
                <w:color w:val="auto"/>
                <w:kern w:val="0"/>
                <w:sz w:val="24"/>
                <w:highlight w:val="none"/>
              </w:rPr>
            </w:pPr>
          </w:p>
        </w:tc>
        <w:tc>
          <w:tcPr>
            <w:tcW w:w="440" w:type="pct"/>
            <w:tcBorders>
              <w:top w:val="double" w:color="auto" w:sz="4" w:space="0"/>
            </w:tcBorders>
            <w:noWrap w:val="0"/>
            <w:vAlign w:val="top"/>
          </w:tcPr>
          <w:p w14:paraId="45D03D7C">
            <w:pPr>
              <w:spacing w:line="440" w:lineRule="exact"/>
              <w:jc w:val="center"/>
              <w:rPr>
                <w:rFonts w:ascii="方正仿宋_GB2312" w:hAnsi="华文楷体" w:eastAsia="方正仿宋_GB2312"/>
                <w:color w:val="auto"/>
                <w:kern w:val="0"/>
                <w:sz w:val="24"/>
                <w:highlight w:val="none"/>
              </w:rPr>
            </w:pPr>
          </w:p>
        </w:tc>
        <w:tc>
          <w:tcPr>
            <w:tcW w:w="618" w:type="pct"/>
            <w:tcBorders>
              <w:top w:val="double" w:color="auto" w:sz="4" w:space="0"/>
            </w:tcBorders>
            <w:noWrap w:val="0"/>
            <w:vAlign w:val="top"/>
          </w:tcPr>
          <w:p w14:paraId="014679F0">
            <w:pPr>
              <w:spacing w:line="440" w:lineRule="exact"/>
              <w:jc w:val="center"/>
              <w:rPr>
                <w:rFonts w:ascii="方正仿宋_GB2312" w:hAnsi="华文楷体" w:eastAsia="方正仿宋_GB2312"/>
                <w:color w:val="auto"/>
                <w:kern w:val="0"/>
                <w:sz w:val="24"/>
                <w:highlight w:val="none"/>
              </w:rPr>
            </w:pPr>
          </w:p>
        </w:tc>
        <w:tc>
          <w:tcPr>
            <w:tcW w:w="700" w:type="pct"/>
            <w:tcBorders>
              <w:top w:val="double" w:color="auto" w:sz="4" w:space="0"/>
              <w:right w:val="single" w:color="auto" w:sz="12" w:space="0"/>
            </w:tcBorders>
            <w:noWrap w:val="0"/>
            <w:vAlign w:val="top"/>
          </w:tcPr>
          <w:p w14:paraId="605E89B2">
            <w:pPr>
              <w:spacing w:line="440" w:lineRule="exact"/>
              <w:jc w:val="center"/>
              <w:rPr>
                <w:rFonts w:ascii="方正仿宋_GB2312" w:hAnsi="华文楷体" w:eastAsia="方正仿宋_GB2312"/>
                <w:color w:val="auto"/>
                <w:kern w:val="0"/>
                <w:sz w:val="24"/>
                <w:highlight w:val="none"/>
              </w:rPr>
            </w:pPr>
          </w:p>
        </w:tc>
      </w:tr>
      <w:tr w14:paraId="3238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left w:val="single" w:color="auto" w:sz="12" w:space="0"/>
            </w:tcBorders>
            <w:noWrap w:val="0"/>
            <w:vAlign w:val="top"/>
          </w:tcPr>
          <w:p w14:paraId="29977C73">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2</w:t>
            </w:r>
          </w:p>
        </w:tc>
        <w:tc>
          <w:tcPr>
            <w:tcW w:w="1036" w:type="pct"/>
            <w:noWrap w:val="0"/>
            <w:vAlign w:val="center"/>
          </w:tcPr>
          <w:p w14:paraId="2866E2D0">
            <w:pPr>
              <w:ind w:left="-63" w:leftChars="-30" w:right="-63" w:rightChars="-30"/>
              <w:jc w:val="center"/>
              <w:rPr>
                <w:rFonts w:hint="eastAsia" w:ascii="宋体" w:hAnsi="宋体" w:cs="宋体"/>
                <w:color w:val="auto"/>
                <w:sz w:val="18"/>
                <w:szCs w:val="18"/>
                <w:highlight w:val="none"/>
              </w:rPr>
            </w:pPr>
          </w:p>
        </w:tc>
        <w:tc>
          <w:tcPr>
            <w:tcW w:w="488" w:type="pct"/>
            <w:noWrap w:val="0"/>
            <w:vAlign w:val="top"/>
          </w:tcPr>
          <w:p w14:paraId="0669C2FF">
            <w:pPr>
              <w:spacing w:line="440" w:lineRule="exact"/>
              <w:jc w:val="center"/>
              <w:rPr>
                <w:rFonts w:ascii="方正仿宋_GB2312" w:hAnsi="华文楷体" w:eastAsia="方正仿宋_GB2312"/>
                <w:color w:val="auto"/>
                <w:kern w:val="0"/>
                <w:sz w:val="24"/>
                <w:highlight w:val="none"/>
              </w:rPr>
            </w:pPr>
          </w:p>
        </w:tc>
        <w:tc>
          <w:tcPr>
            <w:tcW w:w="733" w:type="pct"/>
            <w:noWrap w:val="0"/>
            <w:vAlign w:val="top"/>
          </w:tcPr>
          <w:p w14:paraId="4D504156">
            <w:pPr>
              <w:spacing w:line="440" w:lineRule="exact"/>
              <w:jc w:val="center"/>
              <w:rPr>
                <w:rFonts w:ascii="方正仿宋_GB2312" w:hAnsi="华文楷体" w:eastAsia="方正仿宋_GB2312"/>
                <w:color w:val="auto"/>
                <w:kern w:val="0"/>
                <w:sz w:val="24"/>
                <w:highlight w:val="none"/>
              </w:rPr>
            </w:pPr>
          </w:p>
        </w:tc>
        <w:tc>
          <w:tcPr>
            <w:tcW w:w="292" w:type="pct"/>
            <w:noWrap w:val="0"/>
            <w:vAlign w:val="top"/>
          </w:tcPr>
          <w:p w14:paraId="74F4D8E1">
            <w:pPr>
              <w:spacing w:line="440" w:lineRule="exact"/>
              <w:jc w:val="center"/>
              <w:rPr>
                <w:rFonts w:ascii="方正仿宋_GB2312" w:hAnsi="华文楷体" w:eastAsia="方正仿宋_GB2312"/>
                <w:color w:val="auto"/>
                <w:kern w:val="0"/>
                <w:sz w:val="24"/>
                <w:highlight w:val="none"/>
              </w:rPr>
            </w:pPr>
          </w:p>
        </w:tc>
        <w:tc>
          <w:tcPr>
            <w:tcW w:w="440" w:type="pct"/>
            <w:noWrap w:val="0"/>
            <w:vAlign w:val="top"/>
          </w:tcPr>
          <w:p w14:paraId="27571361">
            <w:pPr>
              <w:spacing w:line="440" w:lineRule="exact"/>
              <w:jc w:val="center"/>
              <w:rPr>
                <w:rFonts w:ascii="方正仿宋_GB2312" w:hAnsi="华文楷体" w:eastAsia="方正仿宋_GB2312"/>
                <w:color w:val="auto"/>
                <w:kern w:val="0"/>
                <w:sz w:val="24"/>
                <w:highlight w:val="none"/>
              </w:rPr>
            </w:pPr>
          </w:p>
        </w:tc>
        <w:tc>
          <w:tcPr>
            <w:tcW w:w="440" w:type="pct"/>
            <w:noWrap w:val="0"/>
            <w:vAlign w:val="top"/>
          </w:tcPr>
          <w:p w14:paraId="45E1288F">
            <w:pPr>
              <w:spacing w:line="440" w:lineRule="exact"/>
              <w:jc w:val="center"/>
              <w:rPr>
                <w:rFonts w:ascii="方正仿宋_GB2312" w:hAnsi="华文楷体" w:eastAsia="方正仿宋_GB2312"/>
                <w:color w:val="auto"/>
                <w:kern w:val="0"/>
                <w:sz w:val="24"/>
                <w:highlight w:val="none"/>
              </w:rPr>
            </w:pPr>
          </w:p>
        </w:tc>
        <w:tc>
          <w:tcPr>
            <w:tcW w:w="618" w:type="pct"/>
            <w:noWrap w:val="0"/>
            <w:vAlign w:val="top"/>
          </w:tcPr>
          <w:p w14:paraId="5DDB1CC9">
            <w:pPr>
              <w:spacing w:line="440" w:lineRule="exact"/>
              <w:jc w:val="center"/>
              <w:rPr>
                <w:rFonts w:ascii="方正仿宋_GB2312" w:hAnsi="华文楷体" w:eastAsia="方正仿宋_GB2312"/>
                <w:color w:val="auto"/>
                <w:kern w:val="0"/>
                <w:sz w:val="24"/>
                <w:highlight w:val="none"/>
              </w:rPr>
            </w:pPr>
          </w:p>
        </w:tc>
        <w:tc>
          <w:tcPr>
            <w:tcW w:w="700" w:type="pct"/>
            <w:tcBorders>
              <w:right w:val="single" w:color="auto" w:sz="12" w:space="0"/>
            </w:tcBorders>
            <w:noWrap w:val="0"/>
            <w:vAlign w:val="top"/>
          </w:tcPr>
          <w:p w14:paraId="6BB70514">
            <w:pPr>
              <w:spacing w:line="440" w:lineRule="exact"/>
              <w:jc w:val="center"/>
              <w:rPr>
                <w:rFonts w:ascii="方正仿宋_GB2312" w:hAnsi="华文楷体" w:eastAsia="方正仿宋_GB2312"/>
                <w:color w:val="auto"/>
                <w:kern w:val="0"/>
                <w:sz w:val="24"/>
                <w:highlight w:val="none"/>
              </w:rPr>
            </w:pPr>
          </w:p>
        </w:tc>
      </w:tr>
      <w:tr w14:paraId="6692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left w:val="single" w:color="auto" w:sz="12" w:space="0"/>
              <w:bottom w:val="single" w:color="auto" w:sz="4" w:space="0"/>
            </w:tcBorders>
            <w:noWrap w:val="0"/>
            <w:vAlign w:val="top"/>
          </w:tcPr>
          <w:p w14:paraId="5E49ACAD">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3</w:t>
            </w:r>
          </w:p>
        </w:tc>
        <w:tc>
          <w:tcPr>
            <w:tcW w:w="1036" w:type="pct"/>
            <w:tcBorders>
              <w:bottom w:val="single" w:color="auto" w:sz="4" w:space="0"/>
            </w:tcBorders>
            <w:noWrap w:val="0"/>
            <w:vAlign w:val="center"/>
          </w:tcPr>
          <w:p w14:paraId="2D958EE1">
            <w:pPr>
              <w:ind w:left="-42" w:leftChars="-20" w:right="-42" w:rightChars="-20"/>
              <w:jc w:val="center"/>
              <w:rPr>
                <w:rFonts w:hint="eastAsia" w:ascii="宋体" w:hAnsi="宋体" w:cs="宋体"/>
                <w:color w:val="auto"/>
                <w:sz w:val="18"/>
                <w:szCs w:val="18"/>
                <w:highlight w:val="none"/>
              </w:rPr>
            </w:pPr>
          </w:p>
        </w:tc>
        <w:tc>
          <w:tcPr>
            <w:tcW w:w="488" w:type="pct"/>
            <w:tcBorders>
              <w:bottom w:val="single" w:color="auto" w:sz="4" w:space="0"/>
            </w:tcBorders>
            <w:noWrap w:val="0"/>
            <w:vAlign w:val="top"/>
          </w:tcPr>
          <w:p w14:paraId="6B0A81D6">
            <w:pPr>
              <w:spacing w:line="440" w:lineRule="exact"/>
              <w:jc w:val="center"/>
              <w:rPr>
                <w:rFonts w:ascii="方正仿宋_GB2312" w:hAnsi="华文楷体" w:eastAsia="方正仿宋_GB2312"/>
                <w:color w:val="auto"/>
                <w:kern w:val="0"/>
                <w:sz w:val="24"/>
                <w:highlight w:val="none"/>
              </w:rPr>
            </w:pPr>
          </w:p>
        </w:tc>
        <w:tc>
          <w:tcPr>
            <w:tcW w:w="733" w:type="pct"/>
            <w:tcBorders>
              <w:bottom w:val="single" w:color="auto" w:sz="4" w:space="0"/>
            </w:tcBorders>
            <w:noWrap w:val="0"/>
            <w:vAlign w:val="top"/>
          </w:tcPr>
          <w:p w14:paraId="58841A2F">
            <w:pPr>
              <w:spacing w:line="440" w:lineRule="exact"/>
              <w:jc w:val="center"/>
              <w:rPr>
                <w:rFonts w:ascii="方正仿宋_GB2312" w:hAnsi="华文楷体" w:eastAsia="方正仿宋_GB2312"/>
                <w:color w:val="auto"/>
                <w:kern w:val="0"/>
                <w:sz w:val="24"/>
                <w:highlight w:val="none"/>
              </w:rPr>
            </w:pPr>
          </w:p>
        </w:tc>
        <w:tc>
          <w:tcPr>
            <w:tcW w:w="292" w:type="pct"/>
            <w:tcBorders>
              <w:bottom w:val="single" w:color="auto" w:sz="4" w:space="0"/>
            </w:tcBorders>
            <w:noWrap w:val="0"/>
            <w:vAlign w:val="top"/>
          </w:tcPr>
          <w:p w14:paraId="26802B6E">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2ECBBA3C">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747E5F99">
            <w:pPr>
              <w:spacing w:line="440" w:lineRule="exact"/>
              <w:jc w:val="center"/>
              <w:rPr>
                <w:rFonts w:ascii="方正仿宋_GB2312" w:hAnsi="华文楷体" w:eastAsia="方正仿宋_GB2312"/>
                <w:color w:val="auto"/>
                <w:kern w:val="0"/>
                <w:sz w:val="24"/>
                <w:highlight w:val="none"/>
              </w:rPr>
            </w:pPr>
          </w:p>
        </w:tc>
        <w:tc>
          <w:tcPr>
            <w:tcW w:w="618" w:type="pct"/>
            <w:tcBorders>
              <w:bottom w:val="single" w:color="auto" w:sz="4" w:space="0"/>
            </w:tcBorders>
            <w:noWrap w:val="0"/>
            <w:vAlign w:val="top"/>
          </w:tcPr>
          <w:p w14:paraId="5140F715">
            <w:pPr>
              <w:spacing w:line="440" w:lineRule="exact"/>
              <w:jc w:val="center"/>
              <w:rPr>
                <w:rFonts w:ascii="方正仿宋_GB2312" w:hAnsi="华文楷体" w:eastAsia="方正仿宋_GB2312"/>
                <w:color w:val="auto"/>
                <w:kern w:val="0"/>
                <w:sz w:val="24"/>
                <w:highlight w:val="none"/>
              </w:rPr>
            </w:pPr>
          </w:p>
        </w:tc>
        <w:tc>
          <w:tcPr>
            <w:tcW w:w="700" w:type="pct"/>
            <w:tcBorders>
              <w:bottom w:val="single" w:color="auto" w:sz="4" w:space="0"/>
              <w:right w:val="single" w:color="auto" w:sz="12" w:space="0"/>
            </w:tcBorders>
            <w:noWrap w:val="0"/>
            <w:vAlign w:val="top"/>
          </w:tcPr>
          <w:p w14:paraId="7F3F6EF0">
            <w:pPr>
              <w:spacing w:line="440" w:lineRule="exact"/>
              <w:jc w:val="center"/>
              <w:rPr>
                <w:rFonts w:ascii="方正仿宋_GB2312" w:hAnsi="华文楷体" w:eastAsia="方正仿宋_GB2312"/>
                <w:color w:val="auto"/>
                <w:kern w:val="0"/>
                <w:sz w:val="24"/>
                <w:highlight w:val="none"/>
              </w:rPr>
            </w:pPr>
          </w:p>
        </w:tc>
      </w:tr>
      <w:tr w14:paraId="5A9D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left w:val="single" w:color="auto" w:sz="12" w:space="0"/>
              <w:bottom w:val="single" w:color="auto" w:sz="4" w:space="0"/>
            </w:tcBorders>
            <w:noWrap w:val="0"/>
            <w:vAlign w:val="top"/>
          </w:tcPr>
          <w:p w14:paraId="22131CE2">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4</w:t>
            </w:r>
          </w:p>
        </w:tc>
        <w:tc>
          <w:tcPr>
            <w:tcW w:w="1036" w:type="pct"/>
            <w:tcBorders>
              <w:bottom w:val="single" w:color="auto" w:sz="4" w:space="0"/>
            </w:tcBorders>
            <w:noWrap w:val="0"/>
            <w:vAlign w:val="top"/>
          </w:tcPr>
          <w:p w14:paraId="6938BE08">
            <w:pPr>
              <w:spacing w:line="440" w:lineRule="exact"/>
              <w:jc w:val="center"/>
              <w:rPr>
                <w:rFonts w:ascii="方正仿宋_GB2312" w:hAnsi="华文楷体" w:eastAsia="方正仿宋_GB2312"/>
                <w:color w:val="auto"/>
                <w:kern w:val="0"/>
                <w:sz w:val="24"/>
                <w:highlight w:val="none"/>
              </w:rPr>
            </w:pPr>
          </w:p>
        </w:tc>
        <w:tc>
          <w:tcPr>
            <w:tcW w:w="488" w:type="pct"/>
            <w:tcBorders>
              <w:bottom w:val="single" w:color="auto" w:sz="4" w:space="0"/>
            </w:tcBorders>
            <w:noWrap w:val="0"/>
            <w:vAlign w:val="top"/>
          </w:tcPr>
          <w:p w14:paraId="4CD1A541">
            <w:pPr>
              <w:spacing w:line="440" w:lineRule="exact"/>
              <w:jc w:val="center"/>
              <w:rPr>
                <w:rFonts w:ascii="方正仿宋_GB2312" w:hAnsi="华文楷体" w:eastAsia="方正仿宋_GB2312"/>
                <w:color w:val="auto"/>
                <w:kern w:val="0"/>
                <w:sz w:val="24"/>
                <w:highlight w:val="none"/>
              </w:rPr>
            </w:pPr>
          </w:p>
        </w:tc>
        <w:tc>
          <w:tcPr>
            <w:tcW w:w="733" w:type="pct"/>
            <w:tcBorders>
              <w:bottom w:val="single" w:color="auto" w:sz="4" w:space="0"/>
            </w:tcBorders>
            <w:noWrap w:val="0"/>
            <w:vAlign w:val="top"/>
          </w:tcPr>
          <w:p w14:paraId="337FC115">
            <w:pPr>
              <w:spacing w:line="440" w:lineRule="exact"/>
              <w:jc w:val="center"/>
              <w:rPr>
                <w:rFonts w:ascii="方正仿宋_GB2312" w:hAnsi="华文楷体" w:eastAsia="方正仿宋_GB2312"/>
                <w:color w:val="auto"/>
                <w:kern w:val="0"/>
                <w:sz w:val="24"/>
                <w:highlight w:val="none"/>
              </w:rPr>
            </w:pPr>
          </w:p>
        </w:tc>
        <w:tc>
          <w:tcPr>
            <w:tcW w:w="292" w:type="pct"/>
            <w:tcBorders>
              <w:bottom w:val="single" w:color="auto" w:sz="4" w:space="0"/>
            </w:tcBorders>
            <w:noWrap w:val="0"/>
            <w:vAlign w:val="top"/>
          </w:tcPr>
          <w:p w14:paraId="3C03B4F1">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47DA722A">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76A33D3C">
            <w:pPr>
              <w:spacing w:line="440" w:lineRule="exact"/>
              <w:jc w:val="center"/>
              <w:rPr>
                <w:rFonts w:ascii="方正仿宋_GB2312" w:hAnsi="华文楷体" w:eastAsia="方正仿宋_GB2312"/>
                <w:color w:val="auto"/>
                <w:kern w:val="0"/>
                <w:sz w:val="24"/>
                <w:highlight w:val="none"/>
              </w:rPr>
            </w:pPr>
          </w:p>
        </w:tc>
        <w:tc>
          <w:tcPr>
            <w:tcW w:w="618" w:type="pct"/>
            <w:tcBorders>
              <w:bottom w:val="single" w:color="auto" w:sz="4" w:space="0"/>
            </w:tcBorders>
            <w:noWrap w:val="0"/>
            <w:vAlign w:val="top"/>
          </w:tcPr>
          <w:p w14:paraId="751F0F09">
            <w:pPr>
              <w:spacing w:line="440" w:lineRule="exact"/>
              <w:jc w:val="center"/>
              <w:rPr>
                <w:rFonts w:ascii="方正仿宋_GB2312" w:hAnsi="华文楷体" w:eastAsia="方正仿宋_GB2312"/>
                <w:color w:val="auto"/>
                <w:kern w:val="0"/>
                <w:sz w:val="24"/>
                <w:highlight w:val="none"/>
              </w:rPr>
            </w:pPr>
          </w:p>
        </w:tc>
        <w:tc>
          <w:tcPr>
            <w:tcW w:w="700" w:type="pct"/>
            <w:tcBorders>
              <w:bottom w:val="single" w:color="auto" w:sz="4" w:space="0"/>
              <w:right w:val="single" w:color="auto" w:sz="12" w:space="0"/>
            </w:tcBorders>
            <w:noWrap w:val="0"/>
            <w:vAlign w:val="top"/>
          </w:tcPr>
          <w:p w14:paraId="0B4D1DA3">
            <w:pPr>
              <w:spacing w:line="440" w:lineRule="exact"/>
              <w:jc w:val="center"/>
              <w:rPr>
                <w:rFonts w:ascii="方正仿宋_GB2312" w:hAnsi="华文楷体" w:eastAsia="方正仿宋_GB2312"/>
                <w:color w:val="auto"/>
                <w:kern w:val="0"/>
                <w:sz w:val="24"/>
                <w:highlight w:val="none"/>
              </w:rPr>
            </w:pPr>
          </w:p>
        </w:tc>
      </w:tr>
      <w:tr w14:paraId="72A1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 w:type="pct"/>
            <w:tcBorders>
              <w:left w:val="single" w:color="auto" w:sz="12" w:space="0"/>
              <w:bottom w:val="single" w:color="auto" w:sz="4" w:space="0"/>
            </w:tcBorders>
            <w:noWrap w:val="0"/>
            <w:vAlign w:val="top"/>
          </w:tcPr>
          <w:p w14:paraId="6A9F333C">
            <w:pPr>
              <w:spacing w:line="440" w:lineRule="exact"/>
              <w:jc w:val="center"/>
              <w:rPr>
                <w:rFonts w:hint="eastAsia"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5</w:t>
            </w:r>
          </w:p>
        </w:tc>
        <w:tc>
          <w:tcPr>
            <w:tcW w:w="1036" w:type="pct"/>
            <w:tcBorders>
              <w:bottom w:val="single" w:color="auto" w:sz="4" w:space="0"/>
            </w:tcBorders>
            <w:noWrap w:val="0"/>
            <w:vAlign w:val="top"/>
          </w:tcPr>
          <w:p w14:paraId="5ED63A4B">
            <w:pPr>
              <w:spacing w:line="440" w:lineRule="exact"/>
              <w:jc w:val="center"/>
              <w:rPr>
                <w:rFonts w:ascii="方正仿宋_GB2312" w:hAnsi="华文楷体" w:eastAsia="方正仿宋_GB2312"/>
                <w:color w:val="auto"/>
                <w:kern w:val="0"/>
                <w:sz w:val="24"/>
                <w:highlight w:val="none"/>
              </w:rPr>
            </w:pPr>
          </w:p>
        </w:tc>
        <w:tc>
          <w:tcPr>
            <w:tcW w:w="488" w:type="pct"/>
            <w:tcBorders>
              <w:bottom w:val="single" w:color="auto" w:sz="4" w:space="0"/>
            </w:tcBorders>
            <w:noWrap w:val="0"/>
            <w:vAlign w:val="top"/>
          </w:tcPr>
          <w:p w14:paraId="49A78B8A">
            <w:pPr>
              <w:spacing w:line="440" w:lineRule="exact"/>
              <w:jc w:val="center"/>
              <w:rPr>
                <w:rFonts w:ascii="方正仿宋_GB2312" w:hAnsi="华文楷体" w:eastAsia="方正仿宋_GB2312"/>
                <w:color w:val="auto"/>
                <w:kern w:val="0"/>
                <w:sz w:val="24"/>
                <w:highlight w:val="none"/>
              </w:rPr>
            </w:pPr>
          </w:p>
        </w:tc>
        <w:tc>
          <w:tcPr>
            <w:tcW w:w="733" w:type="pct"/>
            <w:tcBorders>
              <w:bottom w:val="single" w:color="auto" w:sz="4" w:space="0"/>
            </w:tcBorders>
            <w:noWrap w:val="0"/>
            <w:vAlign w:val="top"/>
          </w:tcPr>
          <w:p w14:paraId="2EEE3065">
            <w:pPr>
              <w:spacing w:line="440" w:lineRule="exact"/>
              <w:jc w:val="center"/>
              <w:rPr>
                <w:rFonts w:ascii="方正仿宋_GB2312" w:hAnsi="华文楷体" w:eastAsia="方正仿宋_GB2312"/>
                <w:color w:val="auto"/>
                <w:kern w:val="0"/>
                <w:sz w:val="24"/>
                <w:highlight w:val="none"/>
              </w:rPr>
            </w:pPr>
          </w:p>
        </w:tc>
        <w:tc>
          <w:tcPr>
            <w:tcW w:w="292" w:type="pct"/>
            <w:tcBorders>
              <w:bottom w:val="single" w:color="auto" w:sz="4" w:space="0"/>
            </w:tcBorders>
            <w:noWrap w:val="0"/>
            <w:vAlign w:val="top"/>
          </w:tcPr>
          <w:p w14:paraId="270F8717">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2A4C7C00">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6028EA0C">
            <w:pPr>
              <w:spacing w:line="440" w:lineRule="exact"/>
              <w:jc w:val="center"/>
              <w:rPr>
                <w:rFonts w:ascii="方正仿宋_GB2312" w:hAnsi="华文楷体" w:eastAsia="方正仿宋_GB2312"/>
                <w:color w:val="auto"/>
                <w:kern w:val="0"/>
                <w:sz w:val="24"/>
                <w:highlight w:val="none"/>
              </w:rPr>
            </w:pPr>
          </w:p>
        </w:tc>
        <w:tc>
          <w:tcPr>
            <w:tcW w:w="618" w:type="pct"/>
            <w:tcBorders>
              <w:bottom w:val="single" w:color="auto" w:sz="4" w:space="0"/>
            </w:tcBorders>
            <w:noWrap w:val="0"/>
            <w:vAlign w:val="top"/>
          </w:tcPr>
          <w:p w14:paraId="7530FD9C">
            <w:pPr>
              <w:spacing w:line="440" w:lineRule="exact"/>
              <w:jc w:val="center"/>
              <w:rPr>
                <w:rFonts w:ascii="方正仿宋_GB2312" w:hAnsi="华文楷体" w:eastAsia="方正仿宋_GB2312"/>
                <w:color w:val="auto"/>
                <w:kern w:val="0"/>
                <w:sz w:val="24"/>
                <w:highlight w:val="none"/>
              </w:rPr>
            </w:pPr>
          </w:p>
        </w:tc>
        <w:tc>
          <w:tcPr>
            <w:tcW w:w="700" w:type="pct"/>
            <w:tcBorders>
              <w:bottom w:val="single" w:color="auto" w:sz="4" w:space="0"/>
              <w:right w:val="single" w:color="auto" w:sz="12" w:space="0"/>
            </w:tcBorders>
            <w:noWrap w:val="0"/>
            <w:vAlign w:val="top"/>
          </w:tcPr>
          <w:p w14:paraId="1CF8882E">
            <w:pPr>
              <w:spacing w:line="440" w:lineRule="exact"/>
              <w:jc w:val="center"/>
              <w:rPr>
                <w:rFonts w:ascii="方正仿宋_GB2312" w:hAnsi="华文楷体" w:eastAsia="方正仿宋_GB2312"/>
                <w:color w:val="auto"/>
                <w:kern w:val="0"/>
                <w:sz w:val="24"/>
                <w:highlight w:val="none"/>
              </w:rPr>
            </w:pPr>
          </w:p>
        </w:tc>
      </w:tr>
      <w:tr w14:paraId="512F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pct"/>
            <w:gridSpan w:val="4"/>
            <w:tcBorders>
              <w:top w:val="double" w:color="auto" w:sz="4" w:space="0"/>
              <w:left w:val="single" w:color="auto" w:sz="12" w:space="0"/>
              <w:bottom w:val="single" w:color="auto" w:sz="12" w:space="0"/>
            </w:tcBorders>
            <w:noWrap w:val="0"/>
            <w:vAlign w:val="top"/>
          </w:tcPr>
          <w:p w14:paraId="57ECA68A">
            <w:pPr>
              <w:spacing w:line="440" w:lineRule="exact"/>
              <w:jc w:val="center"/>
              <w:rPr>
                <w:rFonts w:hint="eastAsia" w:ascii="黑体" w:hAnsi="华文楷体" w:eastAsia="黑体" w:cs="Times New Roman"/>
                <w:color w:val="auto"/>
                <w:kern w:val="0"/>
                <w:sz w:val="24"/>
                <w:highlight w:val="none"/>
              </w:rPr>
            </w:pPr>
            <w:r>
              <w:rPr>
                <w:rFonts w:hint="eastAsia" w:ascii="黑体" w:hAnsi="华文楷体" w:eastAsia="黑体" w:cs="Times New Roman"/>
                <w:color w:val="auto"/>
                <w:kern w:val="0"/>
                <w:sz w:val="24"/>
                <w:highlight w:val="none"/>
              </w:rPr>
              <w:t>合计金额（人民币）</w:t>
            </w:r>
          </w:p>
        </w:tc>
        <w:tc>
          <w:tcPr>
            <w:tcW w:w="2492" w:type="pct"/>
            <w:gridSpan w:val="5"/>
            <w:tcBorders>
              <w:top w:val="double" w:color="auto" w:sz="4" w:space="0"/>
              <w:bottom w:val="single" w:color="auto" w:sz="12" w:space="0"/>
              <w:right w:val="single" w:color="auto" w:sz="12" w:space="0"/>
            </w:tcBorders>
            <w:noWrap w:val="0"/>
            <w:vAlign w:val="top"/>
          </w:tcPr>
          <w:p w14:paraId="5C538379">
            <w:pPr>
              <w:spacing w:line="440" w:lineRule="exact"/>
              <w:jc w:val="center"/>
              <w:rPr>
                <w:rFonts w:hint="eastAsia" w:ascii="黑体" w:hAnsi="华文楷体" w:eastAsia="黑体" w:cs="Times New Roman"/>
                <w:color w:val="auto"/>
                <w:kern w:val="0"/>
                <w:sz w:val="24"/>
                <w:highlight w:val="none"/>
              </w:rPr>
            </w:pPr>
            <w:r>
              <w:rPr>
                <w:rFonts w:hint="eastAsia" w:ascii="黑体" w:hAnsi="华文楷体" w:eastAsia="黑体" w:cs="Times New Roman"/>
                <w:color w:val="auto"/>
                <w:kern w:val="0"/>
                <w:sz w:val="24"/>
                <w:highlight w:val="none"/>
              </w:rPr>
              <w:t xml:space="preserve">￥           （大写）：                               </w:t>
            </w:r>
          </w:p>
        </w:tc>
      </w:tr>
    </w:tbl>
    <w:p w14:paraId="655247D5">
      <w:pPr>
        <w:spacing w:line="440" w:lineRule="exact"/>
        <w:rPr>
          <w:rFonts w:hint="eastAsia" w:ascii="黑体" w:hAnsi="华文楷体" w:eastAsia="黑体"/>
          <w:b/>
          <w:color w:val="auto"/>
          <w:sz w:val="24"/>
          <w:highlight w:val="none"/>
        </w:rPr>
      </w:pPr>
    </w:p>
    <w:p w14:paraId="2181F384">
      <w:pPr>
        <w:spacing w:line="440" w:lineRule="exact"/>
        <w:rPr>
          <w:rFonts w:hint="eastAsia" w:ascii="黑体" w:hAnsi="华文楷体" w:eastAsia="黑体"/>
          <w:b/>
          <w:color w:val="auto"/>
          <w:sz w:val="24"/>
          <w:highlight w:val="none"/>
        </w:rPr>
      </w:pPr>
    </w:p>
    <w:p w14:paraId="5E23D6EF">
      <w:pPr>
        <w:pStyle w:val="14"/>
        <w:ind w:left="0" w:leftChars="0" w:firstLine="0" w:firstLineChars="0"/>
        <w:rPr>
          <w:rFonts w:hint="eastAsia"/>
          <w:color w:val="auto"/>
          <w:highlight w:val="none"/>
        </w:rPr>
      </w:pPr>
    </w:p>
    <w:p w14:paraId="296AA70E">
      <w:pPr>
        <w:spacing w:line="440" w:lineRule="exact"/>
        <w:rPr>
          <w:rFonts w:ascii="黑体" w:hAnsi="华文楷体" w:eastAsia="黑体"/>
          <w:color w:val="auto"/>
          <w:sz w:val="24"/>
          <w:highlight w:val="none"/>
        </w:rPr>
      </w:pPr>
      <w:r>
        <w:rPr>
          <w:rFonts w:hint="eastAsia" w:ascii="黑体" w:hAnsi="华文楷体" w:eastAsia="黑体"/>
          <w:color w:val="auto"/>
          <w:sz w:val="24"/>
          <w:highlight w:val="none"/>
        </w:rPr>
        <w:t>公司名称（盖章）：          委托代理人（签字）：        报价日期：      年    月   日</w:t>
      </w:r>
    </w:p>
    <w:p w14:paraId="345567A0">
      <w:pPr>
        <w:rPr>
          <w:rFonts w:hint="eastAsia" w:ascii="黑体" w:hAnsi="华文楷体" w:eastAsia="黑体"/>
          <w:color w:val="auto"/>
          <w:szCs w:val="21"/>
          <w:highlight w:val="none"/>
        </w:rPr>
      </w:pPr>
    </w:p>
    <w:p w14:paraId="24F3C11F">
      <w:pPr>
        <w:rPr>
          <w:rFonts w:ascii="黑体" w:hAnsi="华文楷体" w:eastAsia="黑体"/>
          <w:color w:val="auto"/>
          <w:szCs w:val="21"/>
          <w:highlight w:val="none"/>
        </w:rPr>
      </w:pPr>
      <w:r>
        <w:rPr>
          <w:rFonts w:hint="eastAsia" w:ascii="黑体" w:hAnsi="华文楷体" w:eastAsia="黑体"/>
          <w:color w:val="auto"/>
          <w:szCs w:val="21"/>
          <w:highlight w:val="none"/>
        </w:rPr>
        <w:t>报价说明：1、报价公司提供的上述产品，应完全满足或者优于我校提出的需求。</w:t>
      </w:r>
    </w:p>
    <w:p w14:paraId="6C546935">
      <w:pPr>
        <w:rPr>
          <w:rFonts w:ascii="黑体" w:hAnsi="华文楷体" w:eastAsia="黑体"/>
          <w:color w:val="auto"/>
          <w:szCs w:val="21"/>
          <w:highlight w:val="none"/>
        </w:rPr>
      </w:pPr>
      <w:r>
        <w:rPr>
          <w:rFonts w:hint="eastAsia" w:ascii="黑体" w:hAnsi="华文楷体" w:eastAsia="黑体"/>
          <w:color w:val="auto"/>
          <w:szCs w:val="21"/>
          <w:highlight w:val="none"/>
        </w:rPr>
        <w:t xml:space="preserve">          2、如属非标配产品，其技术指标（特别是优于我校需求的部分）请另行附页说明。</w:t>
      </w:r>
    </w:p>
    <w:p w14:paraId="360E75B8">
      <w:pPr>
        <w:rPr>
          <w:rFonts w:ascii="黑体" w:hAnsi="华文楷体" w:eastAsia="黑体"/>
          <w:color w:val="auto"/>
          <w:szCs w:val="21"/>
          <w:highlight w:val="none"/>
        </w:rPr>
      </w:pPr>
      <w:r>
        <w:rPr>
          <w:rFonts w:hint="eastAsia" w:ascii="黑体" w:hAnsi="华文楷体" w:eastAsia="黑体"/>
          <w:color w:val="auto"/>
          <w:szCs w:val="21"/>
          <w:highlight w:val="none"/>
        </w:rPr>
        <w:t xml:space="preserve">          3、特殊的售后服务措施、代理证明情况等需要说明的，请另行附页说明。</w:t>
      </w:r>
    </w:p>
    <w:p w14:paraId="4A21681F">
      <w:pPr>
        <w:rPr>
          <w:rFonts w:hint="eastAsia" w:ascii="黑体" w:hAnsi="华文楷体" w:eastAsia="黑体"/>
          <w:color w:val="auto"/>
          <w:szCs w:val="21"/>
          <w:highlight w:val="none"/>
        </w:rPr>
      </w:pPr>
      <w:r>
        <w:rPr>
          <w:rFonts w:hint="eastAsia" w:ascii="黑体" w:hAnsi="华文楷体" w:eastAsia="黑体"/>
          <w:color w:val="auto"/>
          <w:szCs w:val="21"/>
          <w:highlight w:val="none"/>
        </w:rPr>
        <w:t xml:space="preserve">          4、报价单附页（如有）共</w:t>
      </w:r>
      <w:r>
        <w:rPr>
          <w:rFonts w:hint="eastAsia" w:ascii="黑体" w:hAnsi="华文楷体" w:eastAsia="黑体"/>
          <w:color w:val="auto"/>
          <w:szCs w:val="21"/>
          <w:highlight w:val="none"/>
          <w:u w:val="single"/>
        </w:rPr>
        <w:t xml:space="preserve">      </w:t>
      </w:r>
      <w:r>
        <w:rPr>
          <w:rFonts w:hint="eastAsia" w:ascii="黑体" w:hAnsi="华文楷体" w:eastAsia="黑体"/>
          <w:color w:val="auto"/>
          <w:szCs w:val="21"/>
          <w:highlight w:val="none"/>
        </w:rPr>
        <w:t>页。</w:t>
      </w:r>
    </w:p>
    <w:p w14:paraId="4403A77C">
      <w:pPr>
        <w:rPr>
          <w:rFonts w:hint="eastAsia" w:ascii="仿宋" w:hAnsi="仿宋" w:eastAsia="仿宋"/>
          <w:b/>
          <w:bCs/>
          <w:color w:val="auto"/>
          <w:kern w:val="0"/>
          <w:sz w:val="36"/>
          <w:szCs w:val="36"/>
          <w:highlight w:val="none"/>
          <w:lang w:val="en-US" w:eastAsia="zh-CN"/>
        </w:rPr>
      </w:pPr>
      <w:r>
        <w:rPr>
          <w:rFonts w:hint="eastAsia" w:ascii="仿宋" w:hAnsi="仿宋" w:eastAsia="仿宋"/>
          <w:b/>
          <w:bCs/>
          <w:color w:val="auto"/>
          <w:kern w:val="0"/>
          <w:sz w:val="36"/>
          <w:szCs w:val="36"/>
          <w:highlight w:val="none"/>
          <w:lang w:val="en-US" w:eastAsia="zh-CN"/>
        </w:rPr>
        <w:br w:type="page"/>
      </w:r>
    </w:p>
    <w:p w14:paraId="0D7FB27B">
      <w:pPr>
        <w:spacing w:after="120" w:afterLines="50" w:line="240" w:lineRule="auto"/>
        <w:ind w:left="0" w:leftChars="0" w:firstLine="0" w:firstLineChars="0"/>
        <w:jc w:val="center"/>
        <w:rPr>
          <w:rFonts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lang w:val="en-US" w:eastAsia="zh-CN"/>
        </w:rPr>
        <w:t>报价</w:t>
      </w:r>
      <w:r>
        <w:rPr>
          <w:rFonts w:hint="eastAsia" w:ascii="仿宋" w:hAnsi="仿宋" w:eastAsia="仿宋"/>
          <w:b/>
          <w:bCs/>
          <w:color w:val="auto"/>
          <w:kern w:val="0"/>
          <w:sz w:val="36"/>
          <w:szCs w:val="36"/>
          <w:highlight w:val="none"/>
        </w:rPr>
        <w:t>承诺函</w:t>
      </w:r>
    </w:p>
    <w:p w14:paraId="154139ED">
      <w:pPr>
        <w:spacing w:after="120" w:afterLines="50" w:line="240" w:lineRule="auto"/>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zh-CN"/>
        </w:rPr>
        <w:t>致：</w:t>
      </w:r>
      <w:r>
        <w:rPr>
          <w:rFonts w:hint="eastAsia" w:ascii="仿宋" w:hAnsi="仿宋" w:eastAsia="仿宋" w:cs="宋体"/>
          <w:color w:val="auto"/>
          <w:sz w:val="24"/>
          <w:szCs w:val="24"/>
          <w:highlight w:val="none"/>
          <w:lang w:val="en-US" w:eastAsia="zh-CN"/>
        </w:rPr>
        <w:t>上海海事大学</w:t>
      </w:r>
    </w:p>
    <w:p w14:paraId="37C42137">
      <w:pPr>
        <w:spacing w:after="120" w:afterLines="50" w:line="240" w:lineRule="auto"/>
        <w:ind w:left="0" w:leftChars="0" w:firstLine="480" w:firstLineChars="200"/>
        <w:rPr>
          <w:rFonts w:ascii="仿宋" w:hAnsi="仿宋" w:eastAsia="仿宋" w:cs="宋体"/>
          <w:color w:val="auto"/>
          <w:sz w:val="24"/>
          <w:szCs w:val="24"/>
          <w:highlight w:val="none"/>
          <w:lang w:val="zh-CN"/>
        </w:rPr>
      </w:pPr>
      <w:r>
        <w:rPr>
          <w:rFonts w:hint="eastAsia" w:ascii="仿宋" w:hAnsi="仿宋" w:eastAsia="仿宋" w:cs="宋体"/>
          <w:color w:val="auto"/>
          <w:sz w:val="24"/>
          <w:szCs w:val="24"/>
          <w:highlight w:val="none"/>
          <w:lang w:val="zh-CN"/>
        </w:rPr>
        <w:t>我</w:t>
      </w:r>
      <w:r>
        <w:rPr>
          <w:rFonts w:ascii="仿宋" w:hAnsi="仿宋" w:eastAsia="仿宋" w:cs="宋体"/>
          <w:color w:val="auto"/>
          <w:sz w:val="24"/>
          <w:szCs w:val="24"/>
          <w:highlight w:val="none"/>
          <w:lang w:val="zh-CN"/>
        </w:rPr>
        <w:t>公司在参加本次</w:t>
      </w:r>
      <w:r>
        <w:rPr>
          <w:rFonts w:hint="eastAsia" w:ascii="仿宋" w:hAnsi="仿宋" w:eastAsia="仿宋" w:cs="宋体"/>
          <w:color w:val="auto"/>
          <w:sz w:val="24"/>
          <w:szCs w:val="24"/>
          <w:highlight w:val="none"/>
          <w:lang w:val="en-US" w:eastAsia="zh-CN"/>
        </w:rPr>
        <w:t>比选采购</w:t>
      </w:r>
      <w:r>
        <w:rPr>
          <w:rFonts w:ascii="仿宋" w:hAnsi="仿宋" w:eastAsia="仿宋" w:cs="宋体"/>
          <w:color w:val="auto"/>
          <w:sz w:val="24"/>
          <w:szCs w:val="24"/>
          <w:highlight w:val="none"/>
          <w:lang w:val="zh-CN"/>
        </w:rPr>
        <w:t>活动中，</w:t>
      </w:r>
      <w:r>
        <w:rPr>
          <w:rFonts w:hint="eastAsia" w:ascii="仿宋" w:hAnsi="仿宋" w:eastAsia="仿宋" w:cs="宋体"/>
          <w:color w:val="auto"/>
          <w:sz w:val="24"/>
          <w:szCs w:val="24"/>
          <w:highlight w:val="none"/>
          <w:lang w:val="zh-CN"/>
        </w:rPr>
        <w:t>作出如下</w:t>
      </w:r>
      <w:r>
        <w:rPr>
          <w:rFonts w:ascii="仿宋" w:hAnsi="仿宋" w:eastAsia="仿宋" w:cs="宋体"/>
          <w:color w:val="auto"/>
          <w:sz w:val="24"/>
          <w:szCs w:val="24"/>
          <w:highlight w:val="none"/>
          <w:lang w:val="zh-CN"/>
        </w:rPr>
        <w:t>承诺：</w:t>
      </w:r>
    </w:p>
    <w:p w14:paraId="46C0BB39">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zh-CN" w:eastAsia="zh-CN"/>
        </w:rPr>
        <w:t>一、</w:t>
      </w:r>
      <w:r>
        <w:rPr>
          <w:rFonts w:hint="eastAsia" w:ascii="仿宋" w:hAnsi="仿宋" w:eastAsia="仿宋" w:cs="宋体"/>
          <w:color w:val="auto"/>
          <w:sz w:val="24"/>
          <w:szCs w:val="24"/>
          <w:highlight w:val="none"/>
          <w:lang w:val="en-US" w:eastAsia="zh-CN"/>
        </w:rPr>
        <w:t>我</w:t>
      </w:r>
      <w:r>
        <w:rPr>
          <w:rFonts w:hint="eastAsia" w:ascii="仿宋" w:hAnsi="仿宋" w:eastAsia="仿宋" w:cs="宋体"/>
          <w:color w:val="auto"/>
          <w:sz w:val="24"/>
          <w:szCs w:val="24"/>
          <w:highlight w:val="none"/>
          <w:lang w:val="zh-CN"/>
        </w:rPr>
        <w:t>公司</w:t>
      </w:r>
      <w:r>
        <w:rPr>
          <w:rFonts w:hint="eastAsia" w:ascii="仿宋" w:hAnsi="仿宋" w:eastAsia="仿宋" w:cs="宋体"/>
          <w:color w:val="auto"/>
          <w:sz w:val="24"/>
          <w:szCs w:val="24"/>
          <w:highlight w:val="none"/>
          <w:lang w:val="en-US" w:eastAsia="zh-CN"/>
        </w:rPr>
        <w:t>具备独立法人资格，能够独立承担民事责任。</w:t>
      </w:r>
    </w:p>
    <w:p w14:paraId="50EE2300">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二、我</w:t>
      </w:r>
      <w:r>
        <w:rPr>
          <w:rFonts w:hint="eastAsia" w:ascii="仿宋" w:hAnsi="仿宋" w:eastAsia="仿宋" w:cs="宋体"/>
          <w:color w:val="auto"/>
          <w:sz w:val="24"/>
          <w:szCs w:val="24"/>
          <w:highlight w:val="none"/>
          <w:lang w:val="zh-CN"/>
        </w:rPr>
        <w:t>公司</w:t>
      </w:r>
      <w:r>
        <w:rPr>
          <w:rFonts w:hint="eastAsia" w:ascii="仿宋" w:hAnsi="仿宋" w:eastAsia="仿宋" w:cs="宋体"/>
          <w:color w:val="auto"/>
          <w:sz w:val="24"/>
          <w:szCs w:val="24"/>
          <w:highlight w:val="none"/>
          <w:lang w:val="en-US" w:eastAsia="zh-CN"/>
        </w:rPr>
        <w:t>财务状况良好，具备履行合同所需资金实力。</w:t>
      </w:r>
    </w:p>
    <w:p w14:paraId="3F8FCAE5">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三、我</w:t>
      </w:r>
      <w:r>
        <w:rPr>
          <w:rFonts w:hint="eastAsia" w:ascii="仿宋" w:hAnsi="仿宋" w:eastAsia="仿宋" w:cs="宋体"/>
          <w:color w:val="auto"/>
          <w:sz w:val="24"/>
          <w:szCs w:val="24"/>
          <w:highlight w:val="none"/>
          <w:lang w:val="zh-CN"/>
        </w:rPr>
        <w:t>公司</w:t>
      </w:r>
      <w:r>
        <w:rPr>
          <w:rFonts w:hint="eastAsia" w:ascii="仿宋" w:hAnsi="仿宋" w:eastAsia="仿宋" w:cs="宋体"/>
          <w:color w:val="auto"/>
          <w:sz w:val="24"/>
          <w:szCs w:val="24"/>
          <w:highlight w:val="none"/>
          <w:lang w:val="en-US" w:eastAsia="zh-CN"/>
        </w:rPr>
        <w:t>拥有履行项目所需的专业技术人员和先进的生产设备。</w:t>
      </w:r>
    </w:p>
    <w:p w14:paraId="45943AA8">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四、我</w:t>
      </w:r>
      <w:r>
        <w:rPr>
          <w:rFonts w:hint="eastAsia" w:ascii="仿宋" w:hAnsi="仿宋" w:eastAsia="仿宋" w:cs="宋体"/>
          <w:color w:val="auto"/>
          <w:sz w:val="24"/>
          <w:szCs w:val="24"/>
          <w:highlight w:val="none"/>
          <w:lang w:val="zh-CN" w:eastAsia="zh-CN"/>
        </w:rPr>
        <w:t>公司</w:t>
      </w:r>
      <w:r>
        <w:rPr>
          <w:rFonts w:hint="eastAsia" w:ascii="仿宋" w:hAnsi="仿宋" w:eastAsia="仿宋" w:cs="宋体"/>
          <w:color w:val="auto"/>
          <w:sz w:val="24"/>
          <w:szCs w:val="24"/>
          <w:highlight w:val="none"/>
          <w:lang w:val="en-US" w:eastAsia="zh-CN"/>
        </w:rPr>
        <w:t>依法纳税，并按时缴纳社会保险费。</w:t>
      </w:r>
    </w:p>
    <w:p w14:paraId="0F0C6E90">
      <w:pPr>
        <w:spacing w:after="120" w:afterLines="50" w:line="240" w:lineRule="auto"/>
        <w:ind w:left="0" w:leftChars="0" w:firstLine="480" w:firstLineChars="200"/>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五、我</w:t>
      </w:r>
      <w:r>
        <w:rPr>
          <w:rFonts w:hint="eastAsia" w:ascii="仿宋" w:hAnsi="仿宋" w:eastAsia="仿宋" w:cs="宋体"/>
          <w:color w:val="auto"/>
          <w:sz w:val="24"/>
          <w:szCs w:val="24"/>
          <w:highlight w:val="none"/>
          <w:lang w:val="zh-CN" w:eastAsia="zh-CN"/>
        </w:rPr>
        <w:t>公司</w:t>
      </w:r>
      <w:r>
        <w:rPr>
          <w:rFonts w:hint="eastAsia" w:ascii="仿宋" w:hAnsi="仿宋" w:eastAsia="仿宋" w:cs="宋体"/>
          <w:color w:val="auto"/>
          <w:sz w:val="24"/>
          <w:szCs w:val="24"/>
          <w:highlight w:val="none"/>
          <w:lang w:val="en-US" w:eastAsia="zh-CN"/>
        </w:rPr>
        <w:t>在最近三年内无任何违法违规行为，信誉良好。</w:t>
      </w:r>
    </w:p>
    <w:p w14:paraId="3EF4200C">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六、我</w:t>
      </w:r>
      <w:r>
        <w:rPr>
          <w:rFonts w:hint="eastAsia" w:ascii="仿宋" w:hAnsi="仿宋" w:eastAsia="仿宋" w:cs="宋体"/>
          <w:color w:val="auto"/>
          <w:sz w:val="24"/>
          <w:szCs w:val="24"/>
          <w:highlight w:val="none"/>
          <w:lang w:val="zh-CN" w:eastAsia="zh-CN"/>
        </w:rPr>
        <w:t>公司</w:t>
      </w:r>
      <w:r>
        <w:rPr>
          <w:rFonts w:hint="eastAsia" w:ascii="仿宋" w:hAnsi="仿宋" w:eastAsia="仿宋" w:cs="宋体"/>
          <w:color w:val="auto"/>
          <w:sz w:val="24"/>
          <w:szCs w:val="24"/>
          <w:highlight w:val="none"/>
          <w:lang w:val="en-US" w:eastAsia="zh-CN"/>
        </w:rPr>
        <w:t>完全符合政府采购法及其他相关法律法规的规定。</w:t>
      </w:r>
    </w:p>
    <w:p w14:paraId="072F3ABB">
      <w:pPr>
        <w:spacing w:after="120" w:afterLines="50" w:line="240" w:lineRule="auto"/>
        <w:ind w:left="0" w:leftChars="0" w:firstLine="480" w:firstLineChars="200"/>
        <w:rPr>
          <w:rFonts w:hint="eastAsia" w:ascii="仿宋" w:hAnsi="仿宋" w:eastAsia="仿宋" w:cs="宋体"/>
          <w:color w:val="auto"/>
          <w:sz w:val="24"/>
          <w:szCs w:val="24"/>
          <w:highlight w:val="none"/>
          <w:lang w:val="zh-CN" w:eastAsia="zh-CN"/>
        </w:rPr>
      </w:pPr>
      <w:r>
        <w:rPr>
          <w:rFonts w:hint="eastAsia" w:ascii="仿宋" w:hAnsi="仿宋" w:eastAsia="仿宋" w:cs="宋体"/>
          <w:color w:val="auto"/>
          <w:sz w:val="24"/>
          <w:szCs w:val="24"/>
          <w:highlight w:val="none"/>
          <w:lang w:val="en-US" w:eastAsia="zh-CN"/>
        </w:rPr>
        <w:t>七</w:t>
      </w:r>
      <w:r>
        <w:rPr>
          <w:rFonts w:hint="eastAsia" w:ascii="仿宋" w:hAnsi="仿宋" w:eastAsia="仿宋" w:cs="宋体"/>
          <w:color w:val="auto"/>
          <w:sz w:val="24"/>
          <w:szCs w:val="24"/>
          <w:highlight w:val="none"/>
          <w:lang w:val="zh-CN" w:eastAsia="zh-CN"/>
        </w:rPr>
        <w:t>、</w:t>
      </w:r>
      <w:r>
        <w:rPr>
          <w:rFonts w:hint="eastAsia" w:ascii="仿宋" w:hAnsi="仿宋" w:eastAsia="仿宋" w:cs="宋体"/>
          <w:color w:val="auto"/>
          <w:sz w:val="24"/>
          <w:szCs w:val="24"/>
          <w:highlight w:val="none"/>
          <w:lang w:val="en-US" w:eastAsia="zh-CN"/>
        </w:rPr>
        <w:t>我</w:t>
      </w:r>
      <w:r>
        <w:rPr>
          <w:rFonts w:hint="eastAsia" w:ascii="仿宋" w:hAnsi="仿宋" w:eastAsia="仿宋" w:cs="宋体"/>
          <w:color w:val="auto"/>
          <w:sz w:val="24"/>
          <w:szCs w:val="24"/>
          <w:highlight w:val="none"/>
          <w:lang w:val="zh-CN" w:eastAsia="zh-CN"/>
        </w:rPr>
        <w:t>公司提供的相关文件均真实、有效。</w:t>
      </w:r>
    </w:p>
    <w:p w14:paraId="1E86BCEA">
      <w:pPr>
        <w:spacing w:after="120" w:afterLines="50" w:line="240" w:lineRule="auto"/>
        <w:ind w:left="0" w:leftChars="0" w:firstLine="480" w:firstLineChars="200"/>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八、我</w:t>
      </w:r>
      <w:r>
        <w:rPr>
          <w:rFonts w:hint="eastAsia" w:ascii="仿宋" w:hAnsi="仿宋" w:eastAsia="仿宋" w:cs="宋体"/>
          <w:color w:val="auto"/>
          <w:sz w:val="24"/>
          <w:szCs w:val="24"/>
          <w:highlight w:val="none"/>
          <w:lang w:val="zh-CN" w:eastAsia="zh-CN"/>
        </w:rPr>
        <w:t>公司未挂靠、借用资质进行投标等违法违规行为。</w:t>
      </w:r>
    </w:p>
    <w:p w14:paraId="1961C25F">
      <w:pPr>
        <w:spacing w:after="120" w:afterLines="50" w:line="240" w:lineRule="auto"/>
        <w:ind w:left="0" w:leftChars="0" w:firstLine="480" w:firstLineChars="200"/>
        <w:rPr>
          <w:rFonts w:hint="eastAsia" w:ascii="仿宋" w:hAnsi="仿宋" w:eastAsia="仿宋" w:cs="宋体"/>
          <w:color w:val="auto"/>
          <w:sz w:val="24"/>
          <w:szCs w:val="24"/>
          <w:highlight w:val="none"/>
          <w:lang w:val="zh-CN" w:eastAsia="zh-CN"/>
        </w:rPr>
      </w:pPr>
      <w:r>
        <w:rPr>
          <w:rFonts w:hint="eastAsia" w:ascii="仿宋" w:hAnsi="仿宋" w:eastAsia="仿宋" w:cs="宋体"/>
          <w:color w:val="auto"/>
          <w:sz w:val="24"/>
          <w:szCs w:val="24"/>
          <w:highlight w:val="none"/>
          <w:lang w:val="en-US" w:eastAsia="zh-CN"/>
        </w:rPr>
        <w:t>九、</w:t>
      </w:r>
      <w:r>
        <w:rPr>
          <w:rFonts w:hint="eastAsia" w:ascii="仿宋" w:hAnsi="仿宋" w:eastAsia="仿宋" w:cs="宋体"/>
          <w:color w:val="auto"/>
          <w:sz w:val="24"/>
          <w:szCs w:val="24"/>
          <w:highlight w:val="none"/>
          <w:lang w:val="zh-CN" w:eastAsia="zh-CN"/>
        </w:rPr>
        <w:t>我公司承诺在参加本</w:t>
      </w:r>
      <w:r>
        <w:rPr>
          <w:rFonts w:hint="eastAsia" w:ascii="仿宋" w:hAnsi="仿宋" w:eastAsia="仿宋" w:cs="宋体"/>
          <w:color w:val="auto"/>
          <w:sz w:val="24"/>
          <w:szCs w:val="24"/>
          <w:highlight w:val="none"/>
          <w:lang w:val="en-US" w:eastAsia="zh-CN"/>
        </w:rPr>
        <w:t>次</w:t>
      </w:r>
      <w:r>
        <w:rPr>
          <w:rFonts w:hint="eastAsia" w:ascii="仿宋" w:hAnsi="仿宋" w:eastAsia="仿宋" w:cs="宋体"/>
          <w:color w:val="auto"/>
          <w:sz w:val="24"/>
          <w:szCs w:val="24"/>
          <w:highlight w:val="none"/>
          <w:lang w:val="zh-CN" w:eastAsia="zh-CN"/>
        </w:rPr>
        <w:t>采购活动中，</w:t>
      </w:r>
      <w:r>
        <w:rPr>
          <w:rFonts w:hint="eastAsia" w:ascii="仿宋" w:hAnsi="仿宋" w:eastAsia="仿宋" w:cs="宋体"/>
          <w:color w:val="auto"/>
          <w:sz w:val="24"/>
          <w:szCs w:val="24"/>
          <w:highlight w:val="none"/>
          <w:lang w:val="en-US" w:eastAsia="zh-CN"/>
        </w:rPr>
        <w:t>不存在串标围标行为</w:t>
      </w:r>
      <w:r>
        <w:rPr>
          <w:rFonts w:hint="eastAsia" w:ascii="仿宋" w:hAnsi="仿宋" w:eastAsia="仿宋" w:cs="宋体"/>
          <w:color w:val="auto"/>
          <w:sz w:val="24"/>
          <w:szCs w:val="24"/>
          <w:highlight w:val="none"/>
          <w:lang w:val="zh-CN" w:eastAsia="zh-CN"/>
        </w:rPr>
        <w:t>，</w:t>
      </w:r>
      <w:r>
        <w:rPr>
          <w:rFonts w:hint="eastAsia" w:ascii="仿宋" w:hAnsi="仿宋" w:eastAsia="仿宋" w:cs="宋体"/>
          <w:color w:val="auto"/>
          <w:sz w:val="24"/>
          <w:szCs w:val="24"/>
          <w:highlight w:val="none"/>
          <w:lang w:val="en-US" w:eastAsia="zh-CN"/>
        </w:rPr>
        <w:t>不存在</w:t>
      </w:r>
      <w:r>
        <w:rPr>
          <w:rFonts w:hint="eastAsia" w:ascii="仿宋" w:hAnsi="仿宋" w:eastAsia="仿宋" w:cs="宋体"/>
          <w:color w:val="auto"/>
          <w:sz w:val="24"/>
          <w:szCs w:val="24"/>
          <w:highlight w:val="none"/>
          <w:lang w:val="zh-CN" w:eastAsia="zh-CN"/>
        </w:rPr>
        <w:t>损害</w:t>
      </w:r>
      <w:r>
        <w:rPr>
          <w:rFonts w:hint="eastAsia" w:ascii="仿宋" w:hAnsi="仿宋" w:eastAsia="仿宋" w:cs="宋体"/>
          <w:color w:val="auto"/>
          <w:sz w:val="24"/>
          <w:szCs w:val="24"/>
          <w:highlight w:val="none"/>
          <w:lang w:val="en-US" w:eastAsia="zh-CN"/>
        </w:rPr>
        <w:t>校方</w:t>
      </w:r>
      <w:r>
        <w:rPr>
          <w:rFonts w:hint="eastAsia" w:ascii="仿宋" w:hAnsi="仿宋" w:eastAsia="仿宋" w:cs="宋体"/>
          <w:color w:val="auto"/>
          <w:sz w:val="24"/>
          <w:szCs w:val="24"/>
          <w:highlight w:val="none"/>
          <w:lang w:val="zh-CN" w:eastAsia="zh-CN"/>
        </w:rPr>
        <w:t>或者其他</w:t>
      </w:r>
      <w:r>
        <w:rPr>
          <w:rFonts w:hint="eastAsia" w:ascii="仿宋" w:hAnsi="仿宋" w:eastAsia="仿宋" w:cs="宋体"/>
          <w:color w:val="auto"/>
          <w:sz w:val="24"/>
          <w:szCs w:val="24"/>
          <w:highlight w:val="none"/>
          <w:lang w:val="en-US" w:eastAsia="zh-CN"/>
        </w:rPr>
        <w:t>报价单位</w:t>
      </w:r>
      <w:r>
        <w:rPr>
          <w:rFonts w:hint="eastAsia" w:ascii="仿宋" w:hAnsi="仿宋" w:eastAsia="仿宋" w:cs="宋体"/>
          <w:color w:val="auto"/>
          <w:sz w:val="24"/>
          <w:szCs w:val="24"/>
          <w:highlight w:val="none"/>
          <w:lang w:val="zh-CN" w:eastAsia="zh-CN"/>
        </w:rPr>
        <w:t>利益的行为。</w:t>
      </w:r>
    </w:p>
    <w:p w14:paraId="1B3C8AA7">
      <w:pPr>
        <w:spacing w:after="120" w:afterLines="50" w:line="240" w:lineRule="auto"/>
        <w:ind w:left="0" w:leftChars="0" w:firstLine="480" w:firstLineChars="200"/>
        <w:rPr>
          <w:rFonts w:hint="eastAsia" w:ascii="仿宋" w:hAnsi="仿宋" w:eastAsia="仿宋" w:cs="宋体"/>
          <w:color w:val="auto"/>
          <w:sz w:val="24"/>
          <w:szCs w:val="24"/>
          <w:highlight w:val="none"/>
          <w:lang w:val="zh-CN" w:eastAsia="zh-CN"/>
        </w:rPr>
      </w:pPr>
      <w:r>
        <w:rPr>
          <w:rFonts w:hint="eastAsia" w:ascii="仿宋" w:hAnsi="仿宋" w:eastAsia="仿宋" w:cs="宋体"/>
          <w:color w:val="auto"/>
          <w:sz w:val="24"/>
          <w:szCs w:val="24"/>
          <w:highlight w:val="none"/>
          <w:lang w:val="en-US" w:eastAsia="zh-CN"/>
        </w:rPr>
        <w:t>十、</w:t>
      </w:r>
      <w:r>
        <w:rPr>
          <w:rFonts w:hint="eastAsia" w:ascii="仿宋" w:hAnsi="仿宋" w:eastAsia="仿宋" w:cs="宋体"/>
          <w:color w:val="auto"/>
          <w:sz w:val="24"/>
          <w:szCs w:val="24"/>
          <w:highlight w:val="none"/>
          <w:lang w:val="zh-CN" w:eastAsia="zh-CN"/>
        </w:rPr>
        <w:t>我</w:t>
      </w:r>
      <w:r>
        <w:rPr>
          <w:rFonts w:hint="eastAsia" w:ascii="仿宋" w:hAnsi="仿宋" w:eastAsia="仿宋" w:cs="宋体"/>
          <w:color w:val="auto"/>
          <w:sz w:val="24"/>
          <w:szCs w:val="24"/>
          <w:highlight w:val="none"/>
          <w:lang w:val="en-US" w:eastAsia="zh-CN"/>
        </w:rPr>
        <w:t>公司管理层中</w:t>
      </w:r>
      <w:r>
        <w:rPr>
          <w:rFonts w:hint="eastAsia" w:ascii="仿宋" w:hAnsi="仿宋" w:eastAsia="仿宋" w:cs="宋体"/>
          <w:color w:val="auto"/>
          <w:sz w:val="24"/>
          <w:szCs w:val="24"/>
          <w:highlight w:val="none"/>
          <w:lang w:val="zh-CN" w:eastAsia="zh-CN"/>
        </w:rPr>
        <w:t>没有从</w:t>
      </w:r>
      <w:r>
        <w:rPr>
          <w:rFonts w:hint="eastAsia" w:ascii="仿宋" w:hAnsi="仿宋" w:eastAsia="仿宋" w:cs="宋体"/>
          <w:color w:val="auto"/>
          <w:sz w:val="24"/>
          <w:szCs w:val="24"/>
          <w:highlight w:val="none"/>
          <w:lang w:val="en-US" w:eastAsia="zh-CN"/>
        </w:rPr>
        <w:t>贵校</w:t>
      </w:r>
      <w:r>
        <w:rPr>
          <w:rFonts w:hint="eastAsia" w:ascii="仿宋" w:hAnsi="仿宋" w:eastAsia="仿宋" w:cs="宋体"/>
          <w:color w:val="auto"/>
          <w:sz w:val="24"/>
          <w:szCs w:val="24"/>
          <w:highlight w:val="none"/>
          <w:lang w:val="zh-CN" w:eastAsia="zh-CN"/>
        </w:rPr>
        <w:t>离职或退休3年以内的人员担任控股股东或实际控股人、董事、监事，也没有聘用从</w:t>
      </w:r>
      <w:r>
        <w:rPr>
          <w:rFonts w:hint="eastAsia" w:ascii="仿宋" w:hAnsi="仿宋" w:eastAsia="仿宋" w:cs="宋体"/>
          <w:color w:val="auto"/>
          <w:sz w:val="24"/>
          <w:szCs w:val="24"/>
          <w:highlight w:val="none"/>
          <w:lang w:val="en-US" w:eastAsia="zh-CN"/>
        </w:rPr>
        <w:t>贵校</w:t>
      </w:r>
      <w:r>
        <w:rPr>
          <w:rFonts w:hint="eastAsia" w:ascii="仿宋" w:hAnsi="仿宋" w:eastAsia="仿宋" w:cs="宋体"/>
          <w:color w:val="auto"/>
          <w:sz w:val="24"/>
          <w:szCs w:val="24"/>
          <w:highlight w:val="none"/>
          <w:lang w:val="zh-CN" w:eastAsia="zh-CN"/>
        </w:rPr>
        <w:t>离职或退休3年以内的人员。</w:t>
      </w:r>
    </w:p>
    <w:p w14:paraId="3FE2B1FA">
      <w:pPr>
        <w:spacing w:after="120" w:afterLines="50" w:line="240" w:lineRule="auto"/>
        <w:ind w:left="0" w:leftChars="0" w:firstLine="480" w:firstLineChars="200"/>
        <w:rPr>
          <w:rFonts w:ascii="仿宋" w:hAnsi="仿宋" w:eastAsia="仿宋" w:cs="宋体"/>
          <w:color w:val="auto"/>
          <w:sz w:val="24"/>
          <w:szCs w:val="24"/>
          <w:highlight w:val="none"/>
          <w:lang w:val="zh-CN"/>
        </w:rPr>
      </w:pPr>
      <w:r>
        <w:rPr>
          <w:rFonts w:hint="eastAsia" w:ascii="仿宋" w:hAnsi="仿宋" w:eastAsia="仿宋" w:cs="宋体"/>
          <w:color w:val="auto"/>
          <w:sz w:val="24"/>
          <w:szCs w:val="24"/>
          <w:highlight w:val="none"/>
          <w:lang w:val="en-US" w:eastAsia="zh-CN"/>
        </w:rPr>
        <w:t>我公司保证上述声明真实无误，如有不实，愿承担相应法律责任。</w:t>
      </w:r>
    </w:p>
    <w:p w14:paraId="2C38F8B9">
      <w:pPr>
        <w:spacing w:after="120" w:afterLines="50" w:line="240" w:lineRule="auto"/>
        <w:ind w:left="0" w:leftChars="0" w:firstLine="0" w:firstLineChars="0"/>
        <w:rPr>
          <w:rFonts w:ascii="仿宋" w:hAnsi="仿宋" w:eastAsia="仿宋" w:cs="宋体"/>
          <w:color w:val="auto"/>
          <w:sz w:val="24"/>
          <w:szCs w:val="24"/>
          <w:highlight w:val="none"/>
          <w:lang w:val="zh-CN"/>
        </w:rPr>
      </w:pPr>
    </w:p>
    <w:p w14:paraId="4A13A388">
      <w:pPr>
        <w:spacing w:after="120" w:afterLines="50" w:line="240" w:lineRule="auto"/>
        <w:ind w:left="0" w:leftChars="0" w:firstLine="0" w:firstLineChars="0"/>
        <w:rPr>
          <w:rFonts w:ascii="黑体" w:hAnsi="华文楷体" w:eastAsia="黑体"/>
          <w:b/>
          <w:bCs/>
          <w:color w:val="auto"/>
          <w:sz w:val="32"/>
          <w:szCs w:val="32"/>
          <w:highlight w:val="none"/>
        </w:rPr>
      </w:pPr>
      <w:r>
        <w:rPr>
          <w:rFonts w:hint="eastAsia" w:ascii="黑体" w:hAnsi="华文楷体" w:eastAsia="黑体"/>
          <w:color w:val="auto"/>
          <w:sz w:val="24"/>
          <w:szCs w:val="24"/>
          <w:highlight w:val="none"/>
        </w:rPr>
        <w:t>公司名称（盖章）：                              委托代理人（签字）：</w:t>
      </w:r>
    </w:p>
    <w:p w14:paraId="476D3484">
      <w:pPr>
        <w:pStyle w:val="8"/>
        <w:rPr>
          <w:rFonts w:hint="default" w:ascii="方正兰亭黑简体" w:hAnsi="方正兰亭黑简体" w:eastAsia="方正兰亭黑简体" w:cs="方正兰亭黑简体"/>
          <w:color w:val="auto"/>
          <w:sz w:val="22"/>
          <w:szCs w:val="28"/>
          <w:highlight w:val="none"/>
          <w:lang w:val="en-US" w:eastAsia="zh-CN"/>
        </w:rPr>
      </w:pPr>
    </w:p>
    <w:p w14:paraId="3F5F1DB4">
      <w:pPr>
        <w:pStyle w:val="8"/>
        <w:rPr>
          <w:rFonts w:hint="default" w:ascii="方正兰亭黑简体" w:hAnsi="方正兰亭黑简体" w:eastAsia="方正兰亭黑简体" w:cs="方正兰亭黑简体"/>
          <w:color w:val="auto"/>
          <w:sz w:val="22"/>
          <w:szCs w:val="28"/>
          <w:highlight w:val="none"/>
          <w:lang w:val="en-US" w:eastAsia="zh-CN"/>
        </w:rPr>
      </w:pPr>
    </w:p>
    <w:p w14:paraId="086B01F9">
      <w:pPr>
        <w:jc w:val="left"/>
        <w:rPr>
          <w:rFonts w:hint="eastAsia" w:ascii="方正兰亭黑简体" w:hAnsi="方正兰亭黑简体" w:eastAsia="方正兰亭黑简体" w:cs="方正兰亭黑简体"/>
          <w:color w:val="auto"/>
          <w:sz w:val="22"/>
          <w:szCs w:val="28"/>
          <w:highlight w:val="none"/>
          <w:lang w:val="en-US" w:eastAsia="zh-CN"/>
        </w:rPr>
        <w:sectPr>
          <w:pgSz w:w="11906" w:h="16838"/>
          <w:pgMar w:top="1440" w:right="1083" w:bottom="1440" w:left="1083" w:header="851" w:footer="992" w:gutter="0"/>
          <w:pgNumType w:fmt="decimal"/>
          <w:cols w:space="0" w:num="1"/>
          <w:rtlGutter w:val="0"/>
          <w:docGrid w:type="lines" w:linePitch="314" w:charSpace="0"/>
        </w:sectPr>
      </w:pPr>
    </w:p>
    <w:p w14:paraId="7CDE4BA2">
      <w:pPr>
        <w:jc w:val="left"/>
        <w:rPr>
          <w:rFonts w:hint="eastAsia" w:ascii="方正兰亭黑简体" w:hAnsi="方正兰亭黑简体" w:eastAsia="方正兰亭黑简体" w:cs="方正兰亭黑简体"/>
          <w:b/>
          <w:bCs/>
          <w:color w:val="auto"/>
          <w:sz w:val="22"/>
          <w:szCs w:val="28"/>
          <w:highlight w:val="none"/>
          <w:lang w:val="en-US" w:eastAsia="zh-CN"/>
        </w:rPr>
      </w:pPr>
      <w:r>
        <w:rPr>
          <w:rFonts w:hint="eastAsia" w:ascii="方正兰亭黑简体" w:hAnsi="方正兰亭黑简体" w:eastAsia="方正兰亭黑简体" w:cs="方正兰亭黑简体"/>
          <w:b/>
          <w:bCs/>
          <w:color w:val="auto"/>
          <w:sz w:val="22"/>
          <w:szCs w:val="28"/>
          <w:highlight w:val="none"/>
          <w:lang w:val="en-US" w:eastAsia="zh-CN"/>
        </w:rPr>
        <w:t>附件2：其他材料</w:t>
      </w:r>
    </w:p>
    <w:p w14:paraId="7D103AD2">
      <w:pPr>
        <w:pStyle w:val="7"/>
        <w:ind w:left="0" w:leftChars="0" w:firstLine="0" w:firstLineChars="0"/>
        <w:rPr>
          <w:rFonts w:hint="default"/>
          <w:color w:val="auto"/>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包括但不限于：</w:t>
      </w:r>
    </w:p>
    <w:p w14:paraId="6163A2E2">
      <w:pPr>
        <w:pStyle w:val="7"/>
        <w:numPr>
          <w:ilvl w:val="0"/>
          <w:numId w:val="0"/>
        </w:numPr>
        <w:ind w:left="0" w:leftChars="0" w:firstLine="0" w:firstLineChars="0"/>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kern w:val="2"/>
          <w:sz w:val="22"/>
          <w:szCs w:val="28"/>
          <w:highlight w:val="none"/>
          <w:lang w:val="en-US" w:eastAsia="zh-CN" w:bidi="ar-SA"/>
        </w:rPr>
        <w:t>1、</w:t>
      </w:r>
      <w:r>
        <w:rPr>
          <w:rFonts w:hint="eastAsia" w:ascii="方正兰亭黑简体" w:hAnsi="方正兰亭黑简体" w:eastAsia="方正兰亭黑简体" w:cs="方正兰亭黑简体"/>
          <w:color w:val="auto"/>
          <w:sz w:val="22"/>
          <w:szCs w:val="28"/>
          <w:highlight w:val="none"/>
          <w:lang w:val="en-US" w:eastAsia="zh-CN"/>
        </w:rPr>
        <w:t>营业执照扫描件</w:t>
      </w:r>
    </w:p>
    <w:p w14:paraId="75BA9CDB">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2、</w:t>
      </w:r>
      <w:r>
        <w:rPr>
          <w:rFonts w:hint="eastAsia" w:ascii="方正兰亭黑简体" w:hAnsi="方正兰亭黑简体" w:eastAsia="方正兰亭黑简体" w:cs="方正兰亭黑简体"/>
          <w:color w:val="auto"/>
          <w:sz w:val="22"/>
          <w:szCs w:val="28"/>
          <w:highlight w:val="none"/>
          <w:lang w:val="en-US" w:eastAsia="zh-CN"/>
        </w:rPr>
        <w:t>产品资料（产品参数及性能）</w:t>
      </w:r>
    </w:p>
    <w:p w14:paraId="1BB2A8EF">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3、</w:t>
      </w:r>
      <w:r>
        <w:rPr>
          <w:rFonts w:hint="eastAsia" w:ascii="方正兰亭黑简体" w:hAnsi="方正兰亭黑简体" w:eastAsia="方正兰亭黑简体" w:cs="方正兰亭黑简体"/>
          <w:color w:val="auto"/>
          <w:sz w:val="22"/>
          <w:szCs w:val="28"/>
          <w:highlight w:val="none"/>
          <w:lang w:val="en-US" w:eastAsia="zh-CN"/>
        </w:rPr>
        <w:t>实施计划</w:t>
      </w:r>
    </w:p>
    <w:p w14:paraId="32423874">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4、</w:t>
      </w:r>
      <w:r>
        <w:rPr>
          <w:rFonts w:hint="eastAsia" w:ascii="方正兰亭黑简体" w:hAnsi="方正兰亭黑简体" w:eastAsia="方正兰亭黑简体" w:cs="方正兰亭黑简体"/>
          <w:color w:val="auto"/>
          <w:sz w:val="22"/>
          <w:szCs w:val="28"/>
          <w:highlight w:val="none"/>
          <w:lang w:val="en-US" w:eastAsia="zh-CN"/>
        </w:rPr>
        <w:t>售后方案</w:t>
      </w:r>
    </w:p>
    <w:p w14:paraId="47143B82">
      <w:pPr>
        <w:pStyle w:val="7"/>
        <w:numPr>
          <w:ilvl w:val="0"/>
          <w:numId w:val="0"/>
        </w:numPr>
        <w:ind w:left="0" w:leftChars="0" w:firstLine="0" w:firstLineChars="0"/>
        <w:rPr>
          <w:rFonts w:hint="eastAsia"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5、</w:t>
      </w:r>
      <w:r>
        <w:rPr>
          <w:rFonts w:hint="eastAsia" w:ascii="方正兰亭黑简体" w:hAnsi="方正兰亭黑简体" w:eastAsia="方正兰亭黑简体" w:cs="方正兰亭黑简体"/>
          <w:color w:val="auto"/>
          <w:sz w:val="22"/>
          <w:szCs w:val="28"/>
          <w:highlight w:val="none"/>
          <w:lang w:val="en-US" w:eastAsia="zh-CN"/>
        </w:rPr>
        <w:t>业绩案例</w:t>
      </w:r>
    </w:p>
    <w:p w14:paraId="3644FF0B">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6、其他所必需的相关材料</w:t>
      </w:r>
    </w:p>
    <w:sectPr>
      <w:pgSz w:w="11906" w:h="16838"/>
      <w:pgMar w:top="1440" w:right="1083" w:bottom="1440" w:left="1083" w:header="851" w:footer="992" w:gutter="0"/>
      <w:pgNumType w:fmt="decimal"/>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5700A1-8741-4DE4-8272-0A59E1BD87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imes NR MT Pro Medium">
    <w:panose1 w:val="0201060001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兰亭黑简体">
    <w:panose1 w:val="02000000000000000000"/>
    <w:charset w:val="86"/>
    <w:family w:val="auto"/>
    <w:pitch w:val="default"/>
    <w:sig w:usb0="A00002BF" w:usb1="184F6CFA" w:usb2="00000012" w:usb3="00000000" w:csb0="00040001" w:csb1="00000000"/>
    <w:embedRegular r:id="rId2" w:fontKey="{BCF485F5-7EEB-4070-81E0-6C10C415EFCC}"/>
  </w:font>
  <w:font w:name="华文楷体">
    <w:panose1 w:val="02010600040101010101"/>
    <w:charset w:val="86"/>
    <w:family w:val="auto"/>
    <w:pitch w:val="default"/>
    <w:sig w:usb0="00000287" w:usb1="080F0000" w:usb2="00000000" w:usb3="00000000" w:csb0="0004009F" w:csb1="DFD70000"/>
    <w:embedRegular r:id="rId3" w:fontKey="{7EF55FAD-8502-4EBD-9824-0CC58F6585C8}"/>
  </w:font>
  <w:font w:name="方正仿宋_GB2312">
    <w:panose1 w:val="02000000000000000000"/>
    <w:charset w:val="86"/>
    <w:family w:val="auto"/>
    <w:pitch w:val="default"/>
    <w:sig w:usb0="A00002BF" w:usb1="184F6CFA" w:usb2="00000012" w:usb3="00000000" w:csb0="00040001" w:csb1="00000000"/>
    <w:embedRegular r:id="rId4" w:fontKey="{37F7815F-B5BE-445E-BA2D-62519F8C4A49}"/>
  </w:font>
  <w:font w:name="仿宋">
    <w:panose1 w:val="02010609060101010101"/>
    <w:charset w:val="86"/>
    <w:family w:val="modern"/>
    <w:pitch w:val="default"/>
    <w:sig w:usb0="800002BF" w:usb1="38CF7CFA" w:usb2="00000016" w:usb3="00000000" w:csb0="00040001" w:csb1="00000000"/>
    <w:embedRegular r:id="rId5" w:fontKey="{C0B24E8C-C6F6-4781-AAC4-C2FBBA2261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492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2FB9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62FB9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722401"/>
    <w:multiLevelType w:val="multilevel"/>
    <w:tmpl w:val="17722401"/>
    <w:lvl w:ilvl="0" w:tentative="0">
      <w:start w:val="1"/>
      <w:numFmt w:val="japaneseCounting"/>
      <w:pStyle w:val="3"/>
      <w:lvlText w:val="%1、"/>
      <w:lvlJc w:val="left"/>
      <w:pPr>
        <w:ind w:left="464" w:hanging="720"/>
      </w:pPr>
      <w:rPr>
        <w:rFonts w:hint="default"/>
      </w:rPr>
    </w:lvl>
    <w:lvl w:ilvl="1" w:tentative="0">
      <w:start w:val="1"/>
      <w:numFmt w:val="decimalEnclosedCircle"/>
      <w:lvlText w:val="%2"/>
      <w:lvlJc w:val="left"/>
      <w:pPr>
        <w:ind w:left="544" w:hanging="360"/>
      </w:pPr>
      <w:rPr>
        <w:rFonts w:hint="default"/>
      </w:rPr>
    </w:lvl>
    <w:lvl w:ilvl="2" w:tentative="0">
      <w:start w:val="1"/>
      <w:numFmt w:val="lowerRoman"/>
      <w:lvlText w:val="%3."/>
      <w:lvlJc w:val="right"/>
      <w:pPr>
        <w:ind w:left="1064" w:hanging="440"/>
      </w:pPr>
    </w:lvl>
    <w:lvl w:ilvl="3" w:tentative="0">
      <w:start w:val="1"/>
      <w:numFmt w:val="decimal"/>
      <w:lvlText w:val="%4."/>
      <w:lvlJc w:val="left"/>
      <w:pPr>
        <w:ind w:left="1504" w:hanging="440"/>
      </w:pPr>
    </w:lvl>
    <w:lvl w:ilvl="4" w:tentative="0">
      <w:start w:val="1"/>
      <w:numFmt w:val="lowerLetter"/>
      <w:lvlText w:val="%5)"/>
      <w:lvlJc w:val="left"/>
      <w:pPr>
        <w:ind w:left="1944" w:hanging="440"/>
      </w:pPr>
    </w:lvl>
    <w:lvl w:ilvl="5" w:tentative="0">
      <w:start w:val="1"/>
      <w:numFmt w:val="lowerRoman"/>
      <w:lvlText w:val="%6."/>
      <w:lvlJc w:val="right"/>
      <w:pPr>
        <w:ind w:left="2384" w:hanging="440"/>
      </w:pPr>
    </w:lvl>
    <w:lvl w:ilvl="6" w:tentative="0">
      <w:start w:val="1"/>
      <w:numFmt w:val="decimal"/>
      <w:lvlText w:val="%7."/>
      <w:lvlJc w:val="left"/>
      <w:pPr>
        <w:ind w:left="2824" w:hanging="440"/>
      </w:pPr>
    </w:lvl>
    <w:lvl w:ilvl="7" w:tentative="0">
      <w:start w:val="1"/>
      <w:numFmt w:val="lowerLetter"/>
      <w:lvlText w:val="%8)"/>
      <w:lvlJc w:val="left"/>
      <w:pPr>
        <w:ind w:left="3264" w:hanging="440"/>
      </w:pPr>
    </w:lvl>
    <w:lvl w:ilvl="8" w:tentative="0">
      <w:start w:val="1"/>
      <w:numFmt w:val="lowerRoman"/>
      <w:lvlText w:val="%9."/>
      <w:lvlJc w:val="right"/>
      <w:pPr>
        <w:ind w:left="3704" w:hanging="440"/>
      </w:pPr>
    </w:lvl>
  </w:abstractNum>
  <w:abstractNum w:abstractNumId="1">
    <w:nsid w:val="6EE46474"/>
    <w:multiLevelType w:val="multilevel"/>
    <w:tmpl w:val="6EE46474"/>
    <w:lvl w:ilvl="0" w:tentative="0">
      <w:start w:val="1"/>
      <w:numFmt w:val="decimal"/>
      <w:lvlText w:val="%1"/>
      <w:lvlJc w:val="left"/>
      <w:pPr>
        <w:ind w:left="425" w:hanging="425"/>
      </w:pPr>
      <w:rPr>
        <w:rFonts w:hint="eastAsia"/>
      </w:rPr>
    </w:lvl>
    <w:lvl w:ilvl="1" w:tentative="0">
      <w:start w:val="1"/>
      <w:numFmt w:val="decimal"/>
      <w:pStyle w:val="4"/>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75436"/>
    <w:rsid w:val="029C08D4"/>
    <w:rsid w:val="035A42B0"/>
    <w:rsid w:val="0875321F"/>
    <w:rsid w:val="09642E33"/>
    <w:rsid w:val="0AAB1FDD"/>
    <w:rsid w:val="0B7B6E53"/>
    <w:rsid w:val="100D024F"/>
    <w:rsid w:val="146C6B60"/>
    <w:rsid w:val="15285D7F"/>
    <w:rsid w:val="157E6317"/>
    <w:rsid w:val="15D04D45"/>
    <w:rsid w:val="1B307278"/>
    <w:rsid w:val="1D2B42FB"/>
    <w:rsid w:val="1DF9272E"/>
    <w:rsid w:val="22AA0589"/>
    <w:rsid w:val="24050543"/>
    <w:rsid w:val="244605D8"/>
    <w:rsid w:val="26C52776"/>
    <w:rsid w:val="2DAA3F84"/>
    <w:rsid w:val="2E691D1D"/>
    <w:rsid w:val="2FB07FD7"/>
    <w:rsid w:val="3A774F92"/>
    <w:rsid w:val="3CFB52B6"/>
    <w:rsid w:val="3D6469F5"/>
    <w:rsid w:val="3DBA1AA2"/>
    <w:rsid w:val="3E5C4869"/>
    <w:rsid w:val="3FCC680A"/>
    <w:rsid w:val="41007DAA"/>
    <w:rsid w:val="45DB0FAA"/>
    <w:rsid w:val="480A63EB"/>
    <w:rsid w:val="4A2362AE"/>
    <w:rsid w:val="4AFC4A60"/>
    <w:rsid w:val="4CC21E26"/>
    <w:rsid w:val="4EFD134C"/>
    <w:rsid w:val="54E25D26"/>
    <w:rsid w:val="55CF5109"/>
    <w:rsid w:val="55ED3C3E"/>
    <w:rsid w:val="57117CB6"/>
    <w:rsid w:val="573107A3"/>
    <w:rsid w:val="578710B7"/>
    <w:rsid w:val="5AEA704B"/>
    <w:rsid w:val="5CB31D19"/>
    <w:rsid w:val="5D66061F"/>
    <w:rsid w:val="5E8720EC"/>
    <w:rsid w:val="5EE9209B"/>
    <w:rsid w:val="603C4388"/>
    <w:rsid w:val="62DD78C6"/>
    <w:rsid w:val="63DF4A20"/>
    <w:rsid w:val="684F045C"/>
    <w:rsid w:val="699E1F48"/>
    <w:rsid w:val="6C3138A4"/>
    <w:rsid w:val="6E3767B2"/>
    <w:rsid w:val="6FC06751"/>
    <w:rsid w:val="73793F12"/>
    <w:rsid w:val="769D2894"/>
    <w:rsid w:val="77DB58B6"/>
    <w:rsid w:val="794117F3"/>
    <w:rsid w:val="7C2C43E3"/>
    <w:rsid w:val="7D1F7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numPr>
        <w:ilvl w:val="0"/>
        <w:numId w:val="1"/>
      </w:numPr>
      <w:spacing w:before="120" w:after="80"/>
      <w:ind w:firstLineChars="0"/>
      <w:outlineLvl w:val="0"/>
    </w:pPr>
    <w:rPr>
      <w:rFonts w:cs="Times NR MT Pro Medium" w:asciiTheme="majorHAnsi" w:hAnsiTheme="majorHAnsi"/>
      <w:b/>
      <w:bCs/>
      <w:sz w:val="28"/>
      <w:szCs w:val="48"/>
    </w:rPr>
  </w:style>
  <w:style w:type="paragraph" w:styleId="4">
    <w:name w:val="heading 2"/>
    <w:basedOn w:val="1"/>
    <w:next w:val="1"/>
    <w:unhideWhenUsed/>
    <w:qFormat/>
    <w:uiPriority w:val="9"/>
    <w:pPr>
      <w:numPr>
        <w:ilvl w:val="1"/>
        <w:numId w:val="2"/>
      </w:numPr>
      <w:spacing w:before="80" w:after="80"/>
      <w:ind w:firstLineChars="0"/>
      <w:outlineLvl w:val="1"/>
    </w:pPr>
    <w:rPr>
      <w:rFonts w:cs="Times NR MT Pro Medium" w:asciiTheme="majorHAnsi" w:hAnsiTheme="majorHAnsi"/>
      <w:b/>
      <w:bCs/>
      <w:color w:val="000000" w:themeColor="text1"/>
      <w:sz w:val="24"/>
      <w:szCs w:val="40"/>
      <w14:textFill>
        <w14:solidFill>
          <w14:schemeClr w14:val="tx1"/>
        </w14:solidFill>
      </w14:textFill>
    </w:rPr>
  </w:style>
  <w:style w:type="paragraph" w:styleId="5">
    <w:name w:val="heading 3"/>
    <w:basedOn w:val="1"/>
    <w:next w:val="1"/>
    <w:unhideWhenUsed/>
    <w:qFormat/>
    <w:uiPriority w:val="9"/>
    <w:pPr>
      <w:spacing w:before="160" w:after="80"/>
      <w:ind w:left="737" w:firstLine="0" w:firstLineChars="0"/>
      <w:outlineLvl w:val="2"/>
    </w:pPr>
    <w:rPr>
      <w:rFonts w:cs="Times NR MT Pro Medium" w:asciiTheme="majorHAnsi" w:hAnsiTheme="majorHAnsi"/>
      <w:sz w:val="24"/>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paragraph" w:styleId="6">
    <w:name w:val="Body Text"/>
    <w:basedOn w:val="1"/>
    <w:qFormat/>
    <w:uiPriority w:val="0"/>
    <w:pPr>
      <w:spacing w:after="120"/>
    </w:pPr>
  </w:style>
  <w:style w:type="paragraph" w:styleId="7">
    <w:name w:val="Body Text Indent"/>
    <w:basedOn w:val="1"/>
    <w:qFormat/>
    <w:uiPriority w:val="0"/>
    <w:pPr>
      <w:ind w:left="420" w:leftChars="200"/>
    </w:p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nhideWhenUsed/>
    <w:qFormat/>
    <w:uiPriority w:val="39"/>
    <w:rPr>
      <w:rFonts w:ascii="Calibri" w:hAnsi="Calibri" w:eastAsia="宋体" w:cs="Times New Roman"/>
    </w:rPr>
  </w:style>
  <w:style w:type="paragraph" w:styleId="12">
    <w:name w:val="Body Text Indent 3"/>
    <w:basedOn w:val="1"/>
    <w:qFormat/>
    <w:uiPriority w:val="0"/>
    <w:pPr>
      <w:ind w:firstLine="600" w:firstLineChars="200"/>
    </w:pPr>
    <w:rPr>
      <w:color w:val="FF0000"/>
      <w:sz w:val="30"/>
      <w:szCs w:val="20"/>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6"/>
    <w:qFormat/>
    <w:uiPriority w:val="0"/>
    <w:pPr>
      <w:widowControl/>
      <w:spacing w:after="120"/>
      <w:ind w:firstLine="420" w:firstLineChars="100"/>
      <w:jc w:val="left"/>
    </w:pPr>
    <w:rPr>
      <w:rFonts w:asci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Hyperlink"/>
    <w:basedOn w:val="17"/>
    <w:unhideWhenUsed/>
    <w:qFormat/>
    <w:uiPriority w:val="99"/>
    <w:rPr>
      <w:color w:val="0000FF"/>
      <w:u w:val="single"/>
    </w:rPr>
  </w:style>
  <w:style w:type="paragraph" w:customStyle="1" w:styleId="20">
    <w:name w:val="列表段落1"/>
    <w:basedOn w:val="1"/>
    <w:qFormat/>
    <w:uiPriority w:val="0"/>
    <w:pPr>
      <w:ind w:firstLine="420" w:firstLineChars="200"/>
    </w:pPr>
  </w:style>
  <w:style w:type="character" w:customStyle="1" w:styleId="21">
    <w:name w:val="15"/>
    <w:basedOn w:val="17"/>
    <w:qFormat/>
    <w:uiPriority w:val="0"/>
    <w:rPr>
      <w:rFonts w:hint="default" w:ascii="Calibri" w:hAnsi="Calibri" w:cs="Calibri"/>
      <w:b/>
      <w:bCs/>
    </w:rPr>
  </w:style>
  <w:style w:type="paragraph" w:styleId="22">
    <w:name w:val="List Paragraph"/>
    <w:basedOn w:val="1"/>
    <w:qFormat/>
    <w:uiPriority w:val="34"/>
    <w:pPr>
      <w:ind w:left="720"/>
      <w:contextualSpacing/>
    </w:pPr>
  </w:style>
  <w:style w:type="character" w:customStyle="1" w:styleId="23">
    <w:name w:val="楷体 (中文) 楷体"/>
    <w:qFormat/>
    <w:uiPriority w:val="0"/>
    <w:rPr>
      <w:rFonts w:ascii="楷体" w:hAnsi="楷体" w:eastAsia="楷体"/>
      <w:kern w:val="1"/>
      <w:sz w:val="28"/>
    </w:rPr>
  </w:style>
  <w:style w:type="paragraph" w:customStyle="1" w:styleId="24">
    <w:name w:val="正文11"/>
    <w:basedOn w:val="1"/>
    <w:qFormat/>
    <w:uiPriority w:val="0"/>
    <w:pPr>
      <w:ind w:firstLine="560" w:firstLineChars="200"/>
    </w:pPr>
    <w:rPr>
      <w:rFonts w:ascii="宋体" w:hAnsi="宋体" w:eastAsia="宋体" w:cs="Times New Roman"/>
      <w:sz w:val="28"/>
      <w:szCs w:val="28"/>
    </w:rPr>
  </w:style>
  <w:style w:type="paragraph" w:customStyle="1" w:styleId="25">
    <w:name w:val="0正文"/>
    <w:qFormat/>
    <w:uiPriority w:val="0"/>
    <w:pPr>
      <w:spacing w:line="360" w:lineRule="exact"/>
      <w:ind w:firstLine="200" w:firstLineChars="200"/>
      <w:jc w:val="both"/>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0337915d-83b2-4123-9977-4be07fae0d4b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22E8766</paraID>
      <start>0</start>
      <end>2</end>
      <status>unmodified</status>
      <modifiedWord/>
      <trackRevisions>false</trackRevisions>
    </reviewItem>
    <reviewItem>
      <errorID>fb0c09e9-4c52-41ef-ac54-9082a0f5c706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6441606B</paraID>
      <start>0</start>
      <end>2</end>
      <status>unmodified</status>
      <modifiedWord/>
      <trackRevisions>false</trackRevisions>
    </reviewItem>
    <reviewItem>
      <errorID>39759c10-2452-449b-aa21-e81830ebe67b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3A3BF07A</paraID>
      <start>0</start>
      <end>2</end>
      <status>unmodified</status>
      <modifiedWord/>
      <trackRevisions>false</trackRevisions>
    </reviewItem>
    <reviewItem>
      <errorID>ec98493a-21a1-4e33-8bd5-2309bba44349</errorID>
      <errorWord>:</errorWord>
      <group>L1_Format</group>
      <groupName>格式问题</groupName>
      <ability>L2_HalfPunc_CN</ability>
      <abilityName>全半角问题</abilityName>
      <candidateList>
        <item>：</item>
      </candidateList>
      <explain>文本全半角错误。</explain>
      <paraID>5A9E81A4</paraID>
      <start>4</start>
      <end>5</end>
      <status>unmodified</status>
      <modifiedWord/>
      <trackRevisions>false</trackRevisions>
    </reviewItem>
    <reviewItem>
      <errorID>ba7492ae-7ed1-46f3-89d1-087fa6240b54</errorID>
      <errorWord>、等</errorWord>
      <group>L1_Punc</group>
      <groupName>标点问题</groupName>
      <ability>L2_Punc_CN</ability>
      <abilityName>标点符号问题</abilityName>
      <candidateList>
        <item>等</item>
      </candidateList>
      <explain>“及”“和”“等”连词前不宜使用顿号，建议删除（或使用逗号）。</explain>
      <paraID>6E82C362</paraID>
      <start>30</start>
      <end>32</end>
      <status>unmodified</status>
      <modifiedWord/>
      <trackRevisions>false</trackRevisions>
    </reviewItem>
    <reviewItem>
      <errorID>63171926-968f-4685-aa04-a117b8401663</errorID>
      <errorWord>、等</errorWord>
      <group>L1_Punc</group>
      <groupName>标点问题</groupName>
      <ability>L2_Punc_CN</ability>
      <abilityName>标点符号问题</abilityName>
      <candidateList>
        <item>等</item>
      </candidateList>
      <explain>“及”“和”“等”连词前不宜使用顿号，建议删除（或使用逗号）。</explain>
      <paraID>6E82C362</paraID>
      <start>40</start>
      <end>42</end>
      <status>unmodified</status>
      <modifiedWord/>
      <trackRevisions>false</trackRevisions>
    </reviewItem>
    <reviewItem>
      <errorID>cf0cbac8-c559-4e99-bde5-3e76b349b30a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38300D2D</paraID>
      <start>0</start>
      <end>2</end>
      <status>unmodified</status>
      <modifiedWord/>
      <trackRevisions>false</trackRevisions>
    </reviewItem>
    <reviewItem>
      <errorID>ddf564e0-902d-4673-bbee-b859232c7886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590EB7B8</paraID>
      <start>0</start>
      <end>2</end>
      <status>unmodified</status>
      <modifiedWord/>
      <trackRevisions>false</trackRevisions>
    </reviewItem>
    <reviewItem>
      <errorID>79ab9c73-4edb-4361-a0af-bffda118f982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117C4525</paraID>
      <start>0</start>
      <end>2</end>
      <status>unmodified</status>
      <modifiedWord/>
      <trackRevisions>false</trackRevisions>
    </reviewItem>
    <reviewItem>
      <errorID>eb9bf6a9-317a-4a6a-b61c-0dea81f3255d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123C9161</paraID>
      <start>0</start>
      <end>2</end>
      <status>unmodified</status>
      <modifiedWord/>
      <trackRevisions>false</trackRevisions>
    </reviewItem>
    <reviewItem>
      <errorID>f4210605-a880-4a21-af5c-61ae538e157f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6163A2E2</paraID>
      <start>0</start>
      <end>2</end>
      <status>unmodified</status>
      <modifiedWord/>
      <trackRevisions>false</trackRevisions>
    </reviewItem>
    <reviewItem>
      <errorID>b2a0195a-538b-4583-82ff-051d1abb0bf6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75BA9CDB</paraID>
      <start>0</start>
      <end>2</end>
      <status>unmodified</status>
      <modifiedWord/>
      <trackRevisions>false</trackRevisions>
    </reviewItem>
    <reviewItem>
      <errorID>6f753d4a-24b0-415a-b782-c6763b545ba6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1BB2A8EF</paraID>
      <start>0</start>
      <end>2</end>
      <status>unmodified</status>
      <modifiedWord/>
      <trackRevisions>false</trackRevisions>
    </reviewItem>
    <reviewItem>
      <errorID>b5d9829f-ef62-437d-8ed3-cab57a56c8f1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32423874</paraID>
      <start>0</start>
      <end>2</end>
      <status>unmodified</status>
      <modifiedWord/>
      <trackRevisions>false</trackRevisions>
    </reviewItem>
    <reviewItem>
      <errorID>b8bdb2d4-dcc2-4f5c-99b4-74f4a047cf98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47143B82</paraID>
      <start>0</start>
      <end>2</end>
      <status>unmodified</status>
      <modifiedWord/>
      <trackRevisions>false</trackRevisions>
    </reviewItem>
    <reviewItem>
      <errorID>93aec029-02d8-486d-8812-439f91b15c7d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3644FF0B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d0b713-3c79-4a80-bc3f-949e6e8be625}">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11593</Words>
  <Characters>13341</Characters>
  <Lines>0</Lines>
  <Paragraphs>0</Paragraphs>
  <TotalTime>1</TotalTime>
  <ScaleCrop>false</ScaleCrop>
  <LinksUpToDate>false</LinksUpToDate>
  <CharactersWithSpaces>13656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2025-04-03T05:09:00Z</dcterms:created>
  <dc:creator>HP</dc:creator>
  <cp:lastModifiedBy>仲杰</cp:lastModifiedBy>
  <dcterms:modified xsi:type="dcterms:W3CDTF">2026-07-26T15:57:31Z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eyJoZGlkIjoiZTQ4MzhlZGU2YmZhMGFjMjVlNGJjM2ZlYTdmZDg2NTAiLCJ1c2VySWQiOiIyOTgyOTgyOTEifQ==</vt:lpwstr>
  </property>
  <property fmtid="{D5CDD505-2E9C-101B-9397-08002B2CF9AE}" pid="4" name="ICV">
    <vt:lpwstr>2BFD31D5F3FB4B709DBC969892577809_12</vt:lpwstr>
  </property>
</Properties>
</file>