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B0" w:rsidRPr="00C007FB" w:rsidRDefault="00993212">
      <w:pPr>
        <w:snapToGrid w:val="0"/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C007FB">
        <w:rPr>
          <w:rFonts w:asciiTheme="minorEastAsia" w:hAnsiTheme="minorEastAsia" w:hint="eastAsia"/>
          <w:sz w:val="28"/>
          <w:szCs w:val="28"/>
        </w:rPr>
        <w:t>技防</w:t>
      </w:r>
      <w:r w:rsidRPr="00C007FB">
        <w:rPr>
          <w:rFonts w:asciiTheme="minorEastAsia" w:hAnsiTheme="minorEastAsia"/>
          <w:sz w:val="28"/>
          <w:szCs w:val="28"/>
        </w:rPr>
        <w:t>系统维护技术</w:t>
      </w:r>
      <w:r w:rsidRPr="00C007FB">
        <w:rPr>
          <w:rFonts w:asciiTheme="minorEastAsia" w:hAnsiTheme="minorEastAsia" w:hint="eastAsia"/>
          <w:sz w:val="28"/>
          <w:szCs w:val="28"/>
        </w:rPr>
        <w:t>服务</w:t>
      </w:r>
      <w:r w:rsidRPr="00C007FB">
        <w:rPr>
          <w:rFonts w:asciiTheme="minorEastAsia" w:hAnsiTheme="minorEastAsia"/>
          <w:sz w:val="28"/>
          <w:szCs w:val="28"/>
        </w:rPr>
        <w:t>要求</w:t>
      </w:r>
    </w:p>
    <w:p w:rsidR="002847B0" w:rsidRPr="00C007FB" w:rsidRDefault="002847B0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服务地点：上海市海港大道1550号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服务周期：自合同签订之日起一年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一．对投标人资质要求：</w:t>
      </w:r>
    </w:p>
    <w:p w:rsidR="002847B0" w:rsidRPr="00C007FB" w:rsidRDefault="00993212" w:rsidP="00FB6CCD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投标人须为中华人民共和国境内登记注册的、具有独立法人资格，营业执照、100万元及其以上注册资本，并在有效期；</w:t>
      </w:r>
    </w:p>
    <w:p w:rsidR="002847B0" w:rsidRPr="00C007FB" w:rsidRDefault="00993212" w:rsidP="00FB6CCD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具有视频监控专业施工能力，财务状况良好，信誉良好，企业及法人近3年内无不良记录，并具有类似项目业绩；</w:t>
      </w:r>
    </w:p>
    <w:p w:rsidR="002847B0" w:rsidRPr="00C007FB" w:rsidRDefault="00993212" w:rsidP="00FB6CCD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投标人指定具备针对本项目的专业服务工程师，须具有（机电类二级建造师）的执业职格。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以上要求需在投标文件中明确体现。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二．维护范围及维护要求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1.</w:t>
      </w:r>
      <w:r w:rsidRPr="00C007FB">
        <w:rPr>
          <w:rFonts w:asciiTheme="minorEastAsia" w:hAnsiTheme="minorEastAsia"/>
          <w:sz w:val="24"/>
          <w:szCs w:val="24"/>
        </w:rPr>
        <w:t>维护服务范围：</w:t>
      </w:r>
    </w:p>
    <w:p w:rsidR="002847B0" w:rsidRPr="00C007FB" w:rsidRDefault="00993212" w:rsidP="00FB6CCD">
      <w:pPr>
        <w:snapToGrid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合同期内系统总量变动不超过10%，维护服务费按合同价执行。运维服务主要范围为上海海事大学所有技防系统及其主要设备，主要设备详见下表：</w:t>
      </w:r>
    </w:p>
    <w:tbl>
      <w:tblPr>
        <w:tblW w:w="0" w:type="auto"/>
        <w:tblLook w:val="04A0"/>
      </w:tblPr>
      <w:tblGrid>
        <w:gridCol w:w="845"/>
        <w:gridCol w:w="817"/>
        <w:gridCol w:w="864"/>
        <w:gridCol w:w="863"/>
        <w:gridCol w:w="752"/>
        <w:gridCol w:w="678"/>
        <w:gridCol w:w="678"/>
        <w:gridCol w:w="752"/>
        <w:gridCol w:w="835"/>
        <w:gridCol w:w="752"/>
        <w:gridCol w:w="678"/>
        <w:gridCol w:w="752"/>
        <w:gridCol w:w="696"/>
      </w:tblGrid>
      <w:tr w:rsidR="002847B0" w:rsidRPr="00C007FB" w:rsidTr="00FB6CCD">
        <w:trPr>
          <w:trHeight w:val="14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1080P</w:t>
            </w:r>
          </w:p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枪机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720P枪机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720P半球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电梯摄像机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高清球机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人脸识别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光口交换机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电口交换机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光电转换器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sz w:val="24"/>
                <w:szCs w:val="24"/>
              </w:rPr>
              <w:t>人行闸机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0" w:rsidRPr="00C007FB" w:rsidRDefault="00993212" w:rsidP="00FB6CCD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sz w:val="24"/>
                <w:szCs w:val="24"/>
              </w:rPr>
              <w:t>机动车道闸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0" w:rsidRPr="00C007FB" w:rsidRDefault="00993212" w:rsidP="00FB6CCD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sz w:val="24"/>
                <w:szCs w:val="24"/>
              </w:rPr>
              <w:t>存储</w:t>
            </w:r>
          </w:p>
        </w:tc>
      </w:tr>
      <w:tr w:rsidR="002847B0" w:rsidRPr="00C007FB" w:rsidTr="00FB6CCD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TB</w:t>
            </w:r>
          </w:p>
        </w:tc>
      </w:tr>
      <w:tr w:rsidR="002847B0" w:rsidRPr="00C007FB" w:rsidTr="00FB6CCD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1732</w:t>
            </w:r>
          </w:p>
        </w:tc>
      </w:tr>
    </w:tbl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注：如投标人需了解系统详细分布，可在现场踏勘时提出申请</w:t>
      </w:r>
    </w:p>
    <w:p w:rsidR="002847B0" w:rsidRPr="00C007FB" w:rsidRDefault="00993212" w:rsidP="00FB6CCD">
      <w:pPr>
        <w:numPr>
          <w:ilvl w:val="0"/>
          <w:numId w:val="2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服务要求：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*该维保服务的所有流程需网络化，由投标人提供专用于本服务的线上功能，便于招标人对服务工作的监督和审核，并形成电子档案。专任服务人员每周在场服务总工时不得低于20个小时。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2.1*定期巡检：投标人</w:t>
      </w:r>
      <w:r w:rsidRPr="00C007FB">
        <w:rPr>
          <w:rFonts w:asciiTheme="minorEastAsia" w:hAnsiTheme="minorEastAsia"/>
          <w:sz w:val="24"/>
          <w:szCs w:val="24"/>
        </w:rPr>
        <w:t>每</w:t>
      </w:r>
      <w:r w:rsidRPr="00C007FB">
        <w:rPr>
          <w:rFonts w:asciiTheme="minorEastAsia" w:hAnsiTheme="minorEastAsia" w:hint="eastAsia"/>
          <w:sz w:val="24"/>
          <w:szCs w:val="24"/>
        </w:rPr>
        <w:t>周开展不少于1</w:t>
      </w:r>
      <w:r w:rsidRPr="00C007FB">
        <w:rPr>
          <w:rFonts w:asciiTheme="minorEastAsia" w:hAnsiTheme="minorEastAsia"/>
          <w:sz w:val="24"/>
          <w:szCs w:val="24"/>
        </w:rPr>
        <w:t>次的定期巡检服务</w:t>
      </w:r>
      <w:r w:rsidRPr="00C007FB">
        <w:rPr>
          <w:rFonts w:asciiTheme="minorEastAsia" w:hAnsiTheme="minorEastAsia" w:hint="eastAsia"/>
          <w:sz w:val="24"/>
          <w:szCs w:val="24"/>
        </w:rPr>
        <w:t>，并出具巡检报告，巡检内容包括：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2.1.1检查系统及网络设备的整体运行情况，是否有故障；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2.1.2摄像机工作状态，包括是否有掉线、是否正常录像；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lastRenderedPageBreak/>
        <w:t>2.1.3监控图像质量，摄像机是否有遮挡、白天/夜间视频资料的清晰度情况、实况中摄像机有效画面的质量（清晰度）情况；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2.1.4存储状态：包括存储设备的运行情况，存储空间和剩余存储空间量的统计记录；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2.1.5根据巡查情况，向发标人提供系统维护、维修的专业建议；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2.1.6 对发标人技防监控中心工作人员开展系统管理轮训服务。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2.2*维修服务：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2.2.1 免费提供维护范围内设备参数配置调整（不含交换机配置）、更换（配件由招标人提供）、断电、断网，监控摄像机镜头清洁，画面调整（不包含移位）等仅需人工和弱电耗材投入的维修服务；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2.2.2 专任服务人员不在现场工作期间，必须提供7*24小时专人专线，对维修响应时间的要求：接到招标人故障通知之时起30分钟内到达现场开展检查，一般故障的维修应在2个自然日内完成，复杂维修须在现场查看故障后1个自然日内向发标人提供维修建议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2.2.3投标人须在招标人监控中心配备常用备件、耗材及工具，并妥善管理，如下表：</w:t>
      </w:r>
    </w:p>
    <w:tbl>
      <w:tblPr>
        <w:tblW w:w="5000" w:type="pct"/>
        <w:jc w:val="center"/>
        <w:tblLook w:val="04A0"/>
      </w:tblPr>
      <w:tblGrid>
        <w:gridCol w:w="904"/>
        <w:gridCol w:w="2521"/>
        <w:gridCol w:w="1803"/>
        <w:gridCol w:w="2636"/>
        <w:gridCol w:w="1108"/>
        <w:gridCol w:w="990"/>
      </w:tblGrid>
      <w:tr w:rsidR="002847B0" w:rsidRPr="00C007FB" w:rsidTr="00FB6CCD">
        <w:trPr>
          <w:trHeight w:val="289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品牌要求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2847B0" w:rsidRPr="00C007FB" w:rsidTr="00FB6CCD">
        <w:trPr>
          <w:trHeight w:val="288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监控机硬盘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监控级4TB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希捷及同等品牌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2847B0" w:rsidRPr="00C007FB" w:rsidTr="00FB6CCD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半球摄像机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720P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宇视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2847B0" w:rsidRPr="00C007FB" w:rsidTr="00FB6CCD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室外枪式摄像机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108</w:t>
            </w:r>
            <w:r w:rsidRPr="00C007FB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宇视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2847B0" w:rsidRPr="00C007FB" w:rsidTr="00FB6CCD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护罩+支架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室外型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宇视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2847B0" w:rsidRPr="00C007FB" w:rsidTr="00FB6CCD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6类室外线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国内知名品牌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</w:tr>
      <w:tr w:rsidR="002847B0" w:rsidRPr="00C007FB" w:rsidTr="00FB6CCD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带滑轮式云梯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高度≥6米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0" w:rsidRPr="00C007FB" w:rsidRDefault="00993212" w:rsidP="00FB6CC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7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架</w:t>
            </w:r>
          </w:p>
        </w:tc>
      </w:tr>
    </w:tbl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3.其他要求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3.1提供系统设备生产方开展软件升级、系统诊断等工作配合支持；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3.2协助投标人系统扩展、增补、调整等工作的技术支持；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3.3指定专任服务人员发生调动时，须提前5个工作日，以书面形式通知招标人；</w:t>
      </w:r>
    </w:p>
    <w:p w:rsidR="002847B0" w:rsidRPr="00C007FB" w:rsidRDefault="00993212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C007FB">
        <w:rPr>
          <w:rFonts w:asciiTheme="minorEastAsia" w:hAnsiTheme="minorEastAsia" w:hint="eastAsia"/>
          <w:sz w:val="24"/>
          <w:szCs w:val="24"/>
        </w:rPr>
        <w:t>3.4做好各项服务的网络流程台账，作为服务考核的支撑材料。</w:t>
      </w:r>
    </w:p>
    <w:p w:rsidR="002847B0" w:rsidRPr="00FB6CCD" w:rsidRDefault="008877E3" w:rsidP="00FB6CC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007FB">
        <w:rPr>
          <w:rFonts w:asciiTheme="minorEastAsia" w:hAnsiTheme="minorEastAsia" w:hint="eastAsia"/>
          <w:sz w:val="24"/>
          <w:szCs w:val="24"/>
        </w:rPr>
        <w:t>3.5网线等耗材类设备免费提供。</w:t>
      </w:r>
    </w:p>
    <w:sectPr w:rsidR="002847B0" w:rsidRPr="00FB6CCD" w:rsidSect="00FB6CC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E2A" w:rsidRDefault="00D66E2A" w:rsidP="00FB6CCD">
      <w:r>
        <w:separator/>
      </w:r>
    </w:p>
  </w:endnote>
  <w:endnote w:type="continuationSeparator" w:id="1">
    <w:p w:rsidR="00D66E2A" w:rsidRDefault="00D66E2A" w:rsidP="00FB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E2A" w:rsidRDefault="00D66E2A" w:rsidP="00FB6CCD">
      <w:r>
        <w:separator/>
      </w:r>
    </w:p>
  </w:footnote>
  <w:footnote w:type="continuationSeparator" w:id="1">
    <w:p w:rsidR="00D66E2A" w:rsidRDefault="00D66E2A" w:rsidP="00FB6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7F765E"/>
    <w:multiLevelType w:val="singleLevel"/>
    <w:tmpl w:val="A07F76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93DF5"/>
    <w:multiLevelType w:val="singleLevel"/>
    <w:tmpl w:val="6A693DF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ABA"/>
    <w:rsid w:val="000A19FA"/>
    <w:rsid w:val="00196C3E"/>
    <w:rsid w:val="00252ABA"/>
    <w:rsid w:val="00257F82"/>
    <w:rsid w:val="00274273"/>
    <w:rsid w:val="002847B0"/>
    <w:rsid w:val="00383CD5"/>
    <w:rsid w:val="003F3B0E"/>
    <w:rsid w:val="004E0C80"/>
    <w:rsid w:val="005C430E"/>
    <w:rsid w:val="006016CB"/>
    <w:rsid w:val="00673DFF"/>
    <w:rsid w:val="00725DB2"/>
    <w:rsid w:val="00754B6F"/>
    <w:rsid w:val="007A4C84"/>
    <w:rsid w:val="007B6DFB"/>
    <w:rsid w:val="00803A7A"/>
    <w:rsid w:val="008877E3"/>
    <w:rsid w:val="009822EC"/>
    <w:rsid w:val="00993212"/>
    <w:rsid w:val="00A50CA9"/>
    <w:rsid w:val="00A61202"/>
    <w:rsid w:val="00AD7C2E"/>
    <w:rsid w:val="00B0624F"/>
    <w:rsid w:val="00BF717A"/>
    <w:rsid w:val="00C007FB"/>
    <w:rsid w:val="00C2193D"/>
    <w:rsid w:val="00CC2EA7"/>
    <w:rsid w:val="00CD20B9"/>
    <w:rsid w:val="00CE0F81"/>
    <w:rsid w:val="00D20536"/>
    <w:rsid w:val="00D66E2A"/>
    <w:rsid w:val="00D83EBE"/>
    <w:rsid w:val="00E13418"/>
    <w:rsid w:val="00ED452B"/>
    <w:rsid w:val="00F231E8"/>
    <w:rsid w:val="00F30B87"/>
    <w:rsid w:val="00FB6CCD"/>
    <w:rsid w:val="01D7567A"/>
    <w:rsid w:val="02BF4FB8"/>
    <w:rsid w:val="02EB13C6"/>
    <w:rsid w:val="03706DB9"/>
    <w:rsid w:val="05AF4D56"/>
    <w:rsid w:val="06304015"/>
    <w:rsid w:val="08917C68"/>
    <w:rsid w:val="0A825EC6"/>
    <w:rsid w:val="0AA249C5"/>
    <w:rsid w:val="0CB009AB"/>
    <w:rsid w:val="0D9D7431"/>
    <w:rsid w:val="0DB07814"/>
    <w:rsid w:val="0E3C6634"/>
    <w:rsid w:val="0F4D7E34"/>
    <w:rsid w:val="0FC378F2"/>
    <w:rsid w:val="10E75DEA"/>
    <w:rsid w:val="11FA215B"/>
    <w:rsid w:val="12AC6C8E"/>
    <w:rsid w:val="139218EE"/>
    <w:rsid w:val="151C4B4A"/>
    <w:rsid w:val="15986515"/>
    <w:rsid w:val="159D39C6"/>
    <w:rsid w:val="159E4B66"/>
    <w:rsid w:val="15A43493"/>
    <w:rsid w:val="1AE40B2B"/>
    <w:rsid w:val="1F3B15D3"/>
    <w:rsid w:val="206C571C"/>
    <w:rsid w:val="20F564F5"/>
    <w:rsid w:val="21441BA7"/>
    <w:rsid w:val="21F140E5"/>
    <w:rsid w:val="229A2EC2"/>
    <w:rsid w:val="232F27D2"/>
    <w:rsid w:val="237511A7"/>
    <w:rsid w:val="25154B02"/>
    <w:rsid w:val="277131CC"/>
    <w:rsid w:val="29657EC8"/>
    <w:rsid w:val="2A244237"/>
    <w:rsid w:val="2AEB400D"/>
    <w:rsid w:val="2D6018D1"/>
    <w:rsid w:val="2DC263FE"/>
    <w:rsid w:val="2FC956EF"/>
    <w:rsid w:val="31E55540"/>
    <w:rsid w:val="33656392"/>
    <w:rsid w:val="35957F69"/>
    <w:rsid w:val="35F87E53"/>
    <w:rsid w:val="37E61673"/>
    <w:rsid w:val="383F76EC"/>
    <w:rsid w:val="389D7BF3"/>
    <w:rsid w:val="3977366F"/>
    <w:rsid w:val="3BFF39D2"/>
    <w:rsid w:val="3C05260A"/>
    <w:rsid w:val="3C197573"/>
    <w:rsid w:val="3C330962"/>
    <w:rsid w:val="3DF71B38"/>
    <w:rsid w:val="3EE320EF"/>
    <w:rsid w:val="3F320968"/>
    <w:rsid w:val="3F853AD7"/>
    <w:rsid w:val="3FB92F2F"/>
    <w:rsid w:val="40A16C1C"/>
    <w:rsid w:val="427F3BCA"/>
    <w:rsid w:val="42AE7566"/>
    <w:rsid w:val="43BE319E"/>
    <w:rsid w:val="43D25540"/>
    <w:rsid w:val="44A21559"/>
    <w:rsid w:val="45697960"/>
    <w:rsid w:val="476B30F1"/>
    <w:rsid w:val="479D24D5"/>
    <w:rsid w:val="492C5DC7"/>
    <w:rsid w:val="49EC4F72"/>
    <w:rsid w:val="4BB24CC3"/>
    <w:rsid w:val="4C1C1410"/>
    <w:rsid w:val="4D303455"/>
    <w:rsid w:val="4FB13CE6"/>
    <w:rsid w:val="5064711A"/>
    <w:rsid w:val="515E12FF"/>
    <w:rsid w:val="51653B71"/>
    <w:rsid w:val="5282034B"/>
    <w:rsid w:val="54DD40BF"/>
    <w:rsid w:val="55102D17"/>
    <w:rsid w:val="5607590A"/>
    <w:rsid w:val="569C641B"/>
    <w:rsid w:val="5BCB09ED"/>
    <w:rsid w:val="5E4B05B5"/>
    <w:rsid w:val="5F0128C5"/>
    <w:rsid w:val="5F4B0F77"/>
    <w:rsid w:val="5F4D54A9"/>
    <w:rsid w:val="606B6D91"/>
    <w:rsid w:val="61692735"/>
    <w:rsid w:val="64DC6847"/>
    <w:rsid w:val="661A3FC6"/>
    <w:rsid w:val="698A6235"/>
    <w:rsid w:val="6F5523C2"/>
    <w:rsid w:val="70890B19"/>
    <w:rsid w:val="73207947"/>
    <w:rsid w:val="73657A1C"/>
    <w:rsid w:val="75212902"/>
    <w:rsid w:val="762469E2"/>
    <w:rsid w:val="774C4F0D"/>
    <w:rsid w:val="793724AF"/>
    <w:rsid w:val="79847A15"/>
    <w:rsid w:val="7A3B508C"/>
    <w:rsid w:val="7A9F1107"/>
    <w:rsid w:val="7AD60F61"/>
    <w:rsid w:val="7C016282"/>
    <w:rsid w:val="7C48277D"/>
    <w:rsid w:val="7DEB1EA8"/>
    <w:rsid w:val="7E91067B"/>
    <w:rsid w:val="7FF4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8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847B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2847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4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FZ</cp:lastModifiedBy>
  <cp:revision>14</cp:revision>
  <cp:lastPrinted>2019-07-01T09:25:00Z</cp:lastPrinted>
  <dcterms:created xsi:type="dcterms:W3CDTF">2019-05-07T13:27:00Z</dcterms:created>
  <dcterms:modified xsi:type="dcterms:W3CDTF">2019-07-02T08:28:00Z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