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数据驱动的孪生车间工艺流程可视化模块</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HFBX2026102</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二〇二六年十月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HFBX2026102</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数据驱动的孪生车间工艺流程可视化模块</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27.55</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旨在面向大型船舶关键设备及工艺流程，开展大型LNG船舶制造车间数据分析及孪生系统开发。拟采用包括数据分析模块、孪生系统可视化管控基础平台在内的运行和监控模块，实现现场生产数据与虚拟场景和过程的工艺流程可视化。</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w:t>
      </w:r>
      <w:r>
        <w:rPr>
          <w:rFonts w:hint="eastAsia" w:ascii="方正兰亭黑简体" w:hAnsi="方正兰亭黑简体" w:eastAsia="方正兰亭黑简体" w:cs="方正兰亭黑简体"/>
          <w:color w:val="auto"/>
          <w:sz w:val="22"/>
          <w:szCs w:val="28"/>
          <w:highlight w:val="none"/>
          <w:lang w:val="en-US" w:eastAsia="zh-CN"/>
        </w:rPr>
        <w:t>上海市海港大道1550号。</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en-US" w:eastAsia="zh-CN"/>
        </w:rPr>
        <w:t>合同签订后10个工作日交付，达到验收条件。</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质保服务：</w:t>
      </w:r>
      <w:r>
        <w:rPr>
          <w:rFonts w:hint="eastAsia" w:ascii="方正兰亭黑简体" w:hAnsi="方正兰亭黑简体" w:eastAsia="方正兰亭黑简体" w:cs="方正兰亭黑简体"/>
          <w:color w:val="auto"/>
          <w:sz w:val="22"/>
          <w:szCs w:val="28"/>
          <w:highlight w:val="none"/>
          <w:lang w:val="en-US" w:eastAsia="zh-CN"/>
        </w:rPr>
        <w:t>应</w:t>
      </w:r>
      <w:r>
        <w:rPr>
          <w:rFonts w:hint="eastAsia" w:ascii="方正兰亭黑简体" w:hAnsi="方正兰亭黑简体" w:eastAsia="方正兰亭黑简体" w:cs="方正兰亭黑简体"/>
          <w:color w:val="auto"/>
          <w:sz w:val="22"/>
          <w:szCs w:val="28"/>
          <w:highlight w:val="none"/>
          <w:lang w:val="zh-CN" w:eastAsia="zh-CN"/>
        </w:rPr>
        <w:t>提供</w:t>
      </w:r>
      <w:r>
        <w:rPr>
          <w:rFonts w:hint="eastAsia" w:ascii="方正兰亭黑简体" w:hAnsi="方正兰亭黑简体" w:eastAsia="方正兰亭黑简体" w:cs="方正兰亭黑简体"/>
          <w:color w:val="auto"/>
          <w:sz w:val="22"/>
          <w:szCs w:val="28"/>
          <w:highlight w:val="none"/>
          <w:lang w:val="en-US" w:eastAsia="zh-CN"/>
        </w:rPr>
        <w:t>不少于2年的</w:t>
      </w:r>
      <w:r>
        <w:rPr>
          <w:rFonts w:hint="eastAsia" w:ascii="方正兰亭黑简体" w:hAnsi="方正兰亭黑简体" w:eastAsia="方正兰亭黑简体" w:cs="方正兰亭黑简体"/>
          <w:color w:val="auto"/>
          <w:sz w:val="22"/>
          <w:szCs w:val="28"/>
          <w:highlight w:val="none"/>
          <w:lang w:val="zh-CN" w:eastAsia="zh-CN"/>
        </w:rPr>
        <w:t>售后</w:t>
      </w:r>
      <w:r>
        <w:rPr>
          <w:rFonts w:hint="eastAsia" w:ascii="方正兰亭黑简体" w:hAnsi="方正兰亭黑简体" w:eastAsia="方正兰亭黑简体" w:cs="方正兰亭黑简体"/>
          <w:color w:val="auto"/>
          <w:sz w:val="22"/>
          <w:szCs w:val="28"/>
          <w:highlight w:val="none"/>
          <w:lang w:val="en-US" w:eastAsia="zh-CN"/>
        </w:rPr>
        <w:t>质保</w:t>
      </w:r>
      <w:r>
        <w:rPr>
          <w:rFonts w:hint="eastAsia" w:ascii="方正兰亭黑简体" w:hAnsi="方正兰亭黑简体" w:eastAsia="方正兰亭黑简体" w:cs="方正兰亭黑简体"/>
          <w:color w:val="auto"/>
          <w:sz w:val="22"/>
          <w:szCs w:val="28"/>
          <w:highlight w:val="none"/>
          <w:lang w:val="zh-CN" w:eastAsia="zh-CN"/>
        </w:rPr>
        <w:t>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项目完成</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21</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周三</w:t>
      </w:r>
      <w:bookmarkStart w:id="7" w:name="_GoBack"/>
      <w:bookmarkEnd w:id="7"/>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周老师021-38283861</w:t>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5EED246E">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一、项目概况</w:t>
      </w:r>
    </w:p>
    <w:p w14:paraId="419FA184">
      <w:pPr>
        <w:ind w:firstLine="440" w:firstLineChars="20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本项目旨在面向大型船舶关键设备及工艺流程，开展大型LNG船舶制造车间数据分析及孪生系统开发。拟采用包括数据分析模块、孪生系统可视化管控基础平台在内的运行和监控模块，实现现场生产数据与虚拟场景和过程的工艺流程可视化。</w:t>
      </w:r>
    </w:p>
    <w:p w14:paraId="26715D00">
      <w:pPr>
        <w:spacing w:line="360" w:lineRule="auto"/>
        <w:rPr>
          <w:rFonts w:hint="eastAsia" w:ascii="Times New Roman" w:hAnsi="Times New Roman" w:eastAsia="方正兰亭黑简体" w:cs="Times New Roman"/>
          <w:b/>
          <w:bCs/>
          <w:color w:val="auto"/>
          <w:sz w:val="22"/>
          <w:szCs w:val="22"/>
          <w:highlight w:val="none"/>
          <w:lang w:val="en-US" w:eastAsia="zh-CN"/>
        </w:rPr>
      </w:pPr>
    </w:p>
    <w:p w14:paraId="7DE6D34A">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二、采购内容清单</w:t>
      </w:r>
    </w:p>
    <w:tbl>
      <w:tblPr>
        <w:tblStyle w:val="1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4364"/>
        <w:gridCol w:w="1051"/>
        <w:gridCol w:w="987"/>
        <w:gridCol w:w="2692"/>
      </w:tblGrid>
      <w:tr w14:paraId="406D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8" w:type="pct"/>
            <w:vAlign w:val="center"/>
          </w:tcPr>
          <w:p w14:paraId="5D428B95">
            <w:pPr>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序号</w:t>
            </w:r>
          </w:p>
        </w:tc>
        <w:tc>
          <w:tcPr>
            <w:tcW w:w="2193" w:type="pct"/>
            <w:vAlign w:val="center"/>
          </w:tcPr>
          <w:p w14:paraId="456BD6B7">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名称</w:t>
            </w:r>
          </w:p>
        </w:tc>
        <w:tc>
          <w:tcPr>
            <w:tcW w:w="528" w:type="pct"/>
            <w:vAlign w:val="center"/>
          </w:tcPr>
          <w:p w14:paraId="6ED14477">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单位</w:t>
            </w:r>
          </w:p>
        </w:tc>
        <w:tc>
          <w:tcPr>
            <w:tcW w:w="496" w:type="pct"/>
            <w:vAlign w:val="center"/>
          </w:tcPr>
          <w:p w14:paraId="4E6F6DC8">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数量</w:t>
            </w:r>
          </w:p>
        </w:tc>
        <w:tc>
          <w:tcPr>
            <w:tcW w:w="1353" w:type="pct"/>
            <w:vAlign w:val="center"/>
          </w:tcPr>
          <w:p w14:paraId="60E474A5">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主要规格</w:t>
            </w:r>
          </w:p>
        </w:tc>
      </w:tr>
      <w:tr w14:paraId="750A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8" w:type="pct"/>
            <w:vAlign w:val="center"/>
          </w:tcPr>
          <w:p w14:paraId="620250BF">
            <w:pPr>
              <w:spacing w:line="360" w:lineRule="auto"/>
              <w:jc w:val="center"/>
              <w:rPr>
                <w:rFonts w:hint="default" w:ascii="Times New Roman" w:hAnsi="Times New Roman" w:eastAsia="方正兰亭黑简体" w:cs="Times New Roman"/>
                <w:bCs/>
                <w:color w:val="auto"/>
                <w:sz w:val="22"/>
                <w:szCs w:val="22"/>
                <w:highlight w:val="none"/>
              </w:rPr>
            </w:pPr>
            <w:r>
              <w:rPr>
                <w:rFonts w:hint="default" w:ascii="Times New Roman" w:hAnsi="Times New Roman" w:eastAsia="方正兰亭黑简体" w:cs="Times New Roman"/>
                <w:bCs/>
                <w:color w:val="auto"/>
                <w:sz w:val="22"/>
                <w:szCs w:val="22"/>
                <w:highlight w:val="none"/>
              </w:rPr>
              <w:t>1</w:t>
            </w:r>
          </w:p>
        </w:tc>
        <w:tc>
          <w:tcPr>
            <w:tcW w:w="2193" w:type="pct"/>
            <w:vAlign w:val="center"/>
          </w:tcPr>
          <w:p w14:paraId="28C030EA">
            <w:pPr>
              <w:widowControl/>
              <w:spacing w:line="360" w:lineRule="auto"/>
              <w:jc w:val="center"/>
              <w:rPr>
                <w:rFonts w:hint="default" w:ascii="Times New Roman" w:hAnsi="Times New Roman" w:eastAsia="方正兰亭黑简体" w:cs="Times New Roman"/>
                <w:bCs/>
                <w:color w:val="auto"/>
                <w:sz w:val="22"/>
                <w:szCs w:val="22"/>
                <w:highlight w:val="none"/>
              </w:rPr>
            </w:pPr>
            <w:r>
              <w:rPr>
                <w:rFonts w:hint="default" w:ascii="Times New Roman" w:hAnsi="Times New Roman" w:eastAsia="方正兰亭黑简体" w:cs="Times New Roman"/>
                <w:bCs/>
                <w:color w:val="auto"/>
                <w:sz w:val="22"/>
                <w:szCs w:val="22"/>
                <w:highlight w:val="none"/>
              </w:rPr>
              <w:t>数据驱动的孪生车间工艺流程可视化模块</w:t>
            </w:r>
          </w:p>
        </w:tc>
        <w:tc>
          <w:tcPr>
            <w:tcW w:w="528" w:type="pct"/>
            <w:vAlign w:val="center"/>
          </w:tcPr>
          <w:p w14:paraId="632C0234">
            <w:pPr>
              <w:widowControl/>
              <w:spacing w:line="360" w:lineRule="auto"/>
              <w:jc w:val="center"/>
              <w:rPr>
                <w:rFonts w:hint="default" w:ascii="Times New Roman" w:hAnsi="Times New Roman" w:eastAsia="方正兰亭黑简体" w:cs="Times New Roman"/>
                <w:bCs/>
                <w:color w:val="auto"/>
                <w:sz w:val="22"/>
                <w:szCs w:val="22"/>
                <w:highlight w:val="none"/>
              </w:rPr>
            </w:pPr>
            <w:r>
              <w:rPr>
                <w:rFonts w:hint="default" w:ascii="Times New Roman" w:hAnsi="Times New Roman" w:eastAsia="方正兰亭黑简体" w:cs="Times New Roman"/>
                <w:bCs/>
                <w:color w:val="auto"/>
                <w:sz w:val="22"/>
                <w:szCs w:val="22"/>
                <w:highlight w:val="none"/>
              </w:rPr>
              <w:t>1</w:t>
            </w:r>
          </w:p>
        </w:tc>
        <w:tc>
          <w:tcPr>
            <w:tcW w:w="496" w:type="pct"/>
            <w:vAlign w:val="center"/>
          </w:tcPr>
          <w:p w14:paraId="2ED59A71">
            <w:pPr>
              <w:widowControl/>
              <w:spacing w:line="360" w:lineRule="auto"/>
              <w:jc w:val="center"/>
              <w:rPr>
                <w:rFonts w:hint="default" w:ascii="Times New Roman" w:hAnsi="Times New Roman" w:eastAsia="方正兰亭黑简体" w:cs="Times New Roman"/>
                <w:bCs/>
                <w:color w:val="auto"/>
                <w:sz w:val="22"/>
                <w:szCs w:val="22"/>
                <w:highlight w:val="none"/>
              </w:rPr>
            </w:pPr>
            <w:r>
              <w:rPr>
                <w:rFonts w:hint="default" w:ascii="Times New Roman" w:hAnsi="Times New Roman" w:eastAsia="方正兰亭黑简体" w:cs="Times New Roman"/>
                <w:bCs/>
                <w:color w:val="auto"/>
                <w:sz w:val="22"/>
                <w:szCs w:val="22"/>
                <w:highlight w:val="none"/>
              </w:rPr>
              <w:t>1</w:t>
            </w:r>
          </w:p>
        </w:tc>
        <w:tc>
          <w:tcPr>
            <w:tcW w:w="1353" w:type="pct"/>
            <w:vAlign w:val="center"/>
          </w:tcPr>
          <w:p w14:paraId="3E0C3AF1">
            <w:pPr>
              <w:widowControl/>
              <w:spacing w:line="360" w:lineRule="auto"/>
              <w:jc w:val="center"/>
              <w:rPr>
                <w:rFonts w:hint="default" w:ascii="Times New Roman" w:hAnsi="Times New Roman" w:eastAsia="方正兰亭黑简体" w:cs="Times New Roman"/>
                <w:bCs/>
                <w:color w:val="auto"/>
                <w:sz w:val="22"/>
                <w:szCs w:val="22"/>
                <w:highlight w:val="none"/>
              </w:rPr>
            </w:pPr>
            <w:r>
              <w:rPr>
                <w:rFonts w:hint="default" w:ascii="Times New Roman" w:hAnsi="Times New Roman" w:eastAsia="方正兰亭黑简体" w:cs="Times New Roman"/>
                <w:bCs/>
                <w:color w:val="auto"/>
                <w:sz w:val="22"/>
                <w:szCs w:val="22"/>
                <w:highlight w:val="none"/>
              </w:rPr>
              <w:t>详见技术要求</w:t>
            </w:r>
          </w:p>
        </w:tc>
      </w:tr>
    </w:tbl>
    <w:p w14:paraId="69F11664">
      <w:pPr>
        <w:widowControl/>
        <w:shd w:val="clear" w:color="auto" w:fill="FFFFFF"/>
        <w:spacing w:line="360" w:lineRule="auto"/>
        <w:jc w:val="left"/>
        <w:rPr>
          <w:rFonts w:hint="eastAsia" w:ascii="Times New Roman" w:hAnsi="Times New Roman" w:eastAsia="方正兰亭黑简体" w:cs="Times New Roman"/>
          <w:b/>
          <w:bCs/>
          <w:color w:val="auto"/>
          <w:kern w:val="2"/>
          <w:sz w:val="22"/>
          <w:szCs w:val="22"/>
          <w:highlight w:val="none"/>
          <w:lang w:val="en-US" w:eastAsia="zh-CN" w:bidi="ar-SA"/>
        </w:rPr>
      </w:pPr>
    </w:p>
    <w:p w14:paraId="034069BF">
      <w:pPr>
        <w:widowControl/>
        <w:shd w:val="clear" w:color="auto" w:fill="FFFFFF"/>
        <w:spacing w:line="360" w:lineRule="auto"/>
        <w:jc w:val="left"/>
        <w:rPr>
          <w:rFonts w:hint="eastAsia" w:ascii="Times New Roman" w:hAnsi="Times New Roman" w:eastAsia="方正兰亭黑简体" w:cs="Times New Roman"/>
          <w:b/>
          <w:bCs/>
          <w:color w:val="auto"/>
          <w:kern w:val="2"/>
          <w:sz w:val="22"/>
          <w:szCs w:val="22"/>
          <w:highlight w:val="none"/>
          <w:lang w:val="en-US" w:eastAsia="zh-CN" w:bidi="ar-SA"/>
        </w:rPr>
      </w:pPr>
      <w:r>
        <w:rPr>
          <w:rFonts w:hint="eastAsia" w:ascii="Times New Roman" w:hAnsi="Times New Roman" w:eastAsia="方正兰亭黑简体" w:cs="Times New Roman"/>
          <w:b/>
          <w:bCs/>
          <w:color w:val="auto"/>
          <w:sz w:val="22"/>
          <w:szCs w:val="22"/>
          <w:highlight w:val="none"/>
          <w:lang w:val="en-US" w:eastAsia="zh-CN"/>
        </w:rPr>
        <w:t>三、技术需求</w:t>
      </w:r>
    </w:p>
    <w:p w14:paraId="06BD8A4A">
      <w:pPr>
        <w:spacing w:line="360" w:lineRule="auto"/>
        <w:ind w:left="0" w:leftChars="0" w:firstLine="440" w:firstLineChars="200"/>
        <w:rPr>
          <w:rFonts w:hint="default" w:ascii="Times New Roman" w:hAnsi="Times New Roman" w:eastAsia="方正兰亭黑简体" w:cs="Times New Roman"/>
          <w:color w:val="auto"/>
          <w:sz w:val="22"/>
          <w:szCs w:val="22"/>
          <w:highlight w:val="none"/>
        </w:rPr>
      </w:pPr>
      <w:bookmarkStart w:id="4" w:name="OLE_LINK5"/>
      <w:bookmarkStart w:id="5" w:name="OLE_LINK6"/>
      <w:bookmarkStart w:id="6" w:name="OLE_LINK4"/>
      <w:r>
        <w:rPr>
          <w:rFonts w:hint="default" w:ascii="Times New Roman" w:hAnsi="Times New Roman" w:eastAsia="方正兰亭黑简体" w:cs="Times New Roman"/>
          <w:color w:val="auto"/>
          <w:sz w:val="22"/>
          <w:szCs w:val="22"/>
          <w:highlight w:val="none"/>
        </w:rPr>
        <w:t>系统开发需要支持基于Unity3D 引擎（2022.3 LTS导出的数据格式）及3ds Max 建模工具（2024及以上版本导出的数据格式），在招标人提供的高性能工作站等硬件设备上流畅运行，最终实现船舶核心数字孪生系统的高保真可视化、实时数据驱动与交互式模拟。</w:t>
      </w:r>
    </w:p>
    <w:bookmarkEnd w:id="4"/>
    <w:bookmarkEnd w:id="5"/>
    <w:p w14:paraId="1AD4A8D1">
      <w:pPr>
        <w:spacing w:line="360" w:lineRule="auto"/>
        <w:ind w:left="0" w:leftChars="0" w:firstLine="0" w:firstLineChars="0"/>
        <w:rPr>
          <w:rFonts w:hint="default" w:ascii="Times New Roman" w:hAnsi="Times New Roman" w:eastAsia="方正兰亭黑简体" w:cs="Times New Roman"/>
          <w:b/>
          <w:color w:val="auto"/>
          <w:sz w:val="22"/>
          <w:szCs w:val="22"/>
          <w:highlight w:val="none"/>
        </w:rPr>
      </w:pPr>
      <w:r>
        <w:rPr>
          <w:rFonts w:hint="default" w:ascii="Times New Roman" w:hAnsi="Times New Roman" w:eastAsia="方正兰亭黑简体" w:cs="Times New Roman"/>
          <w:b/>
          <w:color w:val="auto"/>
          <w:sz w:val="22"/>
          <w:szCs w:val="22"/>
          <w:highlight w:val="none"/>
        </w:rPr>
        <w:t>（一）数据分析模块</w:t>
      </w:r>
    </w:p>
    <w:p w14:paraId="0CE271FF">
      <w:pPr>
        <w:spacing w:line="360" w:lineRule="auto"/>
        <w:ind w:left="0" w:leftChars="0" w:firstLine="440" w:firstLineChars="20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本模块针对大型LNG船舶制造车间的各类设备数据进行系统化的统计与深度分析，通过对设备运行状态实施实时监控，并对设备稼动率、开机率等关键指标进行准确核算与综合评估，从而有效掌握车间设备资源的使用效率与运行效能，为生产管理决策提供坚实、可靠的数据支撑。</w:t>
      </w:r>
    </w:p>
    <w:p w14:paraId="5D0BF815">
      <w:p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1.1设备状态监控</w:t>
      </w:r>
    </w:p>
    <w:p w14:paraId="2B4BC76C">
      <w:p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对设备数据进行统计分析，通过设备绩效看板、车间设备布局看板、统计分析报表，实现设备数据可视化，提升管理人员对车间设备信息设备运行状态、产量、设备运行绩效的实时监控能力，以及发现设备运行异常的能力。</w:t>
      </w:r>
    </w:p>
    <w:p w14:paraId="0A3018C9">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1.</w:t>
      </w:r>
      <w:r>
        <w:rPr>
          <w:rFonts w:hint="default" w:ascii="Times New Roman" w:hAnsi="Times New Roman" w:eastAsia="方正兰亭黑简体" w:cs="Times New Roman"/>
          <w:color w:val="auto"/>
          <w:sz w:val="22"/>
          <w:szCs w:val="22"/>
          <w:highlight w:val="none"/>
        </w:rPr>
        <w:t>★展示厂内的设备信息，生产信息以及设备的详细状态信息。</w:t>
      </w:r>
    </w:p>
    <w:p w14:paraId="1331F64C">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2.</w:t>
      </w:r>
      <w:r>
        <w:rPr>
          <w:rFonts w:hint="default" w:ascii="Times New Roman" w:hAnsi="Times New Roman" w:eastAsia="方正兰亭黑简体" w:cs="Times New Roman"/>
          <w:color w:val="auto"/>
          <w:sz w:val="22"/>
          <w:szCs w:val="22"/>
          <w:highlight w:val="none"/>
        </w:rPr>
        <w:t>★统计设备自动报工明细信息。</w:t>
      </w:r>
    </w:p>
    <w:p w14:paraId="22568B15">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3.</w:t>
      </w:r>
      <w:r>
        <w:rPr>
          <w:rFonts w:hint="default" w:ascii="Times New Roman" w:hAnsi="Times New Roman" w:eastAsia="方正兰亭黑简体" w:cs="Times New Roman"/>
          <w:color w:val="auto"/>
          <w:sz w:val="22"/>
          <w:szCs w:val="22"/>
          <w:highlight w:val="none"/>
        </w:rPr>
        <w:t>★统计设备日产量信息</w:t>
      </w:r>
    </w:p>
    <w:p w14:paraId="13BDB351">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4.</w:t>
      </w:r>
      <w:r>
        <w:rPr>
          <w:rFonts w:hint="default" w:ascii="Times New Roman" w:hAnsi="Times New Roman" w:eastAsia="方正兰亭黑简体" w:cs="Times New Roman"/>
          <w:color w:val="auto"/>
          <w:sz w:val="22"/>
          <w:szCs w:val="22"/>
          <w:highlight w:val="none"/>
        </w:rPr>
        <w:t>★统计设备每日的各状态时长情况</w:t>
      </w:r>
    </w:p>
    <w:p w14:paraId="226C8FDD">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5.</w:t>
      </w:r>
      <w:r>
        <w:rPr>
          <w:rFonts w:hint="default" w:ascii="Times New Roman" w:hAnsi="Times New Roman" w:eastAsia="方正兰亭黑简体" w:cs="Times New Roman"/>
          <w:color w:val="auto"/>
          <w:sz w:val="22"/>
          <w:szCs w:val="22"/>
          <w:highlight w:val="none"/>
        </w:rPr>
        <w:t>★按照设备维度生成加工生产的报表</w:t>
      </w:r>
    </w:p>
    <w:p w14:paraId="6CD88D18">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6.</w:t>
      </w:r>
      <w:r>
        <w:rPr>
          <w:rFonts w:hint="default" w:ascii="Times New Roman" w:hAnsi="Times New Roman" w:eastAsia="方正兰亭黑简体" w:cs="Times New Roman"/>
          <w:color w:val="auto"/>
          <w:sz w:val="22"/>
          <w:szCs w:val="22"/>
          <w:highlight w:val="none"/>
        </w:rPr>
        <w:t>按照产品维度生成产品产量的报表</w:t>
      </w:r>
    </w:p>
    <w:p w14:paraId="1180366F">
      <w:p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1.2设备绩效分析</w:t>
      </w:r>
    </w:p>
    <w:p w14:paraId="3199AAC7">
      <w:p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设备绩效可视化挖掘分析，以部门、产线、单机等维度的设备OEE、时间开动率、性能开动率指标统计分析。</w:t>
      </w:r>
    </w:p>
    <w:p w14:paraId="721FEF5A">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1.</w:t>
      </w:r>
      <w:r>
        <w:rPr>
          <w:rFonts w:hint="default" w:ascii="Times New Roman" w:hAnsi="Times New Roman" w:eastAsia="方正兰亭黑简体" w:cs="Times New Roman"/>
          <w:color w:val="auto"/>
          <w:sz w:val="22"/>
          <w:szCs w:val="22"/>
          <w:highlight w:val="none"/>
        </w:rPr>
        <w:t>★OEE总体分析：管理人员可以选择针对于全车间设备、指定部门或产线、以及单台设备进行分析。在做OEE分析前需要选择分析对象，在页面左侧，分析对象按照部门结构树显示设备，方便用户快速定位。用户选择一个工作中心或一台设备，系统将按照默认条件显示该分析对象的OEE情况。</w:t>
      </w:r>
    </w:p>
    <w:p w14:paraId="3100E865">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2.</w:t>
      </w:r>
      <w:r>
        <w:rPr>
          <w:rFonts w:hint="default" w:ascii="Times New Roman" w:hAnsi="Times New Roman" w:eastAsia="方正兰亭黑简体" w:cs="Times New Roman"/>
          <w:color w:val="auto"/>
          <w:sz w:val="22"/>
          <w:szCs w:val="22"/>
          <w:highlight w:val="none"/>
        </w:rPr>
        <w:t>★OEE总体分析查询条件：管理人员可以选择统计周期和对应日期，进行条件的筛选，默认查询当前日期前一天的OEE分析结果。用户可以按日统计、按周统计、按月统计、按日期范围统计。</w:t>
      </w:r>
    </w:p>
    <w:p w14:paraId="6639DDB0">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3.</w:t>
      </w:r>
      <w:r>
        <w:rPr>
          <w:rFonts w:hint="default" w:ascii="Times New Roman" w:hAnsi="Times New Roman" w:eastAsia="方正兰亭黑简体" w:cs="Times New Roman"/>
          <w:color w:val="auto"/>
          <w:sz w:val="22"/>
          <w:szCs w:val="22"/>
          <w:highlight w:val="none"/>
        </w:rPr>
        <w:t>★设备绩效分析结果：系统显示4个主要绩效结果，分别是：设备OEE、时间稼动率、性能稼动率、良品率。</w:t>
      </w:r>
    </w:p>
    <w:p w14:paraId="7F5ACDB0">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4.</w:t>
      </w:r>
      <w:r>
        <w:rPr>
          <w:rFonts w:hint="default" w:ascii="Times New Roman" w:hAnsi="Times New Roman" w:eastAsia="方正兰亭黑简体" w:cs="Times New Roman"/>
          <w:color w:val="auto"/>
          <w:sz w:val="22"/>
          <w:szCs w:val="22"/>
          <w:highlight w:val="none"/>
        </w:rPr>
        <w:t>★根据管理人员选定的查询日期显示按日统计列表，显示如下信息：日期、加工品类数量、OEE（%）、时间稼动率（%）、性能稼动率（%）、良品率（%）。其中时间稼动率（%）、性能稼动率（%）、良品率（%）三列点击后，可以打开对应详情页面，进一步挖掘效率损失。</w:t>
      </w:r>
    </w:p>
    <w:p w14:paraId="06AA28ED">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5.</w:t>
      </w:r>
      <w:r>
        <w:rPr>
          <w:rFonts w:hint="default" w:ascii="Times New Roman" w:hAnsi="Times New Roman" w:eastAsia="方正兰亭黑简体" w:cs="Times New Roman"/>
          <w:color w:val="auto"/>
          <w:sz w:val="22"/>
          <w:szCs w:val="22"/>
          <w:highlight w:val="none"/>
        </w:rPr>
        <w:t>系统支持公式对应参数的解释说明，方便用户理解公式各参数含义。</w:t>
      </w:r>
    </w:p>
    <w:p w14:paraId="20B1C1C4">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6.</w:t>
      </w:r>
      <w:r>
        <w:rPr>
          <w:rFonts w:hint="default" w:ascii="Times New Roman" w:hAnsi="Times New Roman" w:eastAsia="方正兰亭黑简体" w:cs="Times New Roman"/>
          <w:color w:val="auto"/>
          <w:sz w:val="22"/>
          <w:szCs w:val="22"/>
          <w:highlight w:val="none"/>
        </w:rPr>
        <w:t>可对超长空闲、停机等特殊情况进行原因补录，用于现场异常停机原因分析。</w:t>
      </w:r>
    </w:p>
    <w:p w14:paraId="2591EEAF">
      <w:pPr>
        <w:spacing w:line="360" w:lineRule="auto"/>
        <w:ind w:left="0" w:leftChars="0" w:firstLine="0" w:firstLineChars="0"/>
        <w:rPr>
          <w:rFonts w:hint="default" w:ascii="Times New Roman" w:hAnsi="Times New Roman" w:eastAsia="方正兰亭黑简体" w:cs="Times New Roman"/>
          <w:b/>
          <w:color w:val="auto"/>
          <w:sz w:val="22"/>
          <w:szCs w:val="22"/>
          <w:highlight w:val="none"/>
        </w:rPr>
      </w:pPr>
      <w:r>
        <w:rPr>
          <w:rFonts w:hint="default" w:ascii="Times New Roman" w:hAnsi="Times New Roman" w:eastAsia="方正兰亭黑简体" w:cs="Times New Roman"/>
          <w:b/>
          <w:color w:val="auto"/>
          <w:sz w:val="22"/>
          <w:szCs w:val="22"/>
          <w:highlight w:val="none"/>
        </w:rPr>
        <w:t>（二）孪生系统可视化管控基础平台</w:t>
      </w:r>
    </w:p>
    <w:p w14:paraId="2A08116A">
      <w:pPr>
        <w:spacing w:line="360" w:lineRule="auto"/>
        <w:ind w:left="0" w:leftChars="0" w:firstLine="440" w:firstLineChars="20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本平台将建立大型LNG船舶制造车间数字孪生系统，通过三维数字模型与实际制造车间的虚实同步映射，实现物理车间与虚拟车间的实时联动。系统支持多视角的漫游功能，用户可自由切换观察角度，全面掌握车间整体布局与局部细节。同时，平台直观呈现各设备的运行状态，将设备运行数据、OEE数据及稼动率、良品率等关键指标与对应设备关联展示，为生产管理和效率分析提供可视化的数据支撑。</w:t>
      </w:r>
    </w:p>
    <w:p w14:paraId="661A1E42">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1.</w:t>
      </w:r>
      <w:r>
        <w:rPr>
          <w:rFonts w:hint="default" w:ascii="Times New Roman" w:hAnsi="Times New Roman" w:eastAsia="方正兰亭黑简体" w:cs="Times New Roman"/>
          <w:color w:val="auto"/>
          <w:sz w:val="22"/>
          <w:szCs w:val="22"/>
          <w:highlight w:val="none"/>
        </w:rPr>
        <w:t>★建立大型LNG船舶制造车间数字模型，支持从多角度显示，整个车间既可整体实时显示，也可单个设备实时显示，带有放大、缩小、旋转按钮等调整显示位置；</w:t>
      </w:r>
    </w:p>
    <w:p w14:paraId="1307B2A8">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2.</w:t>
      </w:r>
      <w:r>
        <w:rPr>
          <w:rFonts w:hint="default" w:ascii="Times New Roman" w:hAnsi="Times New Roman" w:eastAsia="方正兰亭黑简体" w:cs="Times New Roman"/>
          <w:color w:val="auto"/>
          <w:sz w:val="22"/>
          <w:szCs w:val="22"/>
          <w:highlight w:val="none"/>
        </w:rPr>
        <w:t>★实现数字模型与设备同步运行的功能，包括运行、停止、故障处理状态；</w:t>
      </w:r>
    </w:p>
    <w:p w14:paraId="701ED5C5">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3.</w:t>
      </w:r>
      <w:r>
        <w:rPr>
          <w:rFonts w:hint="default" w:ascii="Times New Roman" w:hAnsi="Times New Roman" w:eastAsia="方正兰亭黑简体" w:cs="Times New Roman"/>
          <w:color w:val="auto"/>
          <w:sz w:val="22"/>
          <w:szCs w:val="22"/>
          <w:highlight w:val="none"/>
        </w:rPr>
        <w:t>★设备数据采集频率不低于20Hz，数字模型更新不卡顿；</w:t>
      </w:r>
    </w:p>
    <w:p w14:paraId="6293FBCB">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4.</w:t>
      </w:r>
      <w:r>
        <w:rPr>
          <w:rFonts w:hint="default" w:ascii="Times New Roman" w:hAnsi="Times New Roman" w:eastAsia="方正兰亭黑简体" w:cs="Times New Roman"/>
          <w:color w:val="auto"/>
          <w:sz w:val="22"/>
          <w:szCs w:val="22"/>
          <w:highlight w:val="none"/>
        </w:rPr>
        <w:t>★生产与订单信息同步显示，实时显示整个制造流程；</w:t>
      </w:r>
    </w:p>
    <w:p w14:paraId="0C65BB57">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5.</w:t>
      </w:r>
      <w:r>
        <w:rPr>
          <w:rFonts w:hint="default" w:ascii="Times New Roman" w:hAnsi="Times New Roman" w:eastAsia="方正兰亭黑简体" w:cs="Times New Roman"/>
          <w:color w:val="auto"/>
          <w:sz w:val="22"/>
          <w:szCs w:val="22"/>
          <w:highlight w:val="none"/>
        </w:rPr>
        <w:t>★通过动态 UI 面板显示关键设备的实时数据（数值、阈值报警）；</w:t>
      </w:r>
    </w:p>
    <w:p w14:paraId="70B34132">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6.</w:t>
      </w:r>
      <w:r>
        <w:rPr>
          <w:rFonts w:hint="default" w:ascii="Times New Roman" w:hAnsi="Times New Roman" w:eastAsia="方正兰亭黑简体" w:cs="Times New Roman"/>
          <w:color w:val="auto"/>
          <w:sz w:val="22"/>
          <w:szCs w:val="22"/>
          <w:highlight w:val="none"/>
        </w:rPr>
        <w:t>★在三维模型上以颜色渐变（热力图）方式直观表达设备状态分布（例如：正常</w:t>
      </w:r>
      <w:r>
        <w:rPr>
          <w:rFonts w:hint="default" w:ascii="Times New Roman" w:hAnsi="Times New Roman" w:eastAsia="方正兰亭黑简体" w:cs="Times New Roman"/>
          <w:color w:val="auto"/>
          <w:sz w:val="22"/>
          <w:szCs w:val="22"/>
          <w:highlight w:val="none"/>
        </w:rPr>
        <w:noBreakHyphen/>
      </w:r>
      <w:r>
        <w:rPr>
          <w:rFonts w:hint="default" w:ascii="Times New Roman" w:hAnsi="Times New Roman" w:eastAsia="方正兰亭黑简体" w:cs="Times New Roman"/>
          <w:color w:val="auto"/>
          <w:sz w:val="22"/>
          <w:szCs w:val="22"/>
          <w:highlight w:val="none"/>
        </w:rPr>
        <w:t>绿色，警告</w:t>
      </w:r>
      <w:r>
        <w:rPr>
          <w:rFonts w:hint="default" w:ascii="Times New Roman" w:hAnsi="Times New Roman" w:eastAsia="方正兰亭黑简体" w:cs="Times New Roman"/>
          <w:color w:val="auto"/>
          <w:sz w:val="22"/>
          <w:szCs w:val="22"/>
          <w:highlight w:val="none"/>
        </w:rPr>
        <w:noBreakHyphen/>
      </w:r>
      <w:r>
        <w:rPr>
          <w:rFonts w:hint="default" w:ascii="Times New Roman" w:hAnsi="Times New Roman" w:eastAsia="方正兰亭黑简体" w:cs="Times New Roman"/>
          <w:color w:val="auto"/>
          <w:sz w:val="22"/>
          <w:szCs w:val="22"/>
          <w:highlight w:val="none"/>
        </w:rPr>
        <w:t>黄色，异常</w:t>
      </w:r>
      <w:r>
        <w:rPr>
          <w:rFonts w:hint="default" w:ascii="Times New Roman" w:hAnsi="Times New Roman" w:eastAsia="方正兰亭黑简体" w:cs="Times New Roman"/>
          <w:color w:val="auto"/>
          <w:sz w:val="22"/>
          <w:szCs w:val="22"/>
          <w:highlight w:val="none"/>
        </w:rPr>
        <w:noBreakHyphen/>
      </w:r>
      <w:r>
        <w:rPr>
          <w:rFonts w:hint="default" w:ascii="Times New Roman" w:hAnsi="Times New Roman" w:eastAsia="方正兰亭黑简体" w:cs="Times New Roman"/>
          <w:color w:val="auto"/>
          <w:sz w:val="22"/>
          <w:szCs w:val="22"/>
          <w:highlight w:val="none"/>
        </w:rPr>
        <w:t>红色）；</w:t>
      </w:r>
    </w:p>
    <w:p w14:paraId="427BC3D7">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7.</w:t>
      </w:r>
      <w:r>
        <w:rPr>
          <w:rFonts w:hint="default" w:ascii="Times New Roman" w:hAnsi="Times New Roman" w:eastAsia="方正兰亭黑简体" w:cs="Times New Roman"/>
          <w:color w:val="auto"/>
          <w:sz w:val="22"/>
          <w:szCs w:val="22"/>
          <w:highlight w:val="none"/>
        </w:rPr>
        <w:t>支持点击设备弹出详细状态窗口，展示基于已记录数据的历史趋势曲线。</w:t>
      </w:r>
    </w:p>
    <w:p w14:paraId="07B012AE">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8.</w:t>
      </w:r>
      <w:r>
        <w:rPr>
          <w:rFonts w:hint="default" w:ascii="Times New Roman" w:hAnsi="Times New Roman" w:eastAsia="方正兰亭黑简体" w:cs="Times New Roman"/>
          <w:color w:val="auto"/>
          <w:sz w:val="22"/>
          <w:szCs w:val="22"/>
          <w:highlight w:val="none"/>
        </w:rPr>
        <w:t>★自由漫游视角：支持第一人称或环绕相机模式，通过鼠标/键盘（WASD 或方向键）实现全场景无约束探索；</w:t>
      </w:r>
    </w:p>
    <w:p w14:paraId="19952058">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2"/>
          <w:sz w:val="22"/>
          <w:szCs w:val="22"/>
          <w:highlight w:val="none"/>
          <w:lang w:val="en-US" w:eastAsia="zh-CN" w:bidi="ar-SA"/>
        </w:rPr>
        <w:t>9.</w:t>
      </w:r>
      <w:r>
        <w:rPr>
          <w:rFonts w:hint="default" w:ascii="Times New Roman" w:hAnsi="Times New Roman" w:eastAsia="方正兰亭黑简体" w:cs="Times New Roman"/>
          <w:color w:val="auto"/>
          <w:sz w:val="22"/>
          <w:szCs w:val="22"/>
          <w:highlight w:val="none"/>
        </w:rPr>
        <w:t>实时数据面板：在主界面悬浮显示孪生数据摘要（设备运行状态、OEE、设备在线率等），支持折叠/展开。</w:t>
      </w:r>
    </w:p>
    <w:bookmarkEnd w:id="6"/>
    <w:p w14:paraId="3232FC3D">
      <w:pPr>
        <w:widowControl/>
        <w:shd w:val="clear" w:color="auto" w:fill="FFFFFF"/>
        <w:spacing w:line="360" w:lineRule="auto"/>
        <w:jc w:val="left"/>
        <w:rPr>
          <w:rFonts w:hint="eastAsia" w:ascii="Times New Roman" w:hAnsi="Times New Roman" w:eastAsia="方正兰亭黑简体" w:cs="Times New Roman"/>
          <w:b/>
          <w:bCs/>
          <w:color w:val="auto"/>
          <w:sz w:val="22"/>
          <w:szCs w:val="22"/>
          <w:highlight w:val="none"/>
          <w:lang w:val="en-US" w:eastAsia="zh-CN"/>
        </w:rPr>
      </w:pPr>
    </w:p>
    <w:p w14:paraId="58D789E8">
      <w:pPr>
        <w:widowControl/>
        <w:shd w:val="clear" w:color="auto" w:fill="FFFFFF"/>
        <w:spacing w:line="360" w:lineRule="auto"/>
        <w:jc w:val="left"/>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四、本项目遵循现行国家、行业相关标准，主要包括：</w:t>
      </w:r>
    </w:p>
    <w:p w14:paraId="5FD27165">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lang w:val="en-US" w:eastAsia="zh-CN"/>
        </w:rPr>
        <w:t>1.</w:t>
      </w:r>
      <w:r>
        <w:rPr>
          <w:rFonts w:hint="default" w:ascii="Times New Roman" w:hAnsi="Times New Roman" w:eastAsia="方正兰亭黑简体" w:cs="Times New Roman"/>
          <w:color w:val="auto"/>
          <w:sz w:val="22"/>
          <w:szCs w:val="22"/>
          <w:highlight w:val="none"/>
        </w:rPr>
        <w:t>GB/T 45873-2025《信息技术 车间数字孪生 参考架构》：这是最核心的顶层标准。它明确了车间数字孪生“物理车间—数字实体—应用—信息交互”的架构，并直接涵盖工艺优化、可视化监控与分析等应用要求。该标准适用于离散、流程及混合制造车间的规划与建设，采购的模块须与其参考架构保持兼容。</w:t>
      </w:r>
    </w:p>
    <w:p w14:paraId="27551C44">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lang w:val="en-US" w:eastAsia="zh-CN"/>
        </w:rPr>
        <w:t>2.</w:t>
      </w:r>
      <w:r>
        <w:rPr>
          <w:rFonts w:hint="default" w:ascii="Times New Roman" w:hAnsi="Times New Roman" w:eastAsia="方正兰亭黑简体" w:cs="Times New Roman"/>
          <w:color w:val="auto"/>
          <w:sz w:val="22"/>
          <w:szCs w:val="22"/>
          <w:highlight w:val="none"/>
        </w:rPr>
        <w:t>GB/T 47691-2026《工业数字孪生系统建设实施指南》：该标准规定了工业数字孪生系统在车间域的实施路径、实施目标分级（初始级至自治级）及技术、管理、成效要求。采购的模块功能定位和实施深度可参照此标准进行对标。</w:t>
      </w:r>
    </w:p>
    <w:p w14:paraId="693424AE">
      <w:pPr>
        <w:pStyle w:val="22"/>
        <w:numPr>
          <w:ilvl w:val="0"/>
          <w:numId w:val="0"/>
        </w:numPr>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lang w:val="en-US" w:eastAsia="zh-CN"/>
        </w:rPr>
        <w:t>3.</w:t>
      </w:r>
      <w:r>
        <w:rPr>
          <w:rFonts w:hint="default" w:ascii="Times New Roman" w:hAnsi="Times New Roman" w:eastAsia="方正兰亭黑简体" w:cs="Times New Roman"/>
          <w:color w:val="auto"/>
          <w:sz w:val="22"/>
          <w:szCs w:val="22"/>
          <w:highlight w:val="none"/>
        </w:rPr>
        <w:t>GB/T 45616.3-2026《自动化系统与集成 面向制造的数字孪生框架 第3部分：制造要素的数字表示》：该标准等同采用ISO国际标准，专门规定了可观测制造要素的数字表示方法，即制造设备、工艺参数等要素在数字孪生系统中的数据建模与呈现规范。可视化模块对工艺流程的数据映射和动态展示应遵循其数字表示要求。</w:t>
      </w:r>
    </w:p>
    <w:p w14:paraId="3DDB33B7">
      <w:pPr>
        <w:widowControl/>
        <w:shd w:val="clear" w:color="auto" w:fill="FFFFFF"/>
        <w:spacing w:line="360" w:lineRule="auto"/>
        <w:jc w:val="left"/>
        <w:rPr>
          <w:rFonts w:hint="eastAsia" w:ascii="Times New Roman" w:hAnsi="Times New Roman" w:eastAsia="方正兰亭黑简体" w:cs="Times New Roman"/>
          <w:b/>
          <w:bCs/>
          <w:color w:val="auto"/>
          <w:kern w:val="2"/>
          <w:sz w:val="22"/>
          <w:szCs w:val="22"/>
          <w:highlight w:val="none"/>
          <w:lang w:val="en-US" w:eastAsia="zh-CN" w:bidi="ar-SA"/>
        </w:rPr>
      </w:pPr>
    </w:p>
    <w:p w14:paraId="34E97200">
      <w:pPr>
        <w:widowControl/>
        <w:shd w:val="clear" w:color="auto" w:fill="FFFFFF"/>
        <w:spacing w:line="36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五、</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42CEB5BD">
      <w:pPr>
        <w:pStyle w:val="22"/>
        <w:widowControl/>
        <w:shd w:val="clear" w:color="auto" w:fill="FFFFFF"/>
        <w:tabs>
          <w:tab w:val="left" w:pos="1440"/>
        </w:tabs>
        <w:spacing w:line="360" w:lineRule="auto"/>
        <w:ind w:left="-86" w:leftChars="-41" w:firstLine="0" w:firstLineChars="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1、售后服务要求：远程技术支持（7×8小时响应，紧急问题2小时内答复）；因系统自身缺陷导致的故障修复、数据恢复；免费提供同版本范围内的功能缺陷补丁。</w:t>
      </w:r>
    </w:p>
    <w:p w14:paraId="647263E5">
      <w:pPr>
        <w:pStyle w:val="22"/>
        <w:widowControl/>
        <w:shd w:val="clear" w:color="auto" w:fill="FFFFFF"/>
        <w:tabs>
          <w:tab w:val="left" w:pos="1440"/>
        </w:tabs>
        <w:spacing w:line="360" w:lineRule="auto"/>
        <w:ind w:left="-86" w:leftChars="-41" w:firstLine="0" w:firstLineChars="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2.履约验收：甲方组织不少于3名项目相关领域技术人员（副高级职称以上）进行验收。</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1734" w:type="dxa"/>
            <w:noWrap w:val="0"/>
            <w:vAlign w:val="center"/>
          </w:tcPr>
          <w:p w14:paraId="7B75615C">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1196EC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6830" w:type="dxa"/>
            <w:noWrap w:val="0"/>
            <w:vAlign w:val="center"/>
          </w:tcPr>
          <w:p w14:paraId="51974AAF">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采用低价优先法计算，即满足比选文件要求且最低的报价为基准价，其价格分为满分30分。其他报价单位的报价得分计算公式如下：</w:t>
            </w:r>
          </w:p>
          <w:p w14:paraId="04A233D5">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1734" w:type="dxa"/>
            <w:noWrap w:val="0"/>
            <w:vAlign w:val="center"/>
          </w:tcPr>
          <w:p w14:paraId="78B64B5A">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r>
              <w:rPr>
                <w:rFonts w:hint="eastAsia" w:ascii="Cambria" w:hAnsi="Cambria" w:eastAsia="方正兰亭黑简体" w:cs="Cambria"/>
                <w:color w:val="auto"/>
                <w:sz w:val="20"/>
                <w:szCs w:val="20"/>
                <w:highlight w:val="none"/>
              </w:rPr>
              <w:t>及公司资质</w:t>
            </w:r>
          </w:p>
          <w:p w14:paraId="0F95F969">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20</w:t>
            </w:r>
          </w:p>
        </w:tc>
        <w:tc>
          <w:tcPr>
            <w:tcW w:w="6830" w:type="dxa"/>
            <w:noWrap w:val="0"/>
            <w:vAlign w:val="center"/>
          </w:tcPr>
          <w:p w14:paraId="10AAF1BD">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10月起至今）相关数据分析相关软件领域业绩案例。（每提供1个得3分；最高得12分）注：需提供相关业绩的合同复印件，否则将不予认可。（业绩是否符合要求由评审专家综合判定）</w:t>
            </w:r>
          </w:p>
          <w:p w14:paraId="74267403">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提供质量管理体系认证证书，得2分，否则不得分；</w:t>
            </w:r>
          </w:p>
          <w:p w14:paraId="172351C1">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提供高新技术企业证书，得3分，否则不得分；</w:t>
            </w:r>
          </w:p>
          <w:p w14:paraId="343AB11D">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提供生产加工过程状态监测类软件著作权证书。（每提供1个得1分，最高得3分）。</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1734" w:type="dxa"/>
            <w:noWrap w:val="0"/>
            <w:vAlign w:val="center"/>
          </w:tcPr>
          <w:p w14:paraId="26E0F3A2">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技术响应程度</w:t>
            </w:r>
          </w:p>
          <w:p w14:paraId="6C389B66">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25</w:t>
            </w:r>
          </w:p>
        </w:tc>
        <w:tc>
          <w:tcPr>
            <w:tcW w:w="6830" w:type="dxa"/>
            <w:shd w:val="clear" w:color="auto" w:fill="auto"/>
            <w:noWrap w:val="0"/>
            <w:vAlign w:val="center"/>
          </w:tcPr>
          <w:p w14:paraId="7461B042">
            <w:pPr>
              <w:spacing w:line="360" w:lineRule="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针对第二章中的采购需求：不满足技术条款的，每项扣3分；扣完为止。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1734" w:type="dxa"/>
            <w:tcBorders>
              <w:top w:val="single" w:color="auto" w:sz="6" w:space="0"/>
              <w:left w:val="single" w:color="auto" w:sz="6" w:space="0"/>
              <w:bottom w:val="single" w:color="auto" w:sz="6" w:space="0"/>
              <w:right w:val="single" w:color="auto" w:sz="6" w:space="0"/>
            </w:tcBorders>
            <w:noWrap w:val="0"/>
            <w:vAlign w:val="center"/>
          </w:tcPr>
          <w:p w14:paraId="7FC22CE1">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79FD58C7">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10</w:t>
            </w:r>
          </w:p>
        </w:tc>
        <w:tc>
          <w:tcPr>
            <w:tcW w:w="6830" w:type="dxa"/>
            <w:noWrap w:val="0"/>
            <w:vAlign w:val="center"/>
          </w:tcPr>
          <w:p w14:paraId="18FC23F9">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优秀（8～10分）：详细介绍了产品的各项性能参数。</w:t>
            </w:r>
          </w:p>
          <w:p w14:paraId="753D4AB9">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良好（5～7分）：较全面地介绍了产品的性能参数。</w:t>
            </w:r>
          </w:p>
          <w:p w14:paraId="37DC0DB1">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一般（2～4分）：介绍了部分性能参数，但不够全面或详细。</w:t>
            </w:r>
          </w:p>
          <w:p w14:paraId="146F082A">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较差（0～1分）：性能参数介绍不完整或存在明显错误。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1734" w:type="dxa"/>
            <w:noWrap w:val="0"/>
            <w:vAlign w:val="center"/>
          </w:tcPr>
          <w:p w14:paraId="397C6850">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技术支持与售后服务</w:t>
            </w:r>
          </w:p>
          <w:p w14:paraId="60B5C732">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15</w:t>
            </w:r>
          </w:p>
        </w:tc>
        <w:tc>
          <w:tcPr>
            <w:tcW w:w="6830" w:type="dxa"/>
            <w:noWrap w:val="0"/>
            <w:vAlign w:val="center"/>
          </w:tcPr>
          <w:p w14:paraId="483C84BD">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优秀（12～15分）：提供了详尽的技术支持方案以及售后服务方案，包括快速响应机制、服务承诺等。</w:t>
            </w:r>
          </w:p>
          <w:p w14:paraId="630DCF00">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良好（8～11分）：提供了较为全面的技术支持方案和售后服务方案，但计划不够详细。</w:t>
            </w:r>
          </w:p>
          <w:p w14:paraId="23988A5E">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一般（4～7分）：方案较为简单，缺乏具体的计划。</w:t>
            </w:r>
          </w:p>
          <w:p w14:paraId="2DEC0656">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较差（0～3分）：未提供技术支持方案或售后服务承诺。</w:t>
            </w:r>
          </w:p>
        </w:tc>
      </w:tr>
    </w:tbl>
    <w:p w14:paraId="38769459">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项目编号：HFBX2026102</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54AB59-BCB7-4BE2-9202-CDF5A949FF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83B7057E-93E9-4A15-B7E9-35D8ADCC1B2D}"/>
  </w:font>
  <w:font w:name="Cambria">
    <w:panose1 w:val="02040503050406030204"/>
    <w:charset w:val="00"/>
    <w:family w:val="roman"/>
    <w:pitch w:val="default"/>
    <w:sig w:usb0="E00006FF" w:usb1="420024FF" w:usb2="02000000" w:usb3="00000000" w:csb0="2000019F" w:csb1="00000000"/>
    <w:embedRegular r:id="rId3" w:fontKey="{D3DE74F8-8193-408F-A0A2-44867C887587}"/>
  </w:font>
  <w:font w:name="华文楷体">
    <w:panose1 w:val="02010600040101010101"/>
    <w:charset w:val="86"/>
    <w:family w:val="auto"/>
    <w:pitch w:val="default"/>
    <w:sig w:usb0="A00002BF" w:usb1="78CF7CFB" w:usb2="00000016" w:usb3="00000000" w:csb0="6006009F" w:csb1="DFD70000"/>
    <w:embedRegular r:id="rId4" w:fontKey="{29888FD3-F2E4-43D2-928C-338A7BF5D2A0}"/>
  </w:font>
  <w:font w:name="方正仿宋_GB2312">
    <w:panose1 w:val="02000000000000000000"/>
    <w:charset w:val="86"/>
    <w:family w:val="auto"/>
    <w:pitch w:val="default"/>
    <w:sig w:usb0="A00002BF" w:usb1="184F6CFA" w:usb2="00000012" w:usb3="00000000" w:csb0="00040001" w:csb1="00000000"/>
    <w:embedRegular r:id="rId5" w:fontKey="{51F4F3D4-34F4-4E12-BD55-FE6AFF72C543}"/>
  </w:font>
  <w:font w:name="仿宋">
    <w:panose1 w:val="02010609060101010101"/>
    <w:charset w:val="86"/>
    <w:family w:val="modern"/>
    <w:pitch w:val="default"/>
    <w:sig w:usb0="800002BF" w:usb1="38CF7CFA" w:usb2="00000016" w:usb3="00000000" w:csb0="00040001" w:csb1="00000000"/>
    <w:embedRegular r:id="rId6" w:fontKey="{D0278A23-D1DC-4825-9963-57051F3F37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0D297B72"/>
    <w:rsid w:val="100D024F"/>
    <w:rsid w:val="146C6B60"/>
    <w:rsid w:val="15285D7F"/>
    <w:rsid w:val="157E6317"/>
    <w:rsid w:val="15D04D45"/>
    <w:rsid w:val="1701457D"/>
    <w:rsid w:val="1B307278"/>
    <w:rsid w:val="1D2B42FB"/>
    <w:rsid w:val="1DF9272E"/>
    <w:rsid w:val="21706D4D"/>
    <w:rsid w:val="22AA0589"/>
    <w:rsid w:val="24050543"/>
    <w:rsid w:val="244605D8"/>
    <w:rsid w:val="26C52776"/>
    <w:rsid w:val="2DAA3F84"/>
    <w:rsid w:val="2E691D1D"/>
    <w:rsid w:val="2FB07FD7"/>
    <w:rsid w:val="386E116B"/>
    <w:rsid w:val="3A774F92"/>
    <w:rsid w:val="3CFB52B6"/>
    <w:rsid w:val="3D6469F5"/>
    <w:rsid w:val="3DBA1AA2"/>
    <w:rsid w:val="3E4D1E72"/>
    <w:rsid w:val="3E5C4869"/>
    <w:rsid w:val="3FCC680A"/>
    <w:rsid w:val="41007DAA"/>
    <w:rsid w:val="45DB0FAA"/>
    <w:rsid w:val="480A63EB"/>
    <w:rsid w:val="4A2362AE"/>
    <w:rsid w:val="4AFC4A60"/>
    <w:rsid w:val="4CC21E26"/>
    <w:rsid w:val="4E395D14"/>
    <w:rsid w:val="4EFD134C"/>
    <w:rsid w:val="500A64E6"/>
    <w:rsid w:val="53CE6FAC"/>
    <w:rsid w:val="55CF5109"/>
    <w:rsid w:val="57117CB6"/>
    <w:rsid w:val="573107A3"/>
    <w:rsid w:val="5AEA704B"/>
    <w:rsid w:val="5CB31D19"/>
    <w:rsid w:val="5D66061F"/>
    <w:rsid w:val="5E8720EC"/>
    <w:rsid w:val="5EE9209B"/>
    <w:rsid w:val="62DD78C6"/>
    <w:rsid w:val="63DF4A20"/>
    <w:rsid w:val="6739689A"/>
    <w:rsid w:val="674873A3"/>
    <w:rsid w:val="684F045C"/>
    <w:rsid w:val="699E1F48"/>
    <w:rsid w:val="6C3138A4"/>
    <w:rsid w:val="6E3767B2"/>
    <w:rsid w:val="6FC06751"/>
    <w:rsid w:val="73793F12"/>
    <w:rsid w:val="74943026"/>
    <w:rsid w:val="769D2894"/>
    <w:rsid w:val="79302AEB"/>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1c06076c-69ca-4f59-b721-e8b9b21ddd61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cab110a5-069c-4af3-bfe4-cfa4477833cb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1e1a5521-62d5-432e-aaee-1002b316e792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a3ebf5c7-b41d-437b-9cbf-22f85bd6c4fc</errorID>
      <errorWord>kw</errorWord>
      <group>L1_Word</group>
      <groupName>字词问题</groupName>
      <ability>L2_Typo</ability>
      <abilityName>字词错误</abilityName>
      <candidateList>
        <item>kW</item>
      </candidateList>
      <explain/>
      <paraID>653ED931</paraID>
      <start>5</start>
      <end>7</end>
      <status>modified</status>
      <modifiedWord>kW</modifiedWord>
      <trackRevisions>false</trackRevisions>
    </reviewItem>
    <reviewItem>
      <errorID>17d685ac-d8f2-4881-bc70-1fc13bfaceb8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38300D2D</paraID>
      <start>0</start>
      <end>2</end>
      <status>unmodified</status>
      <modifiedWord/>
      <trackRevisions>false</trackRevisions>
    </reviewItem>
    <reviewItem>
      <errorID>87987ae8-1b31-4237-9b6f-204a9ab4b1d0</errorID>
      <errorWord>供应</errorWord>
      <group>L1_Grammar</group>
      <groupName>语法问题</groupName>
      <ability>L2_Grammar</ability>
      <abilityName>语法错误</abilityName>
      <candidateList>
        <item>提供</item>
      </candidateList>
      <explain>“供应～服务”搭配不当，建议修改为“提供～服务”。</explain>
      <paraID>38300D2D</paraID>
      <start>47</start>
      <end>49</end>
      <status>unmodified</status>
      <modifiedWord/>
      <trackRevisions>false</trackRevisions>
    </reviewItem>
    <reviewItem>
      <errorID>14bb0f47-ac1b-41a7-bf92-d6299b144b6d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E526F92</paraID>
      <start>0</start>
      <end>2</end>
      <status>unmodified</status>
      <modifiedWord/>
      <trackRevisions>false</trackRevisions>
    </reviewItem>
    <reviewItem>
      <errorID>b0ebdc7c-e619-4e26-99a3-fc8a95ac67b1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7921BE99</paraID>
      <start>0</start>
      <end>2</end>
      <status>unmodified</status>
      <modifiedWord/>
      <trackRevisions>false</trackRevisions>
    </reviewItem>
    <reviewItem>
      <errorID>8d658d61-6591-4dcc-99fe-009c840e2099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e94ed078-59a4-44a0-8846-952d8ee6512c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647263E5</paraID>
      <start>0</start>
      <end>2</end>
      <status>unmodified</status>
      <modifiedWord/>
      <trackRevisions>false</trackRevisions>
    </reviewItem>
    <reviewItem>
      <errorID>17c9dfde-a750-4ce2-b77a-c3f43837e43b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7601c97e-be36-41e6-aa2b-68f5bb32adfe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bb185ad6-4e6e-410e-9863-819e046b8c96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3bcd382c-f87c-4bf7-940c-e4905a845cf4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7372e746-7a78-4b9c-b9f2-d42594937f19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31a98c83-4669-4b62-909f-fa9c87fa799e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0a808075-7c18-42e9-8082-0041714ed070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528455d4-386a-4291-b577-543d95065a65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66272d-c519-4111-b692-9bdad80367f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3354</Words>
  <Characters>3601</Characters>
  <Lines>0</Lines>
  <Paragraphs>0</Paragraphs>
  <TotalTime>7</TotalTime>
  <ScaleCrop>false</ScaleCrop>
  <LinksUpToDate>false</LinksUpToDate>
  <CharactersWithSpaces>3618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2026-10-16T02:44:37Z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