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仿宋" w:hAnsi="仿宋" w:eastAsia="仿宋" w:cs="仿宋"/>
          <w:sz w:val="32"/>
          <w:szCs w:val="32"/>
          <w:highlight w:val="none"/>
        </w:rPr>
      </w:pPr>
      <w:r>
        <w:rPr>
          <w:rFonts w:hint="eastAsia" w:ascii="仿宋" w:hAnsi="仿宋" w:eastAsia="仿宋" w:cs="仿宋"/>
          <w:b/>
          <w:bCs/>
          <w:sz w:val="44"/>
          <w:szCs w:val="44"/>
          <w:highlight w:val="none"/>
        </w:rPr>
        <w:t>上海海事大学临港校区快递服务项目</w:t>
      </w:r>
      <w:bookmarkStart w:id="3" w:name="_GoBack"/>
      <w:bookmarkEnd w:id="3"/>
    </w:p>
    <w:p>
      <w:pPr>
        <w:spacing w:line="620" w:lineRule="exact"/>
        <w:ind w:firstLine="0" w:firstLineChars="0"/>
        <w:rPr>
          <w:rFonts w:hint="eastAsia" w:ascii="仿宋" w:hAnsi="仿宋" w:eastAsia="仿宋" w:cs="仿宋"/>
          <w:sz w:val="32"/>
          <w:szCs w:val="32"/>
          <w:highlight w:val="none"/>
        </w:rPr>
      </w:pPr>
    </w:p>
    <w:p>
      <w:pPr>
        <w:spacing w:after="156" w:afterLines="50"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一、合格的投标人必须具备以下资格条件：</w:t>
      </w:r>
    </w:p>
    <w:p>
      <w:pPr>
        <w:spacing w:line="360" w:lineRule="auto"/>
        <w:ind w:firstLine="480" w:firstLineChars="200"/>
        <w:rPr>
          <w:rFonts w:hint="eastAsia" w:ascii="仿宋" w:hAnsi="仿宋" w:eastAsia="仿宋" w:cs="仿宋"/>
          <w:kern w:val="0"/>
          <w:sz w:val="24"/>
          <w:highlight w:val="none"/>
        </w:rPr>
      </w:pPr>
      <w:bookmarkStart w:id="0" w:name="联合投标1"/>
      <w:r>
        <w:rPr>
          <w:rFonts w:hint="eastAsia" w:ascii="仿宋" w:hAnsi="仿宋" w:eastAsia="仿宋" w:cs="仿宋"/>
          <w:kern w:val="0"/>
          <w:sz w:val="24"/>
          <w:highlight w:val="none"/>
        </w:rPr>
        <w:t>1、投标人须为法人、其他组织或者自然人，法人的分公司或者分支机构须取得总公司授权；</w:t>
      </w:r>
    </w:p>
    <w:p>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2、具有有效的《快递业务经营许可证》。</w:t>
      </w:r>
    </w:p>
    <w:p>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3、本次招标不接受联合体投标。</w:t>
      </w:r>
      <w:bookmarkEnd w:id="0"/>
      <w:r>
        <w:rPr>
          <w:rFonts w:hint="eastAsia" w:ascii="仿宋" w:hAnsi="仿宋" w:eastAsia="仿宋" w:cs="仿宋"/>
          <w:kern w:val="0"/>
          <w:sz w:val="24"/>
          <w:highlight w:val="none"/>
        </w:rPr>
        <w:t xml:space="preserve"> </w:t>
      </w:r>
    </w:p>
    <w:p>
      <w:pPr>
        <w:spacing w:after="156" w:afterLines="50"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二、项目概况：</w:t>
      </w:r>
    </w:p>
    <w:p>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w:t>
      </w:r>
      <w:r>
        <w:rPr>
          <w:rFonts w:hint="eastAsia" w:ascii="仿宋" w:hAnsi="仿宋" w:eastAsia="仿宋" w:cs="仿宋"/>
          <w:kern w:val="0"/>
          <w:sz w:val="24"/>
          <w:highlight w:val="none"/>
        </w:rPr>
        <w:t>、项目名称：上海海事大学临港校区快递服务项目</w:t>
      </w:r>
    </w:p>
    <w:p>
      <w:pPr>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lang w:val="en-US" w:eastAsia="zh-CN"/>
        </w:rPr>
        <w:t>2</w:t>
      </w:r>
      <w:r>
        <w:rPr>
          <w:rFonts w:hint="eastAsia" w:ascii="仿宋" w:hAnsi="仿宋" w:eastAsia="仿宋" w:cs="仿宋"/>
          <w:kern w:val="0"/>
          <w:sz w:val="24"/>
          <w:highlight w:val="none"/>
        </w:rPr>
        <w:t>、主要服务内容及要求：</w:t>
      </w:r>
    </w:p>
    <w:p>
      <w:pPr>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上海海事大学临港校区快递服务项目；具体服务要求详见招标需求。</w:t>
      </w:r>
    </w:p>
    <w:p>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lang w:val="en-US" w:eastAsia="zh-CN"/>
        </w:rPr>
        <w:t>3</w:t>
      </w:r>
      <w:r>
        <w:rPr>
          <w:rFonts w:hint="eastAsia" w:ascii="仿宋" w:hAnsi="仿宋" w:eastAsia="仿宋" w:cs="仿宋"/>
          <w:kern w:val="0"/>
          <w:sz w:val="24"/>
          <w:highlight w:val="none"/>
        </w:rPr>
        <w:t>、采购属性：服务类</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4</w:t>
      </w:r>
      <w:r>
        <w:rPr>
          <w:rFonts w:hint="eastAsia" w:ascii="仿宋" w:hAnsi="仿宋" w:eastAsia="仿宋" w:cs="仿宋"/>
          <w:sz w:val="24"/>
          <w:highlight w:val="none"/>
        </w:rPr>
        <w:t>、服务期限：</w:t>
      </w:r>
      <w:r>
        <w:rPr>
          <w:rFonts w:hint="eastAsia" w:ascii="仿宋" w:hAnsi="仿宋" w:eastAsia="仿宋" w:cs="仿宋"/>
          <w:sz w:val="24"/>
          <w:highlight w:val="none"/>
          <w:lang w:val="en-US" w:eastAsia="zh-CN"/>
        </w:rPr>
        <w:t>自合同签订之日起</w:t>
      </w:r>
      <w:r>
        <w:rPr>
          <w:rFonts w:hint="eastAsia" w:ascii="仿宋" w:hAnsi="仿宋" w:eastAsia="仿宋" w:cs="仿宋"/>
          <w:sz w:val="24"/>
          <w:highlight w:val="none"/>
        </w:rPr>
        <w:t>5年。</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5</w:t>
      </w:r>
      <w:r>
        <w:rPr>
          <w:rFonts w:hint="eastAsia" w:ascii="仿宋" w:hAnsi="仿宋" w:eastAsia="仿宋" w:cs="仿宋"/>
          <w:sz w:val="24"/>
          <w:highlight w:val="none"/>
        </w:rPr>
        <w:t xml:space="preserve">  服务地点：上海海事大学临港校区</w:t>
      </w:r>
    </w:p>
    <w:p>
      <w:pPr>
        <w:pStyle w:val="42"/>
        <w:jc w:val="both"/>
        <w:rPr>
          <w:rFonts w:hint="eastAsia" w:ascii="仿宋" w:hAnsi="仿宋" w:eastAsia="仿宋" w:cs="仿宋"/>
          <w:sz w:val="24"/>
          <w:highlight w:val="none"/>
        </w:rPr>
      </w:pPr>
    </w:p>
    <w:p>
      <w:pPr>
        <w:spacing w:after="156" w:afterLines="50" w:line="360" w:lineRule="auto"/>
        <w:ind w:firstLine="482" w:firstLineChars="200"/>
        <w:rPr>
          <w:rFonts w:hint="eastAsia" w:ascii="仿宋" w:hAnsi="仿宋" w:eastAsia="仿宋" w:cs="仿宋"/>
          <w:b/>
          <w:sz w:val="24"/>
          <w:szCs w:val="24"/>
          <w:highlight w:val="none"/>
        </w:rPr>
      </w:pPr>
      <w:bookmarkStart w:id="1" w:name="_Toc519086026"/>
      <w:r>
        <w:rPr>
          <w:rFonts w:hint="eastAsia" w:ascii="仿宋" w:hAnsi="仿宋" w:eastAsia="仿宋" w:cs="仿宋"/>
          <w:b/>
          <w:sz w:val="24"/>
          <w:highlight w:val="none"/>
          <w:lang w:val="en-US" w:eastAsia="zh-CN"/>
        </w:rPr>
        <w:t xml:space="preserve">三   </w:t>
      </w:r>
      <w:r>
        <w:rPr>
          <w:rFonts w:hint="eastAsia" w:ascii="仿宋" w:hAnsi="仿宋" w:eastAsia="仿宋" w:cs="仿宋"/>
          <w:b/>
          <w:sz w:val="24"/>
          <w:highlight w:val="none"/>
        </w:rPr>
        <w:t>项目招标需求</w:t>
      </w:r>
      <w:bookmarkEnd w:id="1"/>
      <w:bookmarkStart w:id="2" w:name="_Toc519086027"/>
    </w:p>
    <w:p>
      <w:pPr>
        <w:pStyle w:val="3"/>
        <w:numPr>
          <w:ilvl w:val="0"/>
          <w:numId w:val="7"/>
        </w:numPr>
        <w:tabs>
          <w:tab w:val="left" w:pos="540"/>
        </w:tabs>
        <w:rPr>
          <w:rFonts w:hint="eastAsia" w:ascii="仿宋" w:hAnsi="仿宋" w:eastAsia="仿宋" w:cs="仿宋"/>
          <w:kern w:val="28"/>
          <w:sz w:val="28"/>
          <w:szCs w:val="28"/>
          <w:highlight w:val="none"/>
          <w:lang w:val="en-AU"/>
        </w:rPr>
      </w:pPr>
      <w:r>
        <w:rPr>
          <w:rFonts w:hint="eastAsia" w:ascii="仿宋" w:hAnsi="仿宋" w:eastAsia="仿宋" w:cs="仿宋"/>
          <w:kern w:val="28"/>
          <w:sz w:val="28"/>
          <w:szCs w:val="28"/>
          <w:highlight w:val="none"/>
          <w:lang w:val="en-AU"/>
        </w:rPr>
        <w:t>项目概述</w:t>
      </w:r>
    </w:p>
    <w:p>
      <w:pPr>
        <w:spacing w:line="360" w:lineRule="auto"/>
        <w:ind w:right="246" w:rightChars="117" w:firstLine="420" w:firstLineChars="200"/>
        <w:rPr>
          <w:rFonts w:hint="eastAsia" w:ascii="仿宋" w:hAnsi="仿宋" w:eastAsia="仿宋" w:cs="仿宋"/>
          <w:spacing w:val="-4"/>
          <w:kern w:val="28"/>
          <w:highlight w:val="none"/>
          <w:lang w:val="en-AU"/>
        </w:rPr>
      </w:pPr>
      <w:r>
        <w:rPr>
          <w:rFonts w:hint="eastAsia" w:ascii="仿宋" w:hAnsi="仿宋" w:eastAsia="仿宋" w:cs="仿宋"/>
          <w:highlight w:val="none"/>
        </w:rPr>
        <w:t>上海海事大学临港校区位于浦东新区海港大道</w:t>
      </w:r>
      <w:r>
        <w:rPr>
          <w:rFonts w:hint="eastAsia" w:ascii="仿宋" w:hAnsi="仿宋" w:eastAsia="仿宋" w:cs="仿宋"/>
          <w:highlight w:val="none"/>
        </w:rPr>
        <w:t>1550</w:t>
      </w:r>
      <w:r>
        <w:rPr>
          <w:rFonts w:hint="eastAsia" w:ascii="仿宋" w:hAnsi="仿宋" w:eastAsia="仿宋" w:cs="仿宋"/>
          <w:highlight w:val="none"/>
        </w:rPr>
        <w:t>号，共有师生约</w:t>
      </w:r>
      <w:r>
        <w:rPr>
          <w:rFonts w:hint="eastAsia" w:ascii="仿宋" w:hAnsi="仿宋" w:eastAsia="仿宋" w:cs="仿宋"/>
          <w:highlight w:val="none"/>
        </w:rPr>
        <w:t>24000</w:t>
      </w:r>
      <w:r>
        <w:rPr>
          <w:rFonts w:hint="eastAsia" w:ascii="仿宋" w:hAnsi="仿宋" w:eastAsia="仿宋" w:cs="仿宋"/>
          <w:highlight w:val="none"/>
        </w:rPr>
        <w:t>人，快递日单量约</w:t>
      </w:r>
      <w:r>
        <w:rPr>
          <w:rFonts w:hint="eastAsia" w:ascii="仿宋" w:hAnsi="仿宋" w:eastAsia="仿宋" w:cs="仿宋"/>
          <w:highlight w:val="none"/>
        </w:rPr>
        <w:t>5000</w:t>
      </w:r>
      <w:r>
        <w:rPr>
          <w:rFonts w:hint="eastAsia" w:ascii="仿宋" w:hAnsi="仿宋" w:eastAsia="仿宋" w:cs="仿宋"/>
          <w:highlight w:val="none"/>
        </w:rPr>
        <w:t>件，峰值量约</w:t>
      </w:r>
      <w:r>
        <w:rPr>
          <w:rFonts w:hint="eastAsia" w:ascii="仿宋" w:hAnsi="仿宋" w:eastAsia="仿宋" w:cs="仿宋"/>
          <w:highlight w:val="none"/>
        </w:rPr>
        <w:t>15000</w:t>
      </w:r>
      <w:r>
        <w:rPr>
          <w:rFonts w:hint="eastAsia" w:ascii="仿宋" w:hAnsi="仿宋" w:eastAsia="仿宋" w:cs="仿宋"/>
          <w:highlight w:val="none"/>
        </w:rPr>
        <w:t>件。现有快递服务中心位于</w:t>
      </w:r>
      <w:r>
        <w:rPr>
          <w:rFonts w:hint="eastAsia" w:ascii="仿宋" w:hAnsi="仿宋" w:eastAsia="仿宋" w:cs="仿宋"/>
          <w:highlight w:val="none"/>
        </w:rPr>
        <w:t>5</w:t>
      </w:r>
      <w:r>
        <w:rPr>
          <w:rFonts w:hint="eastAsia" w:ascii="仿宋" w:hAnsi="仿宋" w:eastAsia="仿宋" w:cs="仿宋"/>
          <w:highlight w:val="none"/>
        </w:rPr>
        <w:t>号门附近，于</w:t>
      </w:r>
      <w:r>
        <w:rPr>
          <w:rFonts w:hint="eastAsia" w:ascii="仿宋" w:hAnsi="仿宋" w:eastAsia="仿宋" w:cs="仿宋"/>
          <w:highlight w:val="none"/>
        </w:rPr>
        <w:t>2016</w:t>
      </w:r>
      <w:r>
        <w:rPr>
          <w:rFonts w:hint="eastAsia" w:ascii="仿宋" w:hAnsi="仿宋" w:eastAsia="仿宋" w:cs="仿宋"/>
          <w:highlight w:val="none"/>
        </w:rPr>
        <w:t>年底建成启用，建筑面积约</w:t>
      </w:r>
      <w:r>
        <w:rPr>
          <w:rFonts w:hint="eastAsia" w:ascii="仿宋" w:hAnsi="仿宋" w:eastAsia="仿宋" w:cs="仿宋"/>
          <w:highlight w:val="none"/>
        </w:rPr>
        <w:t>650</w:t>
      </w:r>
      <w:r>
        <w:rPr>
          <w:rFonts w:hint="eastAsia" w:ascii="仿宋" w:hAnsi="仿宋" w:eastAsia="仿宋" w:cs="仿宋"/>
          <w:highlight w:val="none"/>
          <w:lang w:eastAsia="zh-CN"/>
        </w:rPr>
        <w:t>平方米</w:t>
      </w:r>
      <w:r>
        <w:rPr>
          <w:rFonts w:hint="eastAsia" w:ascii="仿宋" w:hAnsi="仿宋" w:eastAsia="仿宋" w:cs="仿宋"/>
          <w:highlight w:val="none"/>
        </w:rPr>
        <w:t>，为钢结构简易用房。现有学校快递服务中心采用第三方物流的方式为在校师生解决校园快递最后一公里服务，对接了市场约</w:t>
      </w:r>
      <w:r>
        <w:rPr>
          <w:rFonts w:hint="eastAsia" w:ascii="仿宋" w:hAnsi="仿宋" w:eastAsia="仿宋" w:cs="仿宋"/>
          <w:highlight w:val="none"/>
        </w:rPr>
        <w:t>20</w:t>
      </w:r>
      <w:r>
        <w:rPr>
          <w:rFonts w:hint="eastAsia" w:ascii="仿宋" w:hAnsi="仿宋" w:eastAsia="仿宋" w:cs="仿宋"/>
          <w:highlight w:val="none"/>
        </w:rPr>
        <w:t>家快递公司（基本涵盖主流快递公司）。目前快递服务协议于</w:t>
      </w:r>
      <w:r>
        <w:rPr>
          <w:rFonts w:hint="eastAsia" w:ascii="仿宋" w:hAnsi="仿宋" w:eastAsia="仿宋" w:cs="仿宋"/>
          <w:highlight w:val="none"/>
        </w:rPr>
        <w:t>2022</w:t>
      </w:r>
      <w:r>
        <w:rPr>
          <w:rFonts w:hint="eastAsia" w:ascii="仿宋" w:hAnsi="仿宋" w:eastAsia="仿宋" w:cs="仿宋"/>
          <w:highlight w:val="none"/>
        </w:rPr>
        <w:t>年</w:t>
      </w:r>
      <w:r>
        <w:rPr>
          <w:rFonts w:hint="eastAsia" w:ascii="仿宋" w:hAnsi="仿宋" w:eastAsia="仿宋" w:cs="仿宋"/>
          <w:highlight w:val="none"/>
        </w:rPr>
        <w:t>2</w:t>
      </w:r>
      <w:r>
        <w:rPr>
          <w:rFonts w:hint="eastAsia" w:ascii="仿宋" w:hAnsi="仿宋" w:eastAsia="仿宋" w:cs="仿宋"/>
          <w:highlight w:val="none"/>
        </w:rPr>
        <w:t>月份到期，学校计划通过公开招投标寻求新的合作服务商。合同期为五年。</w:t>
      </w:r>
      <w:r>
        <w:rPr>
          <w:rFonts w:hint="eastAsia" w:ascii="仿宋" w:hAnsi="仿宋" w:eastAsia="仿宋" w:cs="仿宋"/>
          <w:spacing w:val="-4"/>
          <w:kern w:val="28"/>
          <w:highlight w:val="none"/>
          <w:lang w:val="en-AU"/>
        </w:rPr>
        <w:t xml:space="preserve"> </w:t>
      </w:r>
    </w:p>
    <w:p>
      <w:pPr>
        <w:pStyle w:val="3"/>
        <w:numPr>
          <w:ilvl w:val="0"/>
          <w:numId w:val="7"/>
        </w:numPr>
        <w:tabs>
          <w:tab w:val="left" w:pos="540"/>
        </w:tabs>
        <w:rPr>
          <w:rFonts w:hint="eastAsia" w:ascii="仿宋" w:hAnsi="仿宋" w:eastAsia="仿宋" w:cs="仿宋"/>
          <w:kern w:val="28"/>
          <w:sz w:val="28"/>
          <w:szCs w:val="28"/>
          <w:highlight w:val="none"/>
          <w:lang w:val="en-AU"/>
        </w:rPr>
      </w:pPr>
      <w:r>
        <w:rPr>
          <w:rFonts w:hint="eastAsia" w:ascii="仿宋" w:hAnsi="仿宋" w:eastAsia="仿宋" w:cs="仿宋"/>
          <w:kern w:val="28"/>
          <w:sz w:val="28"/>
          <w:szCs w:val="28"/>
          <w:highlight w:val="none"/>
          <w:lang w:val="en-AU"/>
        </w:rPr>
        <w:t>合作模式</w:t>
      </w:r>
    </w:p>
    <w:p>
      <w:pPr>
        <w:numPr>
          <w:ilvl w:val="0"/>
          <w:numId w:val="8"/>
        </w:numPr>
        <w:spacing w:line="360" w:lineRule="auto"/>
        <w:ind w:right="246" w:rightChars="117"/>
        <w:rPr>
          <w:rFonts w:hint="eastAsia" w:ascii="仿宋" w:hAnsi="仿宋" w:eastAsia="仿宋" w:cs="仿宋"/>
          <w:spacing w:val="-4"/>
          <w:kern w:val="28"/>
          <w:highlight w:val="none"/>
          <w:lang w:val="en-AU"/>
        </w:rPr>
      </w:pPr>
      <w:r>
        <w:rPr>
          <w:rFonts w:hint="eastAsia" w:ascii="仿宋" w:hAnsi="仿宋" w:eastAsia="仿宋" w:cs="仿宋"/>
          <w:spacing w:val="-4"/>
          <w:kern w:val="28"/>
          <w:highlight w:val="none"/>
        </w:rPr>
        <w:t>采用第三方物流的经营模式</w:t>
      </w:r>
      <w:r>
        <w:rPr>
          <w:rFonts w:hint="eastAsia" w:ascii="仿宋" w:hAnsi="仿宋" w:eastAsia="仿宋" w:cs="仿宋"/>
          <w:spacing w:val="-4"/>
          <w:kern w:val="28"/>
          <w:highlight w:val="none"/>
          <w:lang w:val="en-AU"/>
        </w:rPr>
        <w:t>。</w:t>
      </w:r>
    </w:p>
    <w:p>
      <w:pPr>
        <w:numPr>
          <w:ilvl w:val="0"/>
          <w:numId w:val="8"/>
        </w:numPr>
        <w:spacing w:line="360" w:lineRule="auto"/>
        <w:ind w:right="246" w:rightChars="117"/>
        <w:rPr>
          <w:rFonts w:hint="eastAsia" w:ascii="仿宋" w:hAnsi="仿宋" w:eastAsia="仿宋" w:cs="仿宋"/>
          <w:spacing w:val="-4"/>
          <w:kern w:val="28"/>
          <w:highlight w:val="none"/>
          <w:lang w:val="en-AU"/>
        </w:rPr>
      </w:pPr>
      <w:r>
        <w:rPr>
          <w:rFonts w:hint="eastAsia" w:ascii="仿宋" w:hAnsi="仿宋" w:eastAsia="仿宋" w:cs="仿宋"/>
          <w:highlight w:val="none"/>
        </w:rPr>
        <w:t>经营范围：各类快递派送、收发（包含国内快递、国际快递和港澳台快递）。</w:t>
      </w:r>
    </w:p>
    <w:p>
      <w:pPr>
        <w:numPr>
          <w:ilvl w:val="0"/>
          <w:numId w:val="8"/>
        </w:numPr>
        <w:spacing w:line="360" w:lineRule="auto"/>
        <w:ind w:right="246" w:rightChars="117"/>
        <w:rPr>
          <w:rFonts w:hint="eastAsia" w:ascii="仿宋" w:hAnsi="仿宋" w:eastAsia="仿宋" w:cs="仿宋"/>
          <w:spacing w:val="-4"/>
          <w:kern w:val="28"/>
          <w:highlight w:val="none"/>
        </w:rPr>
      </w:pPr>
      <w:r>
        <w:rPr>
          <w:rFonts w:hint="eastAsia" w:ascii="仿宋" w:hAnsi="仿宋" w:eastAsia="仿宋" w:cs="仿宋"/>
          <w:spacing w:val="-4"/>
          <w:kern w:val="28"/>
          <w:highlight w:val="none"/>
        </w:rPr>
        <w:t>学校提供现有快递中心用房，中标</w:t>
      </w:r>
      <w:r>
        <w:rPr>
          <w:rFonts w:hint="eastAsia" w:ascii="仿宋" w:hAnsi="仿宋" w:eastAsia="仿宋" w:cs="仿宋"/>
          <w:highlight w:val="none"/>
        </w:rPr>
        <w:t>服务商须提供第三方房屋质量检测单位针对快递中心用房的检测报告，根据检测结果</w:t>
      </w:r>
      <w:r>
        <w:rPr>
          <w:rFonts w:hint="eastAsia" w:ascii="仿宋" w:hAnsi="仿宋" w:eastAsia="仿宋" w:cs="仿宋"/>
          <w:spacing w:val="-4"/>
          <w:kern w:val="28"/>
          <w:highlight w:val="none"/>
        </w:rPr>
        <w:t>进行加固或改造，相关改造</w:t>
      </w:r>
      <w:r>
        <w:rPr>
          <w:rFonts w:hint="eastAsia" w:ascii="仿宋" w:hAnsi="仿宋" w:eastAsia="仿宋" w:cs="仿宋"/>
          <w:spacing w:val="-4"/>
          <w:kern w:val="28"/>
          <w:highlight w:val="none"/>
          <w:lang w:val="en-AU"/>
        </w:rPr>
        <w:t>方案符合房屋质量标准要求，</w:t>
      </w:r>
      <w:r>
        <w:rPr>
          <w:rFonts w:hint="eastAsia" w:ascii="仿宋" w:hAnsi="仿宋" w:eastAsia="仿宋" w:cs="仿宋"/>
          <w:spacing w:val="-4"/>
          <w:kern w:val="28"/>
          <w:highlight w:val="none"/>
        </w:rPr>
        <w:t>须经学校批准同意后再实施</w:t>
      </w:r>
      <w:r>
        <w:rPr>
          <w:rFonts w:hint="eastAsia" w:ascii="仿宋" w:hAnsi="仿宋" w:eastAsia="仿宋" w:cs="仿宋"/>
          <w:spacing w:val="-4"/>
          <w:kern w:val="28"/>
          <w:highlight w:val="none"/>
          <w:lang w:val="en-AU"/>
        </w:rPr>
        <w:t>。</w:t>
      </w:r>
      <w:r>
        <w:rPr>
          <w:rFonts w:hint="eastAsia" w:ascii="仿宋" w:hAnsi="仿宋" w:eastAsia="仿宋" w:cs="仿宋"/>
          <w:spacing w:val="-4"/>
          <w:kern w:val="28"/>
          <w:highlight w:val="none"/>
        </w:rPr>
        <w:t>现有邮政用房及学校收发室用房仍由学校负责调配。按照学校要求将</w:t>
      </w:r>
      <w:r>
        <w:rPr>
          <w:rFonts w:hint="eastAsia" w:ascii="仿宋" w:hAnsi="仿宋" w:eastAsia="仿宋" w:cs="仿宋"/>
          <w:highlight w:val="none"/>
        </w:rPr>
        <w:t>现有周边绿化带改造成硬质路面，方便安排拆包处，以及方便学生停车；周边道路改造，拐角路面凹陷处的修补和改造，方便车辆进出；周边自行车位改造，方便安排室外智能快递柜；</w:t>
      </w:r>
    </w:p>
    <w:p>
      <w:pPr>
        <w:numPr>
          <w:ilvl w:val="0"/>
          <w:numId w:val="8"/>
        </w:numPr>
        <w:spacing w:line="360" w:lineRule="auto"/>
        <w:ind w:right="246" w:rightChars="117"/>
        <w:rPr>
          <w:rFonts w:hint="eastAsia" w:ascii="仿宋" w:hAnsi="仿宋" w:eastAsia="仿宋" w:cs="仿宋"/>
          <w:spacing w:val="-4"/>
          <w:kern w:val="28"/>
          <w:highlight w:val="none"/>
        </w:rPr>
      </w:pPr>
      <w:r>
        <w:rPr>
          <w:rFonts w:hint="eastAsia" w:ascii="仿宋" w:hAnsi="仿宋" w:eastAsia="仿宋" w:cs="仿宋"/>
          <w:highlight w:val="none"/>
        </w:rPr>
        <w:t>中标服务商每年须向学校缴纳校园管理服务费用。</w:t>
      </w:r>
    </w:p>
    <w:p>
      <w:pPr>
        <w:numPr>
          <w:ilvl w:val="0"/>
          <w:numId w:val="8"/>
        </w:numPr>
        <w:spacing w:line="360" w:lineRule="auto"/>
        <w:ind w:right="246" w:rightChars="117"/>
        <w:rPr>
          <w:rFonts w:hint="eastAsia" w:ascii="仿宋" w:hAnsi="仿宋" w:eastAsia="仿宋" w:cs="仿宋"/>
          <w:spacing w:val="-4"/>
          <w:kern w:val="28"/>
          <w:highlight w:val="none"/>
          <w:lang w:val="en-AU"/>
        </w:rPr>
      </w:pPr>
      <w:r>
        <w:rPr>
          <w:rFonts w:hint="eastAsia" w:ascii="仿宋" w:hAnsi="仿宋" w:eastAsia="仿宋" w:cs="仿宋"/>
          <w:spacing w:val="-4"/>
          <w:kern w:val="28"/>
          <w:highlight w:val="none"/>
          <w:lang w:val="en-AU"/>
        </w:rPr>
        <w:t>服</w:t>
      </w:r>
      <w:r>
        <w:rPr>
          <w:rFonts w:hint="eastAsia" w:ascii="仿宋" w:hAnsi="仿宋" w:eastAsia="仿宋" w:cs="仿宋"/>
          <w:spacing w:val="-4"/>
          <w:kern w:val="28"/>
          <w:highlight w:val="none"/>
        </w:rPr>
        <w:t>务商自合同签订之日起，</w:t>
      </w:r>
      <w:r>
        <w:rPr>
          <w:rFonts w:hint="eastAsia" w:ascii="仿宋" w:hAnsi="仿宋" w:eastAsia="仿宋" w:cs="仿宋"/>
          <w:spacing w:val="-4"/>
          <w:kern w:val="28"/>
          <w:highlight w:val="none"/>
        </w:rPr>
        <w:t>30</w:t>
      </w:r>
      <w:r>
        <w:rPr>
          <w:rFonts w:hint="eastAsia" w:ascii="仿宋" w:hAnsi="仿宋" w:eastAsia="仿宋" w:cs="仿宋"/>
          <w:spacing w:val="-4"/>
          <w:kern w:val="28"/>
          <w:highlight w:val="none"/>
        </w:rPr>
        <w:t>个工作日内完成全部投资，包括</w:t>
      </w:r>
      <w:r>
        <w:rPr>
          <w:rFonts w:hint="eastAsia" w:ascii="仿宋" w:hAnsi="仿宋" w:eastAsia="仿宋" w:cs="仿宋"/>
          <w:spacing w:val="-4"/>
          <w:kern w:val="28"/>
          <w:highlight w:val="none"/>
          <w:lang w:eastAsia="zh-CN"/>
        </w:rPr>
        <w:t>：</w:t>
      </w:r>
      <w:r>
        <w:rPr>
          <w:rFonts w:hint="eastAsia" w:ascii="仿宋" w:hAnsi="仿宋" w:eastAsia="仿宋" w:cs="仿宋"/>
          <w:spacing w:val="-4"/>
          <w:kern w:val="28"/>
          <w:highlight w:val="none"/>
        </w:rPr>
        <w:t>费用缴纳、履约保证金</w:t>
      </w:r>
      <w:r>
        <w:rPr>
          <w:rFonts w:hint="eastAsia" w:ascii="仿宋" w:hAnsi="仿宋" w:eastAsia="仿宋" w:cs="仿宋"/>
          <w:spacing w:val="-4"/>
          <w:kern w:val="28"/>
          <w:highlight w:val="none"/>
          <w:lang w:val="en-AU"/>
        </w:rPr>
        <w:t>及设施设备投资等，</w:t>
      </w:r>
      <w:r>
        <w:rPr>
          <w:rFonts w:hint="eastAsia" w:ascii="仿宋" w:hAnsi="仿宋" w:eastAsia="仿宋" w:cs="仿宋"/>
          <w:spacing w:val="-4"/>
          <w:kern w:val="28"/>
          <w:highlight w:val="none"/>
        </w:rPr>
        <w:t>确保快递中心正常运转</w:t>
      </w:r>
      <w:r>
        <w:rPr>
          <w:rFonts w:hint="eastAsia" w:ascii="仿宋" w:hAnsi="仿宋" w:eastAsia="仿宋" w:cs="仿宋"/>
          <w:spacing w:val="-4"/>
          <w:kern w:val="28"/>
          <w:highlight w:val="none"/>
          <w:lang w:val="en-AU"/>
        </w:rPr>
        <w:t>。</w:t>
      </w:r>
    </w:p>
    <w:p>
      <w:pPr>
        <w:pStyle w:val="3"/>
        <w:numPr>
          <w:ilvl w:val="0"/>
          <w:numId w:val="7"/>
        </w:numPr>
        <w:tabs>
          <w:tab w:val="left" w:pos="540"/>
        </w:tabs>
        <w:rPr>
          <w:rFonts w:hint="eastAsia" w:ascii="仿宋" w:hAnsi="仿宋" w:eastAsia="仿宋" w:cs="仿宋"/>
          <w:kern w:val="28"/>
          <w:sz w:val="28"/>
          <w:szCs w:val="28"/>
          <w:highlight w:val="none"/>
          <w:lang w:val="en-AU"/>
        </w:rPr>
      </w:pPr>
      <w:r>
        <w:rPr>
          <w:rFonts w:hint="eastAsia" w:ascii="仿宋" w:hAnsi="仿宋" w:eastAsia="仿宋" w:cs="仿宋"/>
          <w:kern w:val="28"/>
          <w:sz w:val="28"/>
          <w:szCs w:val="28"/>
          <w:highlight w:val="none"/>
          <w:lang w:val="en-AU"/>
        </w:rPr>
        <w:t>服务业务范围及服务要求</w:t>
      </w:r>
    </w:p>
    <w:p>
      <w:pPr>
        <w:numPr>
          <w:ilvl w:val="0"/>
          <w:numId w:val="9"/>
        </w:numPr>
        <w:spacing w:line="360" w:lineRule="auto"/>
        <w:ind w:right="246" w:rightChars="117"/>
        <w:rPr>
          <w:rFonts w:hint="eastAsia" w:ascii="仿宋" w:hAnsi="仿宋" w:eastAsia="仿宋" w:cs="仿宋"/>
          <w:spacing w:val="-4"/>
          <w:kern w:val="28"/>
          <w:highlight w:val="none"/>
        </w:rPr>
      </w:pPr>
      <w:r>
        <w:rPr>
          <w:rFonts w:hint="eastAsia" w:ascii="仿宋" w:hAnsi="仿宋" w:eastAsia="仿宋" w:cs="仿宋"/>
          <w:spacing w:val="-4"/>
          <w:kern w:val="28"/>
          <w:highlight w:val="none"/>
        </w:rPr>
        <w:t>服务商须建立统一、标准、规范的校园快递服务中心，全面负责快递的集中运营和管理工作，实现</w:t>
      </w:r>
      <w:r>
        <w:rPr>
          <w:rFonts w:hint="eastAsia" w:ascii="仿宋" w:hAnsi="仿宋" w:eastAsia="仿宋" w:cs="仿宋"/>
          <w:spacing w:val="-4"/>
          <w:kern w:val="28"/>
          <w:highlight w:val="none"/>
        </w:rPr>
        <w:t>7*24</w:t>
      </w:r>
      <w:r>
        <w:rPr>
          <w:rFonts w:hint="eastAsia" w:ascii="仿宋" w:hAnsi="仿宋" w:eastAsia="仿宋" w:cs="仿宋"/>
          <w:spacing w:val="-4"/>
          <w:kern w:val="28"/>
          <w:highlight w:val="none"/>
        </w:rPr>
        <w:t>小时智能化快递服务，每月向管理方提供一份管理报告。</w:t>
      </w:r>
    </w:p>
    <w:p>
      <w:pPr>
        <w:numPr>
          <w:ilvl w:val="0"/>
          <w:numId w:val="9"/>
        </w:numPr>
        <w:spacing w:line="360" w:lineRule="auto"/>
        <w:ind w:right="246" w:rightChars="117"/>
        <w:rPr>
          <w:rFonts w:hint="eastAsia" w:ascii="仿宋" w:hAnsi="仿宋" w:eastAsia="仿宋" w:cs="仿宋"/>
          <w:spacing w:val="-4"/>
          <w:kern w:val="28"/>
          <w:highlight w:val="none"/>
        </w:rPr>
      </w:pPr>
      <w:r>
        <w:rPr>
          <w:rFonts w:hint="eastAsia" w:ascii="仿宋" w:hAnsi="仿宋" w:eastAsia="仿宋" w:cs="仿宋"/>
          <w:spacing w:val="-4"/>
          <w:kern w:val="28"/>
          <w:highlight w:val="none"/>
        </w:rPr>
        <w:t>服务商在现有快递服务中心设立接驳区、暂存区、人工值守服务区、智能快递柜自助服务区</w:t>
      </w:r>
      <w:r>
        <w:rPr>
          <w:rFonts w:hint="eastAsia" w:ascii="仿宋" w:hAnsi="仿宋" w:eastAsia="仿宋" w:cs="仿宋"/>
          <w:spacing w:val="-4"/>
          <w:kern w:val="28"/>
          <w:highlight w:val="none"/>
          <w:lang w:eastAsia="zh-CN"/>
        </w:rPr>
        <w:t>、</w:t>
      </w:r>
      <w:r>
        <w:rPr>
          <w:rFonts w:hint="eastAsia" w:ascii="仿宋" w:hAnsi="仿宋" w:eastAsia="仿宋" w:cs="仿宋"/>
          <w:spacing w:val="-4"/>
          <w:kern w:val="28"/>
          <w:highlight w:val="none"/>
        </w:rPr>
        <w:t>货架自助取件区、拆包区以及相关运营系统、技术服务和安全设施等。确保周边环境整洁，设施完好。服务商如有优化建议，可在投标文件内进行说明。</w:t>
      </w:r>
    </w:p>
    <w:p>
      <w:pPr>
        <w:numPr>
          <w:ilvl w:val="0"/>
          <w:numId w:val="9"/>
        </w:numPr>
        <w:spacing w:line="360" w:lineRule="auto"/>
        <w:ind w:right="246" w:rightChars="117"/>
        <w:rPr>
          <w:rFonts w:hint="eastAsia" w:ascii="仿宋" w:hAnsi="仿宋" w:eastAsia="仿宋" w:cs="仿宋"/>
          <w:spacing w:val="-4"/>
          <w:kern w:val="28"/>
          <w:highlight w:val="none"/>
        </w:rPr>
      </w:pPr>
      <w:r>
        <w:rPr>
          <w:rFonts w:hint="eastAsia" w:ascii="仿宋" w:hAnsi="仿宋" w:eastAsia="仿宋" w:cs="仿宋"/>
          <w:spacing w:val="-4"/>
          <w:kern w:val="28"/>
          <w:highlight w:val="none"/>
        </w:rPr>
        <w:t>服务商的服务对象仅限于本校师生和职工，不得利用学校所提供的场地，为校外人员或单位提供快递收发服务。服务商如需开展快递业务之外的增值业务，须经学校批准，并承担由此带来的风险与责任。</w:t>
      </w:r>
    </w:p>
    <w:p>
      <w:pPr>
        <w:numPr>
          <w:ilvl w:val="0"/>
          <w:numId w:val="9"/>
        </w:numPr>
        <w:spacing w:line="360" w:lineRule="auto"/>
        <w:ind w:right="246" w:rightChars="117"/>
        <w:rPr>
          <w:rFonts w:hint="eastAsia" w:ascii="仿宋" w:hAnsi="仿宋" w:eastAsia="仿宋" w:cs="仿宋"/>
          <w:spacing w:val="-4"/>
          <w:kern w:val="28"/>
          <w:highlight w:val="none"/>
        </w:rPr>
      </w:pPr>
      <w:r>
        <w:rPr>
          <w:rFonts w:hint="eastAsia" w:ascii="仿宋" w:hAnsi="仿宋" w:eastAsia="仿宋" w:cs="仿宋"/>
          <w:spacing w:val="-4"/>
          <w:kern w:val="28"/>
          <w:highlight w:val="none"/>
        </w:rPr>
        <w:t>快递费用：校园快递寄件价格不高于现有校园快递公司服务师生的价格，投标文件中需要将所有快递公司价格一一体现，该项将作为评标的一项依据。投标人收费标准须公开透明，不得向师生额外收取快递费用；学校要求所有快递公司投递价格上墙公示，师生根据价格及服务满意度自主选择快递公司，快递中心人员不得干预。寄件价格在征得学校同意的前提下，可以随快递官网调整而调整。</w:t>
      </w:r>
    </w:p>
    <w:p>
      <w:pPr>
        <w:numPr>
          <w:ilvl w:val="0"/>
          <w:numId w:val="9"/>
        </w:numPr>
        <w:spacing w:line="360" w:lineRule="auto"/>
        <w:ind w:right="246" w:rightChars="117"/>
        <w:rPr>
          <w:rFonts w:hint="eastAsia" w:ascii="仿宋" w:hAnsi="仿宋" w:eastAsia="仿宋" w:cs="仿宋"/>
          <w:spacing w:val="-4"/>
          <w:kern w:val="28"/>
          <w:highlight w:val="none"/>
        </w:rPr>
      </w:pPr>
      <w:r>
        <w:rPr>
          <w:rFonts w:hint="eastAsia" w:ascii="仿宋" w:hAnsi="仿宋" w:eastAsia="仿宋" w:cs="仿宋"/>
          <w:spacing w:val="-4"/>
          <w:kern w:val="28"/>
          <w:highlight w:val="none"/>
        </w:rPr>
        <w:t>服务商使用快递智能综合管理系统，实现各类快递公司的服务整合，对取件进行科学的综合管理；配备智能快递柜，应当充分满足师生收发快递需求，按照师生数约</w:t>
      </w:r>
      <w:r>
        <w:rPr>
          <w:rFonts w:hint="eastAsia" w:ascii="仿宋" w:hAnsi="仿宋" w:eastAsia="仿宋" w:cs="仿宋"/>
          <w:spacing w:val="-4"/>
          <w:kern w:val="28"/>
          <w:highlight w:val="none"/>
        </w:rPr>
        <w:t>3:1</w:t>
      </w:r>
      <w:r>
        <w:rPr>
          <w:rFonts w:hint="eastAsia" w:ascii="仿宋" w:hAnsi="仿宋" w:eastAsia="仿宋" w:cs="仿宋"/>
          <w:spacing w:val="-4"/>
          <w:kern w:val="28"/>
          <w:highlight w:val="none"/>
        </w:rPr>
        <w:t>的比例配置格口。最低不少于</w:t>
      </w:r>
      <w:r>
        <w:rPr>
          <w:rFonts w:hint="eastAsia" w:ascii="仿宋" w:hAnsi="仿宋" w:eastAsia="仿宋" w:cs="仿宋"/>
          <w:spacing w:val="-4"/>
          <w:kern w:val="28"/>
          <w:highlight w:val="none"/>
        </w:rPr>
        <w:t>8000</w:t>
      </w:r>
      <w:r>
        <w:rPr>
          <w:rFonts w:hint="eastAsia" w:ascii="仿宋" w:hAnsi="仿宋" w:eastAsia="仿宋" w:cs="仿宋"/>
          <w:spacing w:val="-4"/>
          <w:kern w:val="28"/>
          <w:highlight w:val="none"/>
        </w:rPr>
        <w:t>格口的配置，须在签约后一个月内全部投入并保证其正常使用，后续如学校师生数增加，按比例适时增配格口。可以实现</w:t>
      </w:r>
      <w:r>
        <w:rPr>
          <w:rFonts w:hint="eastAsia" w:ascii="仿宋" w:hAnsi="仿宋" w:eastAsia="仿宋" w:cs="仿宋"/>
          <w:spacing w:val="-4"/>
          <w:kern w:val="28"/>
          <w:highlight w:val="none"/>
        </w:rPr>
        <w:t>24</w:t>
      </w:r>
      <w:r>
        <w:rPr>
          <w:rFonts w:hint="eastAsia" w:ascii="仿宋" w:hAnsi="仿宋" w:eastAsia="仿宋" w:cs="仿宋"/>
          <w:spacing w:val="-4"/>
          <w:kern w:val="28"/>
          <w:highlight w:val="none"/>
        </w:rPr>
        <w:t>小时自助取件，便于师生下班放学后领取物件。</w:t>
      </w:r>
    </w:p>
    <w:p>
      <w:pPr>
        <w:numPr>
          <w:ilvl w:val="0"/>
          <w:numId w:val="9"/>
        </w:numPr>
        <w:spacing w:line="360" w:lineRule="auto"/>
        <w:ind w:right="246" w:rightChars="117"/>
        <w:rPr>
          <w:rFonts w:hint="eastAsia" w:ascii="仿宋" w:hAnsi="仿宋" w:eastAsia="仿宋" w:cs="仿宋"/>
          <w:spacing w:val="-4"/>
          <w:kern w:val="28"/>
          <w:highlight w:val="none"/>
        </w:rPr>
      </w:pPr>
      <w:r>
        <w:rPr>
          <w:rFonts w:hint="eastAsia" w:ascii="仿宋" w:hAnsi="仿宋" w:eastAsia="仿宋" w:cs="仿宋"/>
          <w:spacing w:val="-4"/>
          <w:kern w:val="28"/>
          <w:highlight w:val="none"/>
        </w:rPr>
        <w:t>服务商应建立预警机制和相关应急方案，确保派件及时、物件完好。须针对新生开学、双十一等快递量高峰时期，提出解决方案（例如无人快递送货车等方式）和服务质量承诺，这也是评标的一项重要依据。</w:t>
      </w:r>
    </w:p>
    <w:p>
      <w:pPr>
        <w:numPr>
          <w:ilvl w:val="0"/>
          <w:numId w:val="9"/>
        </w:numPr>
        <w:spacing w:line="360" w:lineRule="auto"/>
        <w:ind w:right="246" w:rightChars="117"/>
        <w:rPr>
          <w:rFonts w:hint="eastAsia" w:ascii="仿宋" w:hAnsi="仿宋" w:eastAsia="仿宋" w:cs="仿宋"/>
          <w:spacing w:val="-4"/>
          <w:kern w:val="28"/>
          <w:highlight w:val="none"/>
        </w:rPr>
      </w:pPr>
      <w:r>
        <w:rPr>
          <w:rFonts w:hint="eastAsia" w:ascii="仿宋" w:hAnsi="仿宋" w:eastAsia="仿宋" w:cs="仿宋"/>
          <w:spacing w:val="-4"/>
          <w:kern w:val="28"/>
          <w:highlight w:val="none"/>
        </w:rPr>
        <w:t>服务商须在签约后一个月内与校园内及周边为广大师生提供快递收寄服务的所有快递公司（包括但不限于四通一达、顺丰、京东、天猫、极兔、聚美、亚马逊、一号店、当当等）签订合作协议，代理集中配送服务。如一个月内未完成整合，扣除</w:t>
      </w:r>
      <w:r>
        <w:rPr>
          <w:rFonts w:hint="eastAsia" w:ascii="仿宋" w:hAnsi="仿宋" w:eastAsia="仿宋" w:cs="仿宋"/>
          <w:spacing w:val="-4"/>
          <w:kern w:val="28"/>
          <w:highlight w:val="none"/>
        </w:rPr>
        <w:t>2</w:t>
      </w:r>
      <w:r>
        <w:rPr>
          <w:rFonts w:hint="eastAsia" w:ascii="仿宋" w:hAnsi="仿宋" w:eastAsia="仿宋" w:cs="仿宋"/>
          <w:spacing w:val="-4"/>
          <w:kern w:val="28"/>
          <w:highlight w:val="none"/>
        </w:rPr>
        <w:t>万元履约保证金；如三个月内仍未完成所有快递公司整合，扣除</w:t>
      </w:r>
      <w:r>
        <w:rPr>
          <w:rFonts w:hint="eastAsia" w:ascii="仿宋" w:hAnsi="仿宋" w:eastAsia="仿宋" w:cs="仿宋"/>
          <w:spacing w:val="-4"/>
          <w:kern w:val="28"/>
          <w:highlight w:val="none"/>
        </w:rPr>
        <w:t>10</w:t>
      </w:r>
      <w:r>
        <w:rPr>
          <w:rFonts w:hint="eastAsia" w:ascii="仿宋" w:hAnsi="仿宋" w:eastAsia="仿宋" w:cs="仿宋"/>
          <w:spacing w:val="-4"/>
          <w:kern w:val="28"/>
          <w:highlight w:val="none"/>
        </w:rPr>
        <w:t>万元履约保证金，同时学校有权单方面解约。如后期出现新的主流快递公司，服务商需按学校要求及时签约合作。服务期间，如有快递公司脱离学校快递中心，一经查实，属于中标服务商的责任，罚款</w:t>
      </w:r>
      <w:r>
        <w:rPr>
          <w:rFonts w:hint="eastAsia" w:ascii="仿宋" w:hAnsi="仿宋" w:eastAsia="仿宋" w:cs="仿宋"/>
          <w:spacing w:val="-4"/>
          <w:kern w:val="28"/>
          <w:highlight w:val="none"/>
        </w:rPr>
        <w:t>2</w:t>
      </w:r>
      <w:r>
        <w:rPr>
          <w:rFonts w:hint="eastAsia" w:ascii="仿宋" w:hAnsi="仿宋" w:eastAsia="仿宋" w:cs="仿宋"/>
          <w:spacing w:val="-4"/>
          <w:kern w:val="28"/>
          <w:highlight w:val="none"/>
        </w:rPr>
        <w:t>千元，同时须在一个月内完成整合。</w:t>
      </w:r>
    </w:p>
    <w:p>
      <w:pPr>
        <w:numPr>
          <w:ilvl w:val="0"/>
          <w:numId w:val="9"/>
        </w:numPr>
        <w:spacing w:line="360" w:lineRule="auto"/>
        <w:ind w:right="246" w:rightChars="117"/>
        <w:rPr>
          <w:rFonts w:hint="eastAsia" w:ascii="仿宋" w:hAnsi="仿宋" w:eastAsia="仿宋" w:cs="仿宋"/>
          <w:spacing w:val="-4"/>
          <w:kern w:val="28"/>
          <w:highlight w:val="none"/>
        </w:rPr>
      </w:pPr>
      <w:r>
        <w:rPr>
          <w:rFonts w:hint="eastAsia" w:ascii="仿宋" w:hAnsi="仿宋" w:eastAsia="仿宋" w:cs="仿宋"/>
          <w:spacing w:val="-4"/>
          <w:kern w:val="28"/>
          <w:highlight w:val="none"/>
        </w:rPr>
        <w:t>人员要求：服务商需保证在经营期间派驻充足的专职服务人员（含驻点负责人）驻场工作，以保证快递服务中心正常运行（服务团队需在投标文件中明确，也是评标的一项依据）。服务人员需统一着装、文明礼貌服务，人员信息需向学校备案。项目人员配备有详细的方案且岗位职责明确，凡有变更情况应及时联系管理部门。服务商工作人员的食宿交通，由服务商自行解决。</w:t>
      </w:r>
    </w:p>
    <w:p>
      <w:pPr>
        <w:numPr>
          <w:ilvl w:val="0"/>
          <w:numId w:val="9"/>
        </w:numPr>
        <w:spacing w:line="360" w:lineRule="auto"/>
        <w:ind w:right="246" w:rightChars="117"/>
        <w:rPr>
          <w:rFonts w:hint="eastAsia" w:ascii="仿宋" w:hAnsi="仿宋" w:eastAsia="仿宋" w:cs="仿宋"/>
          <w:spacing w:val="-4"/>
          <w:kern w:val="28"/>
          <w:highlight w:val="none"/>
        </w:rPr>
      </w:pPr>
      <w:r>
        <w:rPr>
          <w:rFonts w:hint="eastAsia" w:ascii="仿宋" w:hAnsi="仿宋" w:eastAsia="仿宋" w:cs="仿宋"/>
          <w:spacing w:val="-4"/>
          <w:kern w:val="28"/>
          <w:highlight w:val="none"/>
        </w:rPr>
        <w:t>安全要求：服务商需严格遵守国家、政府部门以及学校的各项规定及要求。服务商全权负责快递服务中心的各项安全工作，制定相关管理制度和应急预案，并配置相关安全设施设备。</w:t>
      </w:r>
    </w:p>
    <w:p>
      <w:pPr>
        <w:numPr>
          <w:ilvl w:val="0"/>
          <w:numId w:val="9"/>
        </w:numPr>
        <w:spacing w:line="360" w:lineRule="auto"/>
        <w:ind w:right="246" w:rightChars="117"/>
        <w:rPr>
          <w:rFonts w:hint="eastAsia" w:ascii="仿宋" w:hAnsi="仿宋" w:eastAsia="仿宋" w:cs="仿宋"/>
          <w:spacing w:val="-4"/>
          <w:kern w:val="28"/>
          <w:highlight w:val="none"/>
        </w:rPr>
      </w:pPr>
      <w:r>
        <w:rPr>
          <w:rFonts w:hint="eastAsia" w:ascii="仿宋" w:hAnsi="仿宋" w:eastAsia="仿宋" w:cs="仿宋"/>
          <w:spacing w:val="-4"/>
          <w:kern w:val="28"/>
          <w:highlight w:val="none"/>
        </w:rPr>
        <w:t>硬件要求：硬件配备需要达到学校建设智能、人性、便捷、高效的校园快递服务中心的要求，并满足本项目内容需要。须承诺遇到硬件故障时，须</w:t>
      </w:r>
      <w:r>
        <w:rPr>
          <w:rFonts w:hint="eastAsia" w:ascii="仿宋" w:hAnsi="仿宋" w:eastAsia="仿宋" w:cs="仿宋"/>
          <w:spacing w:val="-4"/>
          <w:kern w:val="28"/>
          <w:highlight w:val="none"/>
        </w:rPr>
        <w:t>12</w:t>
      </w:r>
      <w:r>
        <w:rPr>
          <w:rFonts w:hint="eastAsia" w:ascii="仿宋" w:hAnsi="仿宋" w:eastAsia="仿宋" w:cs="仿宋"/>
          <w:spacing w:val="-4"/>
          <w:kern w:val="28"/>
          <w:highlight w:val="none"/>
        </w:rPr>
        <w:t>小时内解决问题，并主动与取件人联系。</w:t>
      </w:r>
    </w:p>
    <w:p>
      <w:pPr>
        <w:numPr>
          <w:ilvl w:val="0"/>
          <w:numId w:val="9"/>
        </w:numPr>
        <w:tabs>
          <w:tab w:val="left" w:pos="540"/>
        </w:tabs>
        <w:spacing w:line="360" w:lineRule="auto"/>
        <w:ind w:left="540" w:right="246" w:rightChars="117" w:hanging="540"/>
        <w:rPr>
          <w:rFonts w:hint="eastAsia" w:ascii="仿宋" w:hAnsi="仿宋" w:eastAsia="仿宋" w:cs="仿宋"/>
          <w:spacing w:val="-4"/>
          <w:kern w:val="28"/>
          <w:highlight w:val="none"/>
        </w:rPr>
      </w:pPr>
      <w:r>
        <w:rPr>
          <w:rFonts w:hint="eastAsia" w:ascii="仿宋" w:hAnsi="仿宋" w:eastAsia="仿宋" w:cs="仿宋"/>
          <w:spacing w:val="-4"/>
          <w:kern w:val="28"/>
          <w:highlight w:val="none"/>
        </w:rPr>
        <w:t>用户投诉处理：</w:t>
      </w:r>
    </w:p>
    <w:p>
      <w:pPr>
        <w:widowControl/>
        <w:spacing w:line="360" w:lineRule="auto"/>
        <w:ind w:firstLine="420" w:firstLineChars="200"/>
        <w:jc w:val="left"/>
        <w:rPr>
          <w:rFonts w:hint="eastAsia" w:ascii="仿宋" w:hAnsi="仿宋" w:eastAsia="仿宋" w:cs="仿宋"/>
          <w:highlight w:val="none"/>
        </w:rPr>
      </w:pPr>
      <w:r>
        <w:rPr>
          <w:rFonts w:hint="eastAsia" w:ascii="仿宋" w:hAnsi="仿宋" w:eastAsia="仿宋" w:cs="仿宋"/>
          <w:highlight w:val="none"/>
        </w:rPr>
        <w:t>学校每年组织一次针对快递服务项目的满意度考核，考核周期为经营的一个自然年，考核采用教职工校内数字平台实名制考核，考核满意率低于</w:t>
      </w:r>
      <w:r>
        <w:rPr>
          <w:rFonts w:hint="eastAsia" w:ascii="仿宋" w:hAnsi="仿宋" w:eastAsia="仿宋" w:cs="仿宋"/>
          <w:highlight w:val="none"/>
        </w:rPr>
        <w:t>80%</w:t>
      </w:r>
      <w:r>
        <w:rPr>
          <w:rFonts w:hint="eastAsia" w:ascii="仿宋" w:hAnsi="仿宋" w:eastAsia="仿宋" w:cs="仿宋"/>
          <w:highlight w:val="none"/>
        </w:rPr>
        <w:t>，学校扣除履约保证金</w:t>
      </w:r>
      <w:r>
        <w:rPr>
          <w:rFonts w:hint="eastAsia" w:ascii="仿宋" w:hAnsi="仿宋" w:eastAsia="仿宋" w:cs="仿宋"/>
          <w:highlight w:val="none"/>
        </w:rPr>
        <w:t>3</w:t>
      </w:r>
      <w:r>
        <w:rPr>
          <w:rFonts w:hint="eastAsia" w:ascii="仿宋" w:hAnsi="仿宋" w:eastAsia="仿宋" w:cs="仿宋"/>
          <w:highlight w:val="none"/>
        </w:rPr>
        <w:t>万元；考核满意率低于</w:t>
      </w:r>
      <w:r>
        <w:rPr>
          <w:rFonts w:hint="eastAsia" w:ascii="仿宋" w:hAnsi="仿宋" w:eastAsia="仿宋" w:cs="仿宋"/>
          <w:highlight w:val="none"/>
        </w:rPr>
        <w:t>60%</w:t>
      </w:r>
      <w:r>
        <w:rPr>
          <w:rFonts w:hint="eastAsia" w:ascii="仿宋" w:hAnsi="仿宋" w:eastAsia="仿宋" w:cs="仿宋"/>
          <w:highlight w:val="none"/>
        </w:rPr>
        <w:t>，学校扣除履约保证金</w:t>
      </w:r>
      <w:r>
        <w:rPr>
          <w:rFonts w:hint="eastAsia" w:ascii="仿宋" w:hAnsi="仿宋" w:eastAsia="仿宋" w:cs="仿宋"/>
          <w:highlight w:val="none"/>
        </w:rPr>
        <w:t>6</w:t>
      </w:r>
      <w:r>
        <w:rPr>
          <w:rFonts w:hint="eastAsia" w:ascii="仿宋" w:hAnsi="仿宋" w:eastAsia="仿宋" w:cs="仿宋"/>
          <w:highlight w:val="none"/>
        </w:rPr>
        <w:t>万元；考核满意度低于</w:t>
      </w:r>
      <w:r>
        <w:rPr>
          <w:rFonts w:hint="eastAsia" w:ascii="仿宋" w:hAnsi="仿宋" w:eastAsia="仿宋" w:cs="仿宋"/>
          <w:highlight w:val="none"/>
        </w:rPr>
        <w:t>40%</w:t>
      </w:r>
      <w:r>
        <w:rPr>
          <w:rFonts w:hint="eastAsia" w:ascii="仿宋" w:hAnsi="仿宋" w:eastAsia="仿宋" w:cs="仿宋"/>
          <w:highlight w:val="none"/>
        </w:rPr>
        <w:t>，学校有权单方面终止与快递中心运营单位的合作关系，相关损失由运营单位自行承担。</w:t>
      </w:r>
    </w:p>
    <w:p>
      <w:pPr>
        <w:widowControl/>
        <w:spacing w:line="360" w:lineRule="auto"/>
        <w:ind w:firstLine="420" w:firstLineChars="200"/>
        <w:jc w:val="left"/>
        <w:rPr>
          <w:rFonts w:hint="eastAsia" w:ascii="仿宋" w:hAnsi="仿宋" w:eastAsia="仿宋" w:cs="仿宋"/>
          <w:highlight w:val="none"/>
        </w:rPr>
      </w:pPr>
      <w:r>
        <w:rPr>
          <w:rFonts w:hint="eastAsia" w:ascii="仿宋" w:hAnsi="仿宋" w:eastAsia="仿宋" w:cs="仿宋"/>
          <w:highlight w:val="none"/>
        </w:rPr>
        <w:t>②快递业务收到师生的投诉，一经核实属快递中心过错，校方扣除履约保证金</w:t>
      </w:r>
      <w:r>
        <w:rPr>
          <w:rFonts w:hint="eastAsia" w:ascii="仿宋" w:hAnsi="仿宋" w:eastAsia="仿宋" w:cs="仿宋"/>
          <w:highlight w:val="none"/>
        </w:rPr>
        <w:t>2</w:t>
      </w:r>
      <w:r>
        <w:rPr>
          <w:rFonts w:hint="eastAsia" w:ascii="仿宋" w:hAnsi="仿宋" w:eastAsia="仿宋" w:cs="仿宋"/>
          <w:highlight w:val="none"/>
        </w:rPr>
        <w:t>千元</w:t>
      </w:r>
      <w:r>
        <w:rPr>
          <w:rFonts w:hint="eastAsia" w:ascii="仿宋" w:hAnsi="仿宋" w:eastAsia="仿宋" w:cs="仿宋"/>
          <w:highlight w:val="none"/>
        </w:rPr>
        <w:t>/</w:t>
      </w:r>
      <w:r>
        <w:rPr>
          <w:rFonts w:hint="eastAsia" w:ascii="仿宋" w:hAnsi="仿宋" w:eastAsia="仿宋" w:cs="仿宋"/>
          <w:highlight w:val="none"/>
        </w:rPr>
        <w:t>次。</w:t>
      </w:r>
    </w:p>
    <w:p>
      <w:pPr>
        <w:numPr>
          <w:ilvl w:val="0"/>
          <w:numId w:val="9"/>
        </w:numPr>
        <w:tabs>
          <w:tab w:val="left" w:pos="540"/>
        </w:tabs>
        <w:spacing w:line="360" w:lineRule="auto"/>
        <w:ind w:left="540" w:right="246" w:rightChars="117" w:hanging="540"/>
        <w:rPr>
          <w:rFonts w:hint="eastAsia" w:ascii="仿宋" w:hAnsi="仿宋" w:eastAsia="仿宋" w:cs="仿宋"/>
          <w:spacing w:val="-4"/>
          <w:kern w:val="28"/>
          <w:highlight w:val="none"/>
        </w:rPr>
      </w:pPr>
      <w:r>
        <w:rPr>
          <w:rFonts w:hint="eastAsia" w:ascii="仿宋" w:hAnsi="仿宋" w:eastAsia="仿宋" w:cs="仿宋"/>
          <w:spacing w:val="-4"/>
          <w:kern w:val="28"/>
          <w:highlight w:val="none"/>
        </w:rPr>
        <w:t>抗风险能力要求：服务商针对运营过程中因各种因素引发的事件要具有承担相应责任的能力，要配合落实校园安全稳定的各项处理措施。</w:t>
      </w:r>
    </w:p>
    <w:p>
      <w:pPr>
        <w:numPr>
          <w:ilvl w:val="0"/>
          <w:numId w:val="9"/>
        </w:numPr>
        <w:tabs>
          <w:tab w:val="left" w:pos="540"/>
        </w:tabs>
        <w:spacing w:line="360" w:lineRule="auto"/>
        <w:ind w:left="540" w:right="246" w:rightChars="117" w:hanging="540"/>
        <w:rPr>
          <w:rFonts w:hint="eastAsia" w:ascii="仿宋" w:hAnsi="仿宋" w:eastAsia="仿宋" w:cs="仿宋"/>
          <w:spacing w:val="-4"/>
          <w:kern w:val="28"/>
          <w:highlight w:val="none"/>
        </w:rPr>
      </w:pPr>
      <w:r>
        <w:rPr>
          <w:rFonts w:hint="eastAsia" w:ascii="仿宋" w:hAnsi="仿宋" w:eastAsia="仿宋" w:cs="仿宋"/>
          <w:spacing w:val="-4"/>
          <w:kern w:val="28"/>
          <w:highlight w:val="none"/>
        </w:rPr>
        <w:t>服务商在运营过程中，必须做到全方位保洁和安全管理，并负责门前三包。</w:t>
      </w:r>
    </w:p>
    <w:p>
      <w:pPr>
        <w:numPr>
          <w:ilvl w:val="0"/>
          <w:numId w:val="9"/>
        </w:numPr>
        <w:tabs>
          <w:tab w:val="left" w:pos="540"/>
        </w:tabs>
        <w:spacing w:line="360" w:lineRule="auto"/>
        <w:ind w:left="540" w:right="246" w:rightChars="117" w:hanging="540"/>
        <w:rPr>
          <w:rFonts w:hint="eastAsia" w:ascii="仿宋" w:hAnsi="仿宋" w:eastAsia="仿宋" w:cs="仿宋"/>
          <w:spacing w:val="-4"/>
          <w:kern w:val="28"/>
          <w:highlight w:val="none"/>
        </w:rPr>
      </w:pPr>
      <w:r>
        <w:rPr>
          <w:rFonts w:hint="eastAsia" w:ascii="仿宋" w:hAnsi="仿宋" w:eastAsia="仿宋" w:cs="仿宋"/>
          <w:spacing w:val="-4"/>
          <w:kern w:val="28"/>
          <w:highlight w:val="none"/>
        </w:rPr>
        <w:t>服务商必须保护服务对象的各种信息安全，不得泄露，否则将予追究责任。</w:t>
      </w:r>
    </w:p>
    <w:p>
      <w:pPr>
        <w:numPr>
          <w:ilvl w:val="0"/>
          <w:numId w:val="9"/>
        </w:numPr>
        <w:tabs>
          <w:tab w:val="left" w:pos="540"/>
        </w:tabs>
        <w:spacing w:line="360" w:lineRule="auto"/>
        <w:ind w:left="540" w:right="246" w:rightChars="117" w:hanging="540"/>
        <w:rPr>
          <w:rFonts w:hint="eastAsia" w:ascii="仿宋" w:hAnsi="仿宋" w:eastAsia="仿宋" w:cs="仿宋"/>
          <w:spacing w:val="-4"/>
          <w:kern w:val="28"/>
          <w:highlight w:val="none"/>
        </w:rPr>
      </w:pPr>
      <w:r>
        <w:rPr>
          <w:rFonts w:hint="eastAsia" w:ascii="仿宋" w:hAnsi="仿宋" w:eastAsia="仿宋" w:cs="仿宋"/>
          <w:spacing w:val="-4"/>
          <w:kern w:val="28"/>
          <w:highlight w:val="none"/>
        </w:rPr>
        <w:t>如遇学校大型活动，服务商必须服从相关管理部门的统一管理。</w:t>
      </w:r>
    </w:p>
    <w:p>
      <w:pPr>
        <w:numPr>
          <w:ilvl w:val="0"/>
          <w:numId w:val="9"/>
        </w:numPr>
        <w:tabs>
          <w:tab w:val="left" w:pos="540"/>
        </w:tabs>
        <w:spacing w:line="360" w:lineRule="auto"/>
        <w:ind w:left="540" w:right="246" w:rightChars="117" w:hanging="540"/>
        <w:rPr>
          <w:rFonts w:hint="eastAsia" w:ascii="仿宋" w:hAnsi="仿宋" w:eastAsia="仿宋" w:cs="仿宋"/>
          <w:spacing w:val="-4"/>
          <w:kern w:val="28"/>
          <w:highlight w:val="none"/>
        </w:rPr>
      </w:pPr>
      <w:r>
        <w:rPr>
          <w:rFonts w:hint="eastAsia" w:ascii="仿宋" w:hAnsi="仿宋" w:eastAsia="仿宋" w:cs="仿宋"/>
          <w:spacing w:val="-4"/>
          <w:kern w:val="28"/>
          <w:highlight w:val="none"/>
        </w:rPr>
        <w:t>服务商须服从校园疫情防控常态化管理的相关要求，投标文件中须提供针对快递服务各环节的疫情防控措施方案（包括且不限于：制度、人员管理、物件车辆场所设施消杀等）。</w:t>
      </w:r>
    </w:p>
    <w:p>
      <w:pPr>
        <w:numPr>
          <w:ilvl w:val="0"/>
          <w:numId w:val="9"/>
        </w:numPr>
        <w:tabs>
          <w:tab w:val="left" w:pos="540"/>
        </w:tabs>
        <w:spacing w:line="360" w:lineRule="auto"/>
        <w:ind w:left="540" w:right="246" w:rightChars="117" w:hanging="540"/>
        <w:rPr>
          <w:rFonts w:hint="eastAsia" w:ascii="仿宋" w:hAnsi="仿宋" w:eastAsia="仿宋" w:cs="仿宋"/>
          <w:spacing w:val="-4"/>
          <w:kern w:val="28"/>
          <w:highlight w:val="none"/>
        </w:rPr>
      </w:pPr>
      <w:r>
        <w:rPr>
          <w:rFonts w:hint="eastAsia" w:ascii="仿宋" w:hAnsi="仿宋" w:eastAsia="仿宋" w:cs="仿宋"/>
          <w:spacing w:val="-4"/>
          <w:kern w:val="28"/>
          <w:highlight w:val="none"/>
          <w:lang w:val="en-US" w:eastAsia="zh-CN"/>
        </w:rPr>
        <w:t>增值服务</w:t>
      </w:r>
    </w:p>
    <w:p>
      <w:pPr>
        <w:tabs>
          <w:tab w:val="left" w:pos="0"/>
          <w:tab w:val="left" w:pos="540"/>
        </w:tabs>
        <w:spacing w:line="360" w:lineRule="auto"/>
        <w:ind w:left="360" w:right="246" w:rightChars="117"/>
        <w:rPr>
          <w:rFonts w:hint="eastAsia" w:ascii="仿宋" w:hAnsi="仿宋" w:eastAsia="仿宋" w:cs="仿宋"/>
          <w:spacing w:val="-4"/>
          <w:kern w:val="28"/>
          <w:highlight w:val="none"/>
        </w:rPr>
      </w:pPr>
      <w:r>
        <w:rPr>
          <w:rFonts w:hint="eastAsia" w:ascii="仿宋" w:hAnsi="仿宋" w:eastAsia="仿宋" w:cs="仿宋"/>
          <w:spacing w:val="-4"/>
          <w:kern w:val="28"/>
          <w:highlight w:val="none"/>
        </w:rPr>
        <w:fldChar w:fldCharType="begin"/>
      </w:r>
      <w:r>
        <w:rPr>
          <w:rFonts w:hint="eastAsia" w:ascii="仿宋" w:hAnsi="仿宋" w:eastAsia="仿宋" w:cs="仿宋"/>
          <w:spacing w:val="-4"/>
          <w:kern w:val="28"/>
          <w:highlight w:val="none"/>
        </w:rPr>
        <w:instrText xml:space="preserve"> = 1 \* GB3 </w:instrText>
      </w:r>
      <w:r>
        <w:rPr>
          <w:rFonts w:hint="eastAsia" w:ascii="仿宋" w:hAnsi="仿宋" w:eastAsia="仿宋" w:cs="仿宋"/>
          <w:spacing w:val="-4"/>
          <w:kern w:val="28"/>
          <w:highlight w:val="none"/>
        </w:rPr>
        <w:fldChar w:fldCharType="separate"/>
      </w:r>
      <w:r>
        <w:rPr>
          <w:rFonts w:hint="eastAsia" w:ascii="仿宋" w:hAnsi="仿宋" w:eastAsia="仿宋" w:cs="仿宋"/>
          <w:spacing w:val="-4"/>
          <w:kern w:val="28"/>
          <w:highlight w:val="none"/>
        </w:rPr>
        <w:t>①</w:t>
      </w:r>
      <w:r>
        <w:rPr>
          <w:rFonts w:hint="eastAsia" w:ascii="仿宋" w:hAnsi="仿宋" w:eastAsia="仿宋" w:cs="仿宋"/>
          <w:spacing w:val="-4"/>
          <w:kern w:val="28"/>
          <w:highlight w:val="none"/>
        </w:rPr>
        <w:fldChar w:fldCharType="end"/>
      </w:r>
      <w:r>
        <w:rPr>
          <w:rFonts w:hint="eastAsia" w:ascii="仿宋" w:hAnsi="仿宋" w:eastAsia="仿宋" w:cs="仿宋"/>
          <w:spacing w:val="-4"/>
          <w:kern w:val="28"/>
          <w:highlight w:val="none"/>
        </w:rPr>
        <w:t>服务商如</w:t>
      </w:r>
      <w:r>
        <w:rPr>
          <w:rFonts w:hint="eastAsia" w:ascii="仿宋" w:hAnsi="仿宋" w:eastAsia="仿宋" w:cs="仿宋"/>
          <w:spacing w:val="-4"/>
          <w:kern w:val="28"/>
          <w:highlight w:val="none"/>
          <w:lang w:val="en-US" w:eastAsia="zh-CN"/>
        </w:rPr>
        <w:t>可为上海海事大学基金会</w:t>
      </w:r>
      <w:r>
        <w:rPr>
          <w:rFonts w:hint="eastAsia" w:ascii="仿宋" w:hAnsi="仿宋" w:eastAsia="仿宋" w:cs="仿宋"/>
          <w:spacing w:val="-4"/>
          <w:kern w:val="28"/>
          <w:highlight w:val="none"/>
        </w:rPr>
        <w:t>提供公益性捐资</w:t>
      </w:r>
      <w:r>
        <w:rPr>
          <w:rFonts w:hint="eastAsia" w:ascii="仿宋" w:hAnsi="仿宋" w:eastAsia="仿宋" w:cs="仿宋"/>
          <w:spacing w:val="-4"/>
          <w:kern w:val="28"/>
          <w:highlight w:val="none"/>
          <w:lang w:val="en-US" w:eastAsia="zh-CN"/>
        </w:rPr>
        <w:t>的</w:t>
      </w:r>
      <w:r>
        <w:rPr>
          <w:rFonts w:hint="eastAsia" w:ascii="仿宋" w:hAnsi="仿宋" w:eastAsia="仿宋" w:cs="仿宋"/>
          <w:spacing w:val="-4"/>
          <w:kern w:val="28"/>
          <w:highlight w:val="none"/>
        </w:rPr>
        <w:t>，须在投标文件中</w:t>
      </w:r>
      <w:r>
        <w:rPr>
          <w:rFonts w:hint="eastAsia" w:ascii="仿宋" w:hAnsi="仿宋" w:eastAsia="仿宋" w:cs="仿宋"/>
          <w:spacing w:val="-4"/>
          <w:kern w:val="28"/>
          <w:highlight w:val="none"/>
          <w:lang w:val="en-US" w:eastAsia="zh-CN"/>
        </w:rPr>
        <w:t>可提供</w:t>
      </w:r>
      <w:r>
        <w:rPr>
          <w:rFonts w:hint="eastAsia" w:ascii="仿宋" w:hAnsi="仿宋" w:eastAsia="仿宋" w:cs="仿宋"/>
          <w:spacing w:val="-4"/>
          <w:kern w:val="28"/>
          <w:highlight w:val="none"/>
        </w:rPr>
        <w:t>相关捐资方案承诺，可作为评标重要依据。</w:t>
      </w:r>
    </w:p>
    <w:p>
      <w:pPr>
        <w:tabs>
          <w:tab w:val="left" w:pos="0"/>
          <w:tab w:val="left" w:pos="540"/>
        </w:tabs>
        <w:spacing w:line="360" w:lineRule="auto"/>
        <w:ind w:left="360" w:right="246" w:rightChars="117"/>
        <w:rPr>
          <w:rFonts w:hint="eastAsia" w:ascii="仿宋" w:hAnsi="仿宋" w:eastAsia="仿宋" w:cs="仿宋"/>
          <w:spacing w:val="-4"/>
          <w:kern w:val="28"/>
          <w:highlight w:val="none"/>
        </w:rPr>
      </w:pPr>
      <w:r>
        <w:rPr>
          <w:rFonts w:hint="eastAsia" w:ascii="仿宋" w:hAnsi="仿宋" w:eastAsia="仿宋" w:cs="仿宋"/>
          <w:spacing w:val="-4"/>
          <w:kern w:val="28"/>
          <w:highlight w:val="none"/>
        </w:rPr>
        <w:fldChar w:fldCharType="begin"/>
      </w:r>
      <w:r>
        <w:rPr>
          <w:rFonts w:hint="eastAsia" w:ascii="仿宋" w:hAnsi="仿宋" w:eastAsia="仿宋" w:cs="仿宋"/>
          <w:spacing w:val="-4"/>
          <w:kern w:val="28"/>
          <w:highlight w:val="none"/>
        </w:rPr>
        <w:instrText xml:space="preserve"> = 2 \* GB3 </w:instrText>
      </w:r>
      <w:r>
        <w:rPr>
          <w:rFonts w:hint="eastAsia" w:ascii="仿宋" w:hAnsi="仿宋" w:eastAsia="仿宋" w:cs="仿宋"/>
          <w:spacing w:val="-4"/>
          <w:kern w:val="28"/>
          <w:highlight w:val="none"/>
        </w:rPr>
        <w:fldChar w:fldCharType="separate"/>
      </w:r>
      <w:r>
        <w:rPr>
          <w:rFonts w:hint="eastAsia" w:ascii="仿宋" w:hAnsi="仿宋" w:eastAsia="仿宋" w:cs="仿宋"/>
          <w:spacing w:val="-4"/>
          <w:kern w:val="28"/>
          <w:highlight w:val="none"/>
        </w:rPr>
        <w:t>②</w:t>
      </w:r>
      <w:r>
        <w:rPr>
          <w:rFonts w:hint="eastAsia" w:ascii="仿宋" w:hAnsi="仿宋" w:eastAsia="仿宋" w:cs="仿宋"/>
          <w:spacing w:val="-4"/>
          <w:kern w:val="28"/>
          <w:highlight w:val="none"/>
        </w:rPr>
        <w:fldChar w:fldCharType="end"/>
      </w:r>
      <w:r>
        <w:rPr>
          <w:rFonts w:hint="eastAsia" w:ascii="仿宋" w:hAnsi="仿宋" w:eastAsia="仿宋" w:cs="仿宋"/>
          <w:spacing w:val="-4"/>
          <w:kern w:val="28"/>
          <w:highlight w:val="none"/>
        </w:rPr>
        <w:t>服务商应积极配合承担“三全育人”的社会责任，努力将后勤育人理念融入日常的快递服务工作中，把快递中心打造成大学生实践基地，通过大学生勤工俭学，使快递中心成为大学生受教育、受锻炼的第二课堂育人场所，相关方案</w:t>
      </w:r>
      <w:r>
        <w:rPr>
          <w:rFonts w:hint="eastAsia" w:ascii="仿宋" w:hAnsi="仿宋" w:eastAsia="仿宋" w:cs="仿宋"/>
          <w:spacing w:val="-4"/>
          <w:kern w:val="28"/>
          <w:highlight w:val="none"/>
        </w:rPr>
        <w:t>须体现在投标文件中。</w:t>
      </w:r>
    </w:p>
    <w:p>
      <w:pPr>
        <w:tabs>
          <w:tab w:val="left" w:pos="0"/>
          <w:tab w:val="left" w:pos="540"/>
        </w:tabs>
        <w:spacing w:line="360" w:lineRule="auto"/>
        <w:ind w:left="360" w:right="246" w:rightChars="117"/>
        <w:rPr>
          <w:rFonts w:hint="eastAsia" w:ascii="仿宋" w:hAnsi="仿宋" w:eastAsia="仿宋" w:cs="仿宋"/>
          <w:spacing w:val="-4"/>
          <w:kern w:val="28"/>
          <w:highlight w:val="none"/>
        </w:rPr>
      </w:pPr>
      <w:r>
        <w:rPr>
          <w:rFonts w:hint="eastAsia" w:ascii="仿宋" w:hAnsi="仿宋" w:eastAsia="仿宋" w:cs="仿宋"/>
          <w:spacing w:val="-4"/>
          <w:kern w:val="28"/>
          <w:highlight w:val="none"/>
        </w:rPr>
        <w:fldChar w:fldCharType="begin"/>
      </w:r>
      <w:r>
        <w:rPr>
          <w:rFonts w:hint="eastAsia" w:ascii="仿宋" w:hAnsi="仿宋" w:eastAsia="仿宋" w:cs="仿宋"/>
          <w:spacing w:val="-4"/>
          <w:kern w:val="28"/>
          <w:highlight w:val="none"/>
        </w:rPr>
        <w:instrText xml:space="preserve"> = 3 \* GB3 </w:instrText>
      </w:r>
      <w:r>
        <w:rPr>
          <w:rFonts w:hint="eastAsia" w:ascii="仿宋" w:hAnsi="仿宋" w:eastAsia="仿宋" w:cs="仿宋"/>
          <w:spacing w:val="-4"/>
          <w:kern w:val="28"/>
          <w:highlight w:val="none"/>
        </w:rPr>
        <w:fldChar w:fldCharType="separate"/>
      </w:r>
      <w:r>
        <w:rPr>
          <w:rFonts w:hint="eastAsia" w:ascii="仿宋" w:hAnsi="仿宋" w:eastAsia="仿宋" w:cs="仿宋"/>
          <w:spacing w:val="-4"/>
          <w:kern w:val="28"/>
          <w:highlight w:val="none"/>
        </w:rPr>
        <w:t>③</w:t>
      </w:r>
      <w:r>
        <w:rPr>
          <w:rFonts w:hint="eastAsia" w:ascii="仿宋" w:hAnsi="仿宋" w:eastAsia="仿宋" w:cs="仿宋"/>
          <w:spacing w:val="-4"/>
          <w:kern w:val="28"/>
          <w:highlight w:val="none"/>
        </w:rPr>
        <w:fldChar w:fldCharType="end"/>
      </w:r>
      <w:r>
        <w:rPr>
          <w:rFonts w:hint="eastAsia" w:ascii="仿宋" w:hAnsi="仿宋" w:eastAsia="仿宋" w:cs="仿宋"/>
          <w:spacing w:val="-4"/>
          <w:kern w:val="28"/>
          <w:highlight w:val="none"/>
        </w:rPr>
        <w:t>在毕业季、新生报到等时段向师生开展优惠服务，相关优惠方案须体现在投标文件中。</w:t>
      </w:r>
    </w:p>
    <w:p>
      <w:pPr>
        <w:pStyle w:val="3"/>
        <w:numPr>
          <w:ilvl w:val="0"/>
          <w:numId w:val="7"/>
        </w:numPr>
        <w:tabs>
          <w:tab w:val="left" w:pos="540"/>
        </w:tabs>
        <w:rPr>
          <w:rFonts w:hint="eastAsia" w:ascii="仿宋" w:hAnsi="仿宋" w:eastAsia="仿宋" w:cs="仿宋"/>
          <w:kern w:val="28"/>
          <w:sz w:val="28"/>
          <w:szCs w:val="28"/>
          <w:highlight w:val="none"/>
          <w:lang w:val="en-AU"/>
        </w:rPr>
      </w:pPr>
      <w:r>
        <w:rPr>
          <w:rFonts w:hint="eastAsia" w:ascii="仿宋" w:hAnsi="仿宋" w:eastAsia="仿宋" w:cs="仿宋"/>
          <w:kern w:val="28"/>
          <w:sz w:val="28"/>
          <w:szCs w:val="28"/>
          <w:highlight w:val="none"/>
          <w:lang w:val="en-AU"/>
        </w:rPr>
        <w:t>相关费用</w:t>
      </w:r>
    </w:p>
    <w:p>
      <w:pPr>
        <w:numPr>
          <w:ilvl w:val="0"/>
          <w:numId w:val="10"/>
        </w:numPr>
        <w:tabs>
          <w:tab w:val="left" w:pos="360"/>
        </w:tabs>
        <w:spacing w:line="360" w:lineRule="auto"/>
        <w:ind w:right="246" w:rightChars="117"/>
        <w:rPr>
          <w:rFonts w:hint="eastAsia" w:ascii="仿宋" w:hAnsi="仿宋" w:eastAsia="仿宋" w:cs="仿宋"/>
          <w:spacing w:val="-4"/>
          <w:kern w:val="28"/>
          <w:highlight w:val="none"/>
        </w:rPr>
      </w:pPr>
      <w:r>
        <w:rPr>
          <w:rFonts w:hint="eastAsia" w:ascii="仿宋" w:hAnsi="仿宋" w:eastAsia="仿宋" w:cs="仿宋"/>
          <w:spacing w:val="-4"/>
          <w:kern w:val="28"/>
          <w:highlight w:val="none"/>
        </w:rPr>
        <w:t>中标服务商按照中标金额每年向学校缴纳校园管理服务费用。</w:t>
      </w:r>
    </w:p>
    <w:p>
      <w:pPr>
        <w:numPr>
          <w:ilvl w:val="0"/>
          <w:numId w:val="10"/>
        </w:numPr>
        <w:tabs>
          <w:tab w:val="left" w:pos="360"/>
        </w:tabs>
        <w:spacing w:line="360" w:lineRule="auto"/>
        <w:ind w:right="246" w:rightChars="117"/>
        <w:rPr>
          <w:rFonts w:hint="eastAsia" w:ascii="仿宋" w:hAnsi="仿宋" w:eastAsia="仿宋" w:cs="仿宋"/>
          <w:spacing w:val="-4"/>
          <w:kern w:val="28"/>
          <w:highlight w:val="none"/>
        </w:rPr>
      </w:pPr>
      <w:r>
        <w:rPr>
          <w:rFonts w:hint="eastAsia" w:ascii="仿宋" w:hAnsi="仿宋" w:eastAsia="仿宋" w:cs="仿宋"/>
          <w:spacing w:val="-4"/>
          <w:kern w:val="28"/>
          <w:highlight w:val="none"/>
        </w:rPr>
        <w:t>中标服务商向学校缴纳</w:t>
      </w:r>
      <w:r>
        <w:rPr>
          <w:rFonts w:hint="eastAsia" w:ascii="仿宋" w:hAnsi="仿宋" w:eastAsia="仿宋" w:cs="仿宋"/>
          <w:spacing w:val="-4"/>
          <w:kern w:val="28"/>
          <w:highlight w:val="none"/>
        </w:rPr>
        <w:t>10</w:t>
      </w:r>
      <w:r>
        <w:rPr>
          <w:rFonts w:hint="eastAsia" w:ascii="仿宋" w:hAnsi="仿宋" w:eastAsia="仿宋" w:cs="仿宋"/>
          <w:spacing w:val="-4"/>
          <w:kern w:val="28"/>
          <w:highlight w:val="none"/>
        </w:rPr>
        <w:t>万元履约保证金，中标后，合同签订前缴纳。每次扣除后须在一周内补足。</w:t>
      </w:r>
    </w:p>
    <w:p>
      <w:pPr>
        <w:numPr>
          <w:ilvl w:val="0"/>
          <w:numId w:val="10"/>
        </w:numPr>
        <w:tabs>
          <w:tab w:val="left" w:pos="360"/>
        </w:tabs>
        <w:spacing w:line="360" w:lineRule="auto"/>
        <w:ind w:right="246" w:rightChars="117"/>
        <w:rPr>
          <w:rFonts w:hint="eastAsia" w:ascii="仿宋" w:hAnsi="仿宋" w:eastAsia="仿宋" w:cs="仿宋"/>
          <w:spacing w:val="-4"/>
          <w:kern w:val="28"/>
          <w:highlight w:val="none"/>
        </w:rPr>
      </w:pPr>
      <w:r>
        <w:rPr>
          <w:rFonts w:hint="eastAsia" w:ascii="仿宋" w:hAnsi="仿宋" w:eastAsia="仿宋" w:cs="仿宋"/>
          <w:spacing w:val="-4"/>
          <w:kern w:val="28"/>
          <w:highlight w:val="none"/>
        </w:rPr>
        <w:t>项目建设及运营期间所有相关费用（包括装饰及设备设施投资、运行期间管理人员配备、工资、保险、水电、网络、交通、运输等运营费用和其他费用）均由服务商自行承担。</w:t>
      </w:r>
    </w:p>
    <w:p>
      <w:pPr>
        <w:numPr>
          <w:ilvl w:val="0"/>
          <w:numId w:val="10"/>
        </w:numPr>
        <w:tabs>
          <w:tab w:val="left" w:pos="360"/>
        </w:tabs>
        <w:spacing w:line="360" w:lineRule="auto"/>
        <w:ind w:right="246" w:rightChars="117"/>
        <w:rPr>
          <w:rFonts w:hint="eastAsia" w:ascii="仿宋" w:hAnsi="仿宋" w:eastAsia="仿宋" w:cs="仿宋"/>
          <w:spacing w:val="-4"/>
          <w:kern w:val="28"/>
          <w:highlight w:val="none"/>
        </w:rPr>
      </w:pPr>
      <w:r>
        <w:rPr>
          <w:rFonts w:hint="eastAsia" w:ascii="仿宋" w:hAnsi="仿宋" w:eastAsia="仿宋" w:cs="仿宋"/>
          <w:spacing w:val="-4"/>
          <w:kern w:val="28"/>
          <w:highlight w:val="none"/>
        </w:rPr>
        <w:t>若服务商需要使用校方的水、电、网等资源，需向校方申请使用，单独核算并按时缴纳费用。</w:t>
      </w:r>
    </w:p>
    <w:p>
      <w:pPr>
        <w:pStyle w:val="3"/>
        <w:numPr>
          <w:ilvl w:val="0"/>
          <w:numId w:val="7"/>
        </w:numPr>
        <w:tabs>
          <w:tab w:val="left" w:pos="540"/>
        </w:tabs>
        <w:rPr>
          <w:rFonts w:hint="eastAsia" w:ascii="仿宋" w:hAnsi="仿宋" w:eastAsia="仿宋" w:cs="仿宋"/>
          <w:kern w:val="28"/>
          <w:sz w:val="28"/>
          <w:szCs w:val="28"/>
          <w:highlight w:val="none"/>
          <w:lang w:val="en-AU"/>
        </w:rPr>
      </w:pPr>
      <w:r>
        <w:rPr>
          <w:rFonts w:hint="eastAsia" w:ascii="仿宋" w:hAnsi="仿宋" w:eastAsia="仿宋" w:cs="仿宋"/>
          <w:kern w:val="28"/>
          <w:sz w:val="28"/>
          <w:szCs w:val="28"/>
          <w:highlight w:val="none"/>
          <w:lang w:val="en-AU"/>
        </w:rPr>
        <w:t>退出机制要求</w:t>
      </w:r>
    </w:p>
    <w:p>
      <w:pPr>
        <w:spacing w:line="360" w:lineRule="auto"/>
        <w:ind w:right="246" w:rightChars="117"/>
        <w:rPr>
          <w:rFonts w:hint="eastAsia" w:ascii="仿宋" w:hAnsi="仿宋" w:eastAsia="仿宋" w:cs="仿宋"/>
          <w:spacing w:val="-4"/>
          <w:kern w:val="28"/>
          <w:highlight w:val="none"/>
          <w:lang w:val="en-AU"/>
        </w:rPr>
      </w:pPr>
      <w:r>
        <w:rPr>
          <w:rFonts w:hint="eastAsia" w:ascii="仿宋" w:hAnsi="仿宋" w:eastAsia="仿宋" w:cs="仿宋"/>
          <w:spacing w:val="-4"/>
          <w:kern w:val="28"/>
          <w:highlight w:val="none"/>
          <w:lang w:val="en-AU"/>
        </w:rPr>
        <w:t>若服务商出现下列情况之一，校方有权单方面解除合同：</w:t>
      </w:r>
      <w:r>
        <w:rPr>
          <w:rFonts w:hint="eastAsia" w:ascii="仿宋" w:hAnsi="仿宋" w:eastAsia="仿宋" w:cs="仿宋"/>
          <w:spacing w:val="-4"/>
          <w:kern w:val="28"/>
          <w:highlight w:val="none"/>
          <w:lang w:val="en-AU"/>
        </w:rPr>
        <w:t xml:space="preserve"> </w:t>
      </w:r>
    </w:p>
    <w:p>
      <w:pPr>
        <w:numPr>
          <w:ilvl w:val="0"/>
          <w:numId w:val="11"/>
        </w:numPr>
        <w:tabs>
          <w:tab w:val="left" w:pos="360"/>
        </w:tabs>
        <w:spacing w:line="360" w:lineRule="auto"/>
        <w:ind w:right="246" w:rightChars="117"/>
        <w:rPr>
          <w:rFonts w:hint="eastAsia" w:ascii="仿宋" w:hAnsi="仿宋" w:eastAsia="仿宋" w:cs="仿宋"/>
          <w:spacing w:val="-4"/>
          <w:kern w:val="28"/>
          <w:highlight w:val="none"/>
        </w:rPr>
      </w:pPr>
      <w:r>
        <w:rPr>
          <w:rFonts w:hint="eastAsia" w:ascii="仿宋" w:hAnsi="仿宋" w:eastAsia="仿宋" w:cs="仿宋"/>
          <w:spacing w:val="-4"/>
          <w:kern w:val="28"/>
          <w:highlight w:val="none"/>
        </w:rPr>
        <w:t xml:space="preserve">服务商在经营期间，不服从校方管理，师生投诉率高或卫生、消防、安全等方面工作不符合要求的情况；    </w:t>
      </w:r>
    </w:p>
    <w:p>
      <w:pPr>
        <w:numPr>
          <w:ilvl w:val="0"/>
          <w:numId w:val="11"/>
        </w:numPr>
        <w:tabs>
          <w:tab w:val="left" w:pos="360"/>
        </w:tabs>
        <w:spacing w:line="360" w:lineRule="auto"/>
        <w:ind w:right="246" w:rightChars="117"/>
        <w:rPr>
          <w:rFonts w:hint="eastAsia" w:ascii="仿宋" w:hAnsi="仿宋" w:eastAsia="仿宋" w:cs="仿宋"/>
          <w:spacing w:val="-4"/>
          <w:kern w:val="28"/>
          <w:highlight w:val="none"/>
        </w:rPr>
      </w:pPr>
      <w:r>
        <w:rPr>
          <w:rFonts w:hint="eastAsia" w:ascii="仿宋" w:hAnsi="仿宋" w:eastAsia="仿宋" w:cs="仿宋"/>
          <w:spacing w:val="-4"/>
          <w:kern w:val="28"/>
          <w:highlight w:val="none"/>
        </w:rPr>
        <w:t>服务商在经营期间违反国家、上海市及学校相关规章制度；</w:t>
      </w:r>
    </w:p>
    <w:p>
      <w:pPr>
        <w:numPr>
          <w:ilvl w:val="0"/>
          <w:numId w:val="11"/>
        </w:numPr>
        <w:tabs>
          <w:tab w:val="left" w:pos="360"/>
        </w:tabs>
        <w:spacing w:line="360" w:lineRule="auto"/>
        <w:ind w:right="246" w:rightChars="117"/>
        <w:rPr>
          <w:rFonts w:hint="eastAsia" w:ascii="仿宋" w:hAnsi="仿宋" w:eastAsia="仿宋" w:cs="仿宋"/>
          <w:spacing w:val="-4"/>
          <w:kern w:val="28"/>
          <w:highlight w:val="none"/>
        </w:rPr>
      </w:pPr>
      <w:r>
        <w:rPr>
          <w:rFonts w:hint="eastAsia" w:ascii="仿宋" w:hAnsi="仿宋" w:eastAsia="仿宋" w:cs="仿宋"/>
          <w:spacing w:val="-4"/>
          <w:kern w:val="28"/>
          <w:highlight w:val="none"/>
        </w:rPr>
        <w:t>出现</w:t>
      </w:r>
      <w:r>
        <w:rPr>
          <w:rFonts w:hint="eastAsia" w:ascii="仿宋" w:hAnsi="仿宋" w:eastAsia="仿宋" w:cs="仿宋"/>
          <w:spacing w:val="-4"/>
          <w:kern w:val="28"/>
          <w:highlight w:val="none"/>
        </w:rPr>
        <w:t>3</w:t>
      </w:r>
      <w:r>
        <w:rPr>
          <w:rFonts w:hint="eastAsia" w:ascii="仿宋" w:hAnsi="仿宋" w:eastAsia="仿宋" w:cs="仿宋"/>
          <w:spacing w:val="-4"/>
          <w:kern w:val="28"/>
          <w:highlight w:val="none"/>
        </w:rPr>
        <w:t>个或以上的主流快递公司脱离学校快递中心；</w:t>
      </w:r>
    </w:p>
    <w:p>
      <w:pPr>
        <w:numPr>
          <w:ilvl w:val="0"/>
          <w:numId w:val="11"/>
        </w:numPr>
        <w:tabs>
          <w:tab w:val="left" w:pos="360"/>
        </w:tabs>
        <w:spacing w:line="360" w:lineRule="auto"/>
        <w:ind w:right="246" w:rightChars="117"/>
        <w:rPr>
          <w:rFonts w:hint="eastAsia" w:ascii="仿宋" w:hAnsi="仿宋" w:eastAsia="仿宋" w:cs="仿宋"/>
          <w:spacing w:val="-4"/>
          <w:kern w:val="28"/>
          <w:highlight w:val="none"/>
        </w:rPr>
      </w:pPr>
      <w:r>
        <w:rPr>
          <w:rFonts w:hint="eastAsia" w:ascii="仿宋" w:hAnsi="仿宋" w:eastAsia="仿宋" w:cs="仿宋"/>
          <w:spacing w:val="-4"/>
          <w:kern w:val="28"/>
          <w:highlight w:val="none"/>
        </w:rPr>
        <w:t>服务商经营期间从事非法活动，损害公共利益；</w:t>
      </w:r>
    </w:p>
    <w:p>
      <w:pPr>
        <w:numPr>
          <w:ilvl w:val="0"/>
          <w:numId w:val="11"/>
        </w:numPr>
        <w:tabs>
          <w:tab w:val="left" w:pos="360"/>
        </w:tabs>
        <w:spacing w:line="360" w:lineRule="auto"/>
        <w:ind w:right="246" w:rightChars="117"/>
        <w:rPr>
          <w:rFonts w:hint="eastAsia" w:ascii="仿宋" w:hAnsi="仿宋" w:eastAsia="仿宋" w:cs="仿宋"/>
          <w:spacing w:val="-4"/>
          <w:kern w:val="28"/>
          <w:highlight w:val="none"/>
        </w:rPr>
      </w:pPr>
      <w:r>
        <w:rPr>
          <w:rFonts w:hint="eastAsia" w:ascii="仿宋" w:hAnsi="仿宋" w:eastAsia="仿宋" w:cs="仿宋"/>
          <w:spacing w:val="-4"/>
          <w:kern w:val="28"/>
          <w:highlight w:val="none"/>
        </w:rPr>
        <w:t>服务商拖欠水、电费等按要求需要缴纳的各项费用；</w:t>
      </w:r>
    </w:p>
    <w:p>
      <w:pPr>
        <w:numPr>
          <w:ilvl w:val="0"/>
          <w:numId w:val="11"/>
        </w:numPr>
        <w:tabs>
          <w:tab w:val="left" w:pos="360"/>
        </w:tabs>
        <w:spacing w:line="360" w:lineRule="auto"/>
        <w:ind w:right="246" w:rightChars="117"/>
        <w:rPr>
          <w:rFonts w:hint="eastAsia" w:ascii="仿宋" w:hAnsi="仿宋" w:eastAsia="仿宋" w:cs="仿宋"/>
          <w:spacing w:val="-4"/>
          <w:kern w:val="28"/>
          <w:highlight w:val="none"/>
        </w:rPr>
      </w:pPr>
      <w:r>
        <w:rPr>
          <w:rFonts w:hint="eastAsia" w:ascii="仿宋" w:hAnsi="仿宋" w:eastAsia="仿宋" w:cs="仿宋"/>
          <w:spacing w:val="-4"/>
          <w:kern w:val="28"/>
          <w:highlight w:val="none"/>
        </w:rPr>
        <w:t>服务商因不正当经营而产生重大经济纠纷给校方造成重大影响；</w:t>
      </w:r>
    </w:p>
    <w:p>
      <w:pPr>
        <w:numPr>
          <w:ilvl w:val="0"/>
          <w:numId w:val="11"/>
        </w:numPr>
        <w:tabs>
          <w:tab w:val="left" w:pos="360"/>
        </w:tabs>
        <w:spacing w:line="360" w:lineRule="auto"/>
        <w:ind w:right="246" w:rightChars="117"/>
        <w:rPr>
          <w:rFonts w:hint="eastAsia" w:ascii="仿宋" w:hAnsi="仿宋" w:eastAsia="仿宋" w:cs="仿宋"/>
          <w:spacing w:val="-4"/>
          <w:kern w:val="28"/>
          <w:highlight w:val="none"/>
        </w:rPr>
      </w:pPr>
      <w:r>
        <w:rPr>
          <w:rFonts w:hint="eastAsia" w:ascii="仿宋" w:hAnsi="仿宋" w:eastAsia="仿宋" w:cs="仿宋"/>
          <w:spacing w:val="-4"/>
          <w:kern w:val="28"/>
          <w:highlight w:val="none"/>
        </w:rPr>
        <w:t>服务商经营期间发生重大安全责任事故，给校方造成较大财产损失</w:t>
      </w:r>
    </w:p>
    <w:p>
      <w:pPr>
        <w:numPr>
          <w:ilvl w:val="0"/>
          <w:numId w:val="11"/>
        </w:numPr>
        <w:tabs>
          <w:tab w:val="left" w:pos="360"/>
        </w:tabs>
        <w:spacing w:line="360" w:lineRule="auto"/>
        <w:ind w:right="246" w:rightChars="117"/>
        <w:rPr>
          <w:rFonts w:hint="eastAsia" w:ascii="仿宋" w:hAnsi="仿宋" w:eastAsia="仿宋" w:cs="仿宋"/>
          <w:spacing w:val="-4"/>
          <w:kern w:val="28"/>
          <w:highlight w:val="none"/>
        </w:rPr>
      </w:pPr>
      <w:r>
        <w:rPr>
          <w:rFonts w:hint="eastAsia" w:ascii="仿宋" w:hAnsi="仿宋" w:eastAsia="仿宋" w:cs="仿宋"/>
          <w:spacing w:val="-4"/>
          <w:kern w:val="28"/>
          <w:highlight w:val="none"/>
        </w:rPr>
        <w:t>服务商恶意承诺或违背投标承诺。</w:t>
      </w:r>
    </w:p>
    <w:p>
      <w:pPr>
        <w:numPr>
          <w:ilvl w:val="0"/>
          <w:numId w:val="11"/>
        </w:numPr>
        <w:tabs>
          <w:tab w:val="left" w:pos="360"/>
        </w:tabs>
        <w:spacing w:line="360" w:lineRule="auto"/>
        <w:ind w:right="246" w:rightChars="117"/>
        <w:rPr>
          <w:rFonts w:hint="eastAsia" w:ascii="仿宋" w:hAnsi="仿宋" w:eastAsia="仿宋" w:cs="仿宋"/>
          <w:spacing w:val="-4"/>
          <w:kern w:val="28"/>
          <w:highlight w:val="none"/>
        </w:rPr>
      </w:pPr>
      <w:r>
        <w:rPr>
          <w:rFonts w:hint="eastAsia" w:ascii="仿宋" w:hAnsi="仿宋" w:eastAsia="仿宋" w:cs="仿宋"/>
          <w:spacing w:val="-4"/>
          <w:kern w:val="28"/>
          <w:highlight w:val="none"/>
          <w:lang w:val="en-AU"/>
        </w:rPr>
        <w:t>若解除合同，服务商须在校方规定的时间内无条件撤场，不能因人员成本、设备设施、装修装饰等前期资金投入而占据场地。退出时恢复场地原貌，不留存物品或影响正常使用。对未经同意留存的物品，校方有权处置。若服务商因自身原因，主动提出退出的，校方同意后方可退出。</w:t>
      </w:r>
    </w:p>
    <w:p>
      <w:pPr>
        <w:pStyle w:val="3"/>
        <w:numPr>
          <w:ilvl w:val="0"/>
          <w:numId w:val="7"/>
        </w:numPr>
        <w:tabs>
          <w:tab w:val="left" w:pos="540"/>
        </w:tabs>
        <w:rPr>
          <w:rFonts w:hint="eastAsia" w:ascii="仿宋" w:hAnsi="仿宋" w:eastAsia="仿宋" w:cs="仿宋"/>
          <w:kern w:val="28"/>
          <w:sz w:val="28"/>
          <w:szCs w:val="28"/>
          <w:highlight w:val="none"/>
          <w:lang w:val="en-AU"/>
        </w:rPr>
      </w:pPr>
      <w:r>
        <w:rPr>
          <w:rFonts w:hint="eastAsia" w:ascii="仿宋" w:hAnsi="仿宋" w:eastAsia="仿宋" w:cs="仿宋"/>
          <w:kern w:val="28"/>
          <w:sz w:val="28"/>
          <w:szCs w:val="28"/>
          <w:highlight w:val="none"/>
          <w:lang w:val="en-AU"/>
        </w:rPr>
        <w:t>其他要求</w:t>
      </w:r>
    </w:p>
    <w:p>
      <w:pPr>
        <w:numPr>
          <w:ilvl w:val="0"/>
          <w:numId w:val="12"/>
        </w:numPr>
        <w:tabs>
          <w:tab w:val="left" w:pos="360"/>
        </w:tabs>
        <w:spacing w:line="360" w:lineRule="auto"/>
        <w:ind w:right="246" w:rightChars="117"/>
        <w:rPr>
          <w:rFonts w:hint="eastAsia" w:ascii="仿宋" w:hAnsi="仿宋" w:eastAsia="仿宋" w:cs="仿宋"/>
          <w:spacing w:val="-4"/>
          <w:kern w:val="28"/>
          <w:highlight w:val="none"/>
        </w:rPr>
      </w:pPr>
      <w:r>
        <w:rPr>
          <w:rFonts w:hint="eastAsia" w:ascii="仿宋" w:hAnsi="仿宋" w:eastAsia="仿宋" w:cs="仿宋"/>
          <w:spacing w:val="-4"/>
          <w:kern w:val="28"/>
          <w:highlight w:val="none"/>
        </w:rPr>
        <w:t>服务商须具备落实邮政管理局印发的《邮政企业、快递企业安全生产主体责任落实规范》的相关要求。</w:t>
      </w:r>
    </w:p>
    <w:p>
      <w:pPr>
        <w:numPr>
          <w:ilvl w:val="0"/>
          <w:numId w:val="12"/>
        </w:numPr>
        <w:tabs>
          <w:tab w:val="left" w:pos="360"/>
        </w:tabs>
        <w:spacing w:line="360" w:lineRule="auto"/>
        <w:ind w:right="246" w:rightChars="117"/>
        <w:rPr>
          <w:rFonts w:hint="eastAsia" w:ascii="仿宋" w:hAnsi="仿宋" w:eastAsia="仿宋" w:cs="仿宋"/>
          <w:spacing w:val="-4"/>
          <w:kern w:val="28"/>
          <w:highlight w:val="none"/>
        </w:rPr>
      </w:pPr>
      <w:r>
        <w:rPr>
          <w:rFonts w:hint="eastAsia" w:ascii="仿宋" w:hAnsi="仿宋" w:eastAsia="仿宋" w:cs="仿宋"/>
          <w:spacing w:val="-4"/>
          <w:kern w:val="28"/>
          <w:highlight w:val="none"/>
        </w:rPr>
        <w:t>服务商须具备落实公安部发布的《寄递企业安全防范要求》行业标准的相关要求。</w:t>
      </w:r>
    </w:p>
    <w:p>
      <w:pPr>
        <w:numPr>
          <w:ilvl w:val="0"/>
          <w:numId w:val="12"/>
        </w:numPr>
        <w:tabs>
          <w:tab w:val="left" w:pos="360"/>
        </w:tabs>
        <w:spacing w:line="360" w:lineRule="auto"/>
        <w:ind w:right="246" w:rightChars="117"/>
        <w:rPr>
          <w:rFonts w:hint="eastAsia" w:ascii="仿宋" w:hAnsi="仿宋" w:eastAsia="仿宋" w:cs="仿宋"/>
          <w:spacing w:val="-4"/>
          <w:kern w:val="28"/>
          <w:highlight w:val="none"/>
        </w:rPr>
      </w:pPr>
      <w:r>
        <w:rPr>
          <w:rFonts w:hint="eastAsia" w:ascii="仿宋" w:hAnsi="仿宋" w:eastAsia="仿宋" w:cs="仿宋"/>
          <w:spacing w:val="-4"/>
          <w:kern w:val="28"/>
          <w:highlight w:val="none"/>
        </w:rPr>
        <w:t>服务商须具备落实《快递业务经营许可管理办法》（</w:t>
      </w:r>
      <w:r>
        <w:rPr>
          <w:rFonts w:hint="eastAsia" w:ascii="仿宋" w:hAnsi="仿宋" w:eastAsia="仿宋" w:cs="仿宋"/>
          <w:spacing w:val="-4"/>
          <w:kern w:val="28"/>
          <w:highlight w:val="none"/>
        </w:rPr>
        <w:t>2019</w:t>
      </w:r>
      <w:r>
        <w:rPr>
          <w:rFonts w:hint="eastAsia" w:ascii="仿宋" w:hAnsi="仿宋" w:eastAsia="仿宋" w:cs="仿宋"/>
          <w:spacing w:val="-4"/>
          <w:kern w:val="28"/>
          <w:highlight w:val="none"/>
        </w:rPr>
        <w:t>年第</w:t>
      </w:r>
      <w:r>
        <w:rPr>
          <w:rFonts w:hint="eastAsia" w:ascii="仿宋" w:hAnsi="仿宋" w:eastAsia="仿宋" w:cs="仿宋"/>
          <w:spacing w:val="-4"/>
          <w:kern w:val="28"/>
          <w:highlight w:val="none"/>
        </w:rPr>
        <w:t>31</w:t>
      </w:r>
      <w:r>
        <w:rPr>
          <w:rFonts w:hint="eastAsia" w:ascii="仿宋" w:hAnsi="仿宋" w:eastAsia="仿宋" w:cs="仿宋"/>
          <w:spacing w:val="-4"/>
          <w:kern w:val="28"/>
          <w:highlight w:val="none"/>
        </w:rPr>
        <w:t>号）的相关要求。经营快递业务，应当依法取得快递业务经营许可，并接受邮政管理部门及其他有关部门的监督管理；未经许可，任何单位和个人不得经营快递业务。</w:t>
      </w:r>
    </w:p>
    <w:p>
      <w:pPr>
        <w:numPr>
          <w:ilvl w:val="0"/>
          <w:numId w:val="12"/>
        </w:numPr>
        <w:tabs>
          <w:tab w:val="left" w:pos="360"/>
        </w:tabs>
        <w:spacing w:line="360" w:lineRule="auto"/>
        <w:ind w:right="246" w:rightChars="117"/>
        <w:rPr>
          <w:rFonts w:hint="eastAsia" w:ascii="仿宋" w:hAnsi="仿宋" w:eastAsia="仿宋" w:cs="仿宋"/>
          <w:spacing w:val="-4"/>
          <w:kern w:val="28"/>
          <w:highlight w:val="none"/>
        </w:rPr>
      </w:pPr>
      <w:r>
        <w:rPr>
          <w:rFonts w:hint="eastAsia" w:ascii="仿宋" w:hAnsi="仿宋" w:eastAsia="仿宋" w:cs="仿宋"/>
          <w:spacing w:val="-4"/>
          <w:kern w:val="28"/>
          <w:highlight w:val="none"/>
        </w:rPr>
        <w:t>服务商须具备落实《校园快递服务站建设与服务规范》（</w:t>
      </w:r>
      <w:r>
        <w:rPr>
          <w:rFonts w:hint="eastAsia" w:ascii="仿宋" w:hAnsi="仿宋" w:eastAsia="仿宋" w:cs="仿宋"/>
          <w:spacing w:val="-4"/>
          <w:kern w:val="28"/>
          <w:highlight w:val="none"/>
        </w:rPr>
        <w:t>T/JYHQ 0001—2016</w:t>
      </w:r>
      <w:r>
        <w:rPr>
          <w:rFonts w:hint="eastAsia" w:ascii="仿宋" w:hAnsi="仿宋" w:eastAsia="仿宋" w:cs="仿宋"/>
          <w:spacing w:val="-4"/>
          <w:kern w:val="28"/>
          <w:highlight w:val="none"/>
        </w:rPr>
        <w:t>）的相关要求。</w:t>
      </w:r>
    </w:p>
    <w:p>
      <w:pPr>
        <w:numPr>
          <w:ilvl w:val="0"/>
          <w:numId w:val="12"/>
        </w:numPr>
        <w:tabs>
          <w:tab w:val="left" w:pos="360"/>
        </w:tabs>
        <w:spacing w:line="360" w:lineRule="auto"/>
        <w:ind w:right="246" w:rightChars="117"/>
        <w:rPr>
          <w:rFonts w:hint="eastAsia" w:ascii="仿宋" w:hAnsi="仿宋" w:eastAsia="仿宋" w:cs="仿宋"/>
          <w:spacing w:val="-4"/>
          <w:kern w:val="28"/>
          <w:highlight w:val="none"/>
        </w:rPr>
      </w:pPr>
      <w:r>
        <w:rPr>
          <w:rFonts w:hint="eastAsia" w:ascii="仿宋" w:hAnsi="仿宋" w:eastAsia="仿宋" w:cs="仿宋"/>
          <w:spacing w:val="-4"/>
          <w:kern w:val="28"/>
          <w:highlight w:val="none"/>
        </w:rPr>
        <w:t>服务商应安装符合《邮政业安全生产设备配置规范》（</w:t>
      </w:r>
      <w:r>
        <w:rPr>
          <w:rFonts w:hint="eastAsia" w:ascii="仿宋" w:hAnsi="仿宋" w:eastAsia="仿宋" w:cs="仿宋"/>
          <w:spacing w:val="-4"/>
          <w:kern w:val="28"/>
          <w:highlight w:val="none"/>
        </w:rPr>
        <w:t>YZ 0139</w:t>
      </w:r>
      <w:r>
        <w:rPr>
          <w:rFonts w:hint="eastAsia" w:ascii="仿宋" w:hAnsi="仿宋" w:eastAsia="仿宋" w:cs="仿宋"/>
          <w:spacing w:val="-4"/>
          <w:kern w:val="28"/>
          <w:highlight w:val="none"/>
        </w:rPr>
        <w:t>）标准的可拆卸智能快件箱、视频监控等规范化专业设施设备，视频监控方案须征得学校保卫处同意。智能快件箱自助设施和人工操作管理系统，应具备全程操作信息和视频记录；快递服务区域须实现监控无死角覆盖，各智能快件箱必须配备一套监控摄像，提供</w:t>
      </w:r>
      <w:r>
        <w:rPr>
          <w:rFonts w:hint="eastAsia" w:ascii="仿宋" w:hAnsi="仿宋" w:eastAsia="仿宋" w:cs="仿宋"/>
          <w:spacing w:val="-4"/>
          <w:kern w:val="28"/>
          <w:highlight w:val="none"/>
        </w:rPr>
        <w:t>24</w:t>
      </w:r>
      <w:r>
        <w:rPr>
          <w:rFonts w:hint="eastAsia" w:ascii="仿宋" w:hAnsi="仿宋" w:eastAsia="仿宋" w:cs="仿宋"/>
          <w:spacing w:val="-4"/>
          <w:kern w:val="28"/>
          <w:highlight w:val="none"/>
        </w:rPr>
        <w:t>小时监控录像查询。</w:t>
      </w:r>
    </w:p>
    <w:p>
      <w:pPr>
        <w:numPr>
          <w:ilvl w:val="0"/>
          <w:numId w:val="12"/>
        </w:numPr>
        <w:tabs>
          <w:tab w:val="left" w:pos="360"/>
        </w:tabs>
        <w:spacing w:line="360" w:lineRule="auto"/>
        <w:ind w:right="246" w:rightChars="117"/>
        <w:rPr>
          <w:rFonts w:hint="eastAsia" w:ascii="仿宋" w:hAnsi="仿宋" w:eastAsia="仿宋" w:cs="仿宋"/>
          <w:spacing w:val="-4"/>
          <w:kern w:val="28"/>
          <w:highlight w:val="none"/>
        </w:rPr>
      </w:pPr>
      <w:r>
        <w:rPr>
          <w:rFonts w:hint="eastAsia" w:ascii="仿宋" w:hAnsi="仿宋" w:eastAsia="仿宋" w:cs="仿宋"/>
          <w:spacing w:val="-4"/>
          <w:kern w:val="28"/>
          <w:highlight w:val="none"/>
        </w:rPr>
        <w:t>服务商须严格遵守</w:t>
      </w:r>
      <w:r>
        <w:rPr>
          <w:rFonts w:hint="eastAsia" w:ascii="仿宋" w:hAnsi="仿宋" w:eastAsia="仿宋" w:cs="仿宋"/>
          <w:spacing w:val="-4"/>
          <w:kern w:val="28"/>
          <w:highlight w:val="none"/>
        </w:rPr>
        <w:t>2011</w:t>
      </w:r>
      <w:r>
        <w:rPr>
          <w:rFonts w:hint="eastAsia" w:ascii="仿宋" w:hAnsi="仿宋" w:eastAsia="仿宋" w:cs="仿宋"/>
          <w:spacing w:val="-4"/>
          <w:kern w:val="28"/>
          <w:highlight w:val="none"/>
        </w:rPr>
        <w:t>年</w:t>
      </w:r>
      <w:r>
        <w:rPr>
          <w:rFonts w:hint="eastAsia" w:ascii="仿宋" w:hAnsi="仿宋" w:eastAsia="仿宋" w:cs="仿宋"/>
          <w:spacing w:val="-4"/>
          <w:kern w:val="28"/>
          <w:highlight w:val="none"/>
        </w:rPr>
        <w:t>12</w:t>
      </w:r>
      <w:r>
        <w:rPr>
          <w:rFonts w:hint="eastAsia" w:ascii="仿宋" w:hAnsi="仿宋" w:eastAsia="仿宋" w:cs="仿宋"/>
          <w:spacing w:val="-4"/>
          <w:kern w:val="28"/>
          <w:highlight w:val="none"/>
        </w:rPr>
        <w:t>月</w:t>
      </w:r>
      <w:r>
        <w:rPr>
          <w:rFonts w:hint="eastAsia" w:ascii="仿宋" w:hAnsi="仿宋" w:eastAsia="仿宋" w:cs="仿宋"/>
          <w:spacing w:val="-4"/>
          <w:kern w:val="28"/>
          <w:highlight w:val="none"/>
        </w:rPr>
        <w:t>30</w:t>
      </w:r>
      <w:r>
        <w:rPr>
          <w:rFonts w:hint="eastAsia" w:ascii="仿宋" w:hAnsi="仿宋" w:eastAsia="仿宋" w:cs="仿宋"/>
          <w:spacing w:val="-4"/>
          <w:kern w:val="28"/>
          <w:highlight w:val="none"/>
        </w:rPr>
        <w:t>日国家质量监督检验检疫总局、国家标准化管理委员会联合发布《快递服务》系列国家标准，以及《中华人民共和国消防法》、《中华人民共和国劳动合同法》等国家有关</w:t>
      </w:r>
      <w:r>
        <w:rPr>
          <w:rFonts w:hint="eastAsia" w:ascii="仿宋" w:hAnsi="仿宋" w:eastAsia="仿宋" w:cs="仿宋"/>
          <w:spacing w:val="-4"/>
          <w:kern w:val="28"/>
          <w:highlight w:val="none"/>
          <w:lang w:eastAsia="zh-CN"/>
        </w:rPr>
        <w:t>法律法规</w:t>
      </w:r>
      <w:r>
        <w:rPr>
          <w:rFonts w:hint="eastAsia" w:ascii="仿宋" w:hAnsi="仿宋" w:eastAsia="仿宋" w:cs="仿宋"/>
          <w:spacing w:val="-4"/>
          <w:kern w:val="28"/>
          <w:highlight w:val="none"/>
        </w:rPr>
        <w:t>，遵守学校相关规章制度，服从校方的管理、监督和指导。服务商在建设和经营期间，须独立承担法律责任、经济责任和安全责任。服务商不得有欺诈行为，确保安全运营；除不可抗力事件及校方管理要求外，服务商不得以任何理由停止正常运营。</w:t>
      </w:r>
    </w:p>
    <w:p>
      <w:pPr>
        <w:numPr>
          <w:ilvl w:val="0"/>
          <w:numId w:val="12"/>
        </w:numPr>
        <w:tabs>
          <w:tab w:val="left" w:pos="360"/>
        </w:tabs>
        <w:spacing w:line="360" w:lineRule="auto"/>
        <w:ind w:right="246" w:rightChars="117"/>
        <w:rPr>
          <w:rFonts w:hint="eastAsia" w:ascii="仿宋" w:hAnsi="仿宋" w:eastAsia="仿宋" w:cs="仿宋"/>
          <w:spacing w:val="-4"/>
          <w:kern w:val="28"/>
          <w:highlight w:val="none"/>
        </w:rPr>
      </w:pPr>
      <w:r>
        <w:rPr>
          <w:rFonts w:hint="eastAsia" w:ascii="仿宋" w:hAnsi="仿宋" w:eastAsia="仿宋" w:cs="仿宋"/>
          <w:spacing w:val="-4"/>
          <w:kern w:val="28"/>
          <w:highlight w:val="none"/>
        </w:rPr>
        <w:t>服务方需承诺快递服务中心，在运营后</w:t>
      </w:r>
      <w:r>
        <w:rPr>
          <w:rFonts w:hint="eastAsia" w:ascii="仿宋" w:hAnsi="仿宋" w:eastAsia="仿宋" w:cs="仿宋"/>
          <w:spacing w:val="-4"/>
          <w:kern w:val="28"/>
          <w:highlight w:val="none"/>
        </w:rPr>
        <w:t>30</w:t>
      </w:r>
      <w:r>
        <w:rPr>
          <w:rFonts w:hint="eastAsia" w:ascii="仿宋" w:hAnsi="仿宋" w:eastAsia="仿宋" w:cs="仿宋"/>
          <w:spacing w:val="-4"/>
          <w:kern w:val="28"/>
          <w:highlight w:val="none"/>
        </w:rPr>
        <w:t>天内，在当地邮管局完成备案，并将邮管局回执单向校方进行备案。如不能按要求完成邮管局备案并取得回执单，校方有权单方面与中标方解除合同。</w:t>
      </w:r>
    </w:p>
    <w:p>
      <w:pPr>
        <w:rPr>
          <w:rFonts w:hint="eastAsia" w:ascii="仿宋" w:hAnsi="仿宋" w:eastAsia="仿宋" w:cs="仿宋"/>
          <w:highlight w:val="none"/>
        </w:rPr>
      </w:pPr>
    </w:p>
    <w:bookmarkEnd w:id="2"/>
    <w:p>
      <w:pPr>
        <w:spacing w:after="156" w:afterLines="50" w:line="360" w:lineRule="auto"/>
        <w:ind w:firstLine="482" w:firstLineChars="200"/>
        <w:rPr>
          <w:rFonts w:hint="eastAsia" w:ascii="仿宋" w:hAnsi="仿宋" w:eastAsia="仿宋" w:cs="仿宋"/>
          <w:b/>
          <w:sz w:val="24"/>
          <w:highlight w:val="none"/>
          <w:lang w:val="en-US" w:eastAsia="zh-CN"/>
        </w:rPr>
      </w:pPr>
      <w:r>
        <w:rPr>
          <w:rFonts w:hint="eastAsia" w:ascii="仿宋" w:hAnsi="仿宋" w:eastAsia="仿宋" w:cs="仿宋"/>
          <w:b/>
          <w:sz w:val="24"/>
          <w:highlight w:val="none"/>
        </w:rPr>
        <w:t>四</w:t>
      </w:r>
      <w:r>
        <w:rPr>
          <w:rFonts w:hint="eastAsia" w:ascii="仿宋" w:hAnsi="仿宋" w:eastAsia="仿宋" w:cs="仿宋"/>
          <w:b/>
          <w:sz w:val="24"/>
          <w:highlight w:val="none"/>
          <w:lang w:eastAsia="zh-CN"/>
        </w:rPr>
        <w:t>、</w:t>
      </w:r>
      <w:r>
        <w:rPr>
          <w:rFonts w:hint="eastAsia" w:ascii="仿宋" w:hAnsi="仿宋" w:eastAsia="仿宋" w:cs="仿宋"/>
          <w:b/>
          <w:sz w:val="24"/>
          <w:highlight w:val="none"/>
          <w:lang w:val="en-US" w:eastAsia="zh-CN"/>
        </w:rPr>
        <w:t>评分办法</w:t>
      </w:r>
    </w:p>
    <w:tbl>
      <w:tblPr>
        <w:tblStyle w:val="46"/>
        <w:tblW w:w="896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2"/>
        <w:gridCol w:w="1488"/>
        <w:gridCol w:w="5286"/>
        <w:gridCol w:w="11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blHeader/>
          <w:jc w:val="center"/>
        </w:trPr>
        <w:tc>
          <w:tcPr>
            <w:tcW w:w="992" w:type="dxa"/>
            <w:tcBorders>
              <w:top w:val="single" w:color="auto" w:sz="2" w:space="0"/>
              <w:left w:val="single" w:color="auto" w:sz="2" w:space="0"/>
              <w:bottom w:val="single" w:color="auto" w:sz="2" w:space="0"/>
            </w:tcBorders>
            <w:vAlign w:val="center"/>
          </w:tcPr>
          <w:p>
            <w:pPr>
              <w:pStyle w:val="326"/>
              <w:spacing w:line="240" w:lineRule="auto"/>
              <w:ind w:left="67" w:right="63" w:hanging="4" w:hangingChars="2"/>
              <w:jc w:val="center"/>
              <w:rPr>
                <w:rFonts w:hint="eastAsia" w:ascii="仿宋" w:hAnsi="仿宋" w:eastAsia="仿宋" w:cs="仿宋"/>
                <w:bCs/>
                <w:szCs w:val="21"/>
                <w:highlight w:val="none"/>
              </w:rPr>
            </w:pPr>
            <w:r>
              <w:rPr>
                <w:rFonts w:hint="eastAsia" w:ascii="仿宋" w:hAnsi="仿宋" w:eastAsia="仿宋" w:cs="仿宋"/>
                <w:bCs/>
                <w:szCs w:val="21"/>
                <w:highlight w:val="none"/>
              </w:rPr>
              <w:t>序号</w:t>
            </w:r>
          </w:p>
        </w:tc>
        <w:tc>
          <w:tcPr>
            <w:tcW w:w="1488" w:type="dxa"/>
            <w:tcBorders>
              <w:top w:val="single" w:color="auto" w:sz="2" w:space="0"/>
              <w:bottom w:val="single" w:color="auto" w:sz="2" w:space="0"/>
            </w:tcBorders>
            <w:vAlign w:val="center"/>
          </w:tcPr>
          <w:p>
            <w:pPr>
              <w:pStyle w:val="326"/>
              <w:spacing w:line="240" w:lineRule="auto"/>
              <w:ind w:left="67" w:right="63" w:hanging="4" w:hangingChars="2"/>
              <w:jc w:val="center"/>
              <w:rPr>
                <w:rFonts w:hint="eastAsia" w:ascii="仿宋" w:hAnsi="仿宋" w:eastAsia="仿宋" w:cs="仿宋"/>
                <w:bCs/>
                <w:szCs w:val="21"/>
                <w:highlight w:val="none"/>
              </w:rPr>
            </w:pPr>
            <w:r>
              <w:rPr>
                <w:rFonts w:hint="eastAsia" w:ascii="仿宋" w:hAnsi="仿宋" w:eastAsia="仿宋" w:cs="仿宋"/>
                <w:bCs/>
                <w:szCs w:val="21"/>
                <w:highlight w:val="none"/>
              </w:rPr>
              <w:t>评标要素</w:t>
            </w:r>
          </w:p>
        </w:tc>
        <w:tc>
          <w:tcPr>
            <w:tcW w:w="5286" w:type="dxa"/>
            <w:tcBorders>
              <w:top w:val="single" w:color="auto" w:sz="2" w:space="0"/>
              <w:bottom w:val="single" w:color="auto" w:sz="2" w:space="0"/>
            </w:tcBorders>
            <w:vAlign w:val="center"/>
          </w:tcPr>
          <w:p>
            <w:pPr>
              <w:pStyle w:val="326"/>
              <w:spacing w:line="240" w:lineRule="auto"/>
              <w:ind w:left="67" w:right="63" w:hanging="4" w:hangingChars="2"/>
              <w:jc w:val="center"/>
              <w:rPr>
                <w:rFonts w:hint="eastAsia" w:ascii="仿宋" w:hAnsi="仿宋" w:eastAsia="仿宋" w:cs="仿宋"/>
                <w:bCs/>
                <w:szCs w:val="21"/>
                <w:highlight w:val="none"/>
              </w:rPr>
            </w:pPr>
            <w:r>
              <w:rPr>
                <w:rFonts w:hint="eastAsia" w:ascii="仿宋" w:hAnsi="仿宋" w:eastAsia="仿宋" w:cs="仿宋"/>
                <w:bCs/>
                <w:szCs w:val="21"/>
                <w:highlight w:val="none"/>
              </w:rPr>
              <w:t>主要评审内容</w:t>
            </w:r>
          </w:p>
        </w:tc>
        <w:tc>
          <w:tcPr>
            <w:tcW w:w="1198" w:type="dxa"/>
            <w:tcBorders>
              <w:top w:val="single" w:color="auto" w:sz="2" w:space="0"/>
              <w:bottom w:val="single" w:color="auto" w:sz="2" w:space="0"/>
              <w:right w:val="single" w:color="auto" w:sz="2" w:space="0"/>
            </w:tcBorders>
            <w:vAlign w:val="center"/>
          </w:tcPr>
          <w:p>
            <w:pPr>
              <w:pStyle w:val="326"/>
              <w:spacing w:line="240" w:lineRule="auto"/>
              <w:ind w:left="67" w:right="63" w:hanging="4" w:hangingChars="2"/>
              <w:jc w:val="center"/>
              <w:rPr>
                <w:rFonts w:hint="eastAsia" w:ascii="仿宋" w:hAnsi="仿宋" w:eastAsia="仿宋" w:cs="仿宋"/>
                <w:bCs/>
                <w:szCs w:val="21"/>
                <w:highlight w:val="none"/>
              </w:rPr>
            </w:pPr>
            <w:r>
              <w:rPr>
                <w:rFonts w:hint="eastAsia" w:ascii="仿宋" w:hAnsi="仿宋" w:eastAsia="仿宋" w:cs="仿宋"/>
                <w:bCs/>
                <w:szCs w:val="21"/>
                <w:highlight w:val="none"/>
              </w:rPr>
              <w:t>满分</w:t>
            </w:r>
            <w:r>
              <w:rPr>
                <w:rFonts w:hint="eastAsia" w:ascii="仿宋" w:hAnsi="仿宋" w:eastAsia="仿宋" w:cs="仿宋"/>
                <w:bCs/>
                <w:szCs w:val="21"/>
                <w:highlight w:val="none"/>
              </w:rPr>
              <w:br w:type="textWrapping"/>
            </w:r>
            <w:r>
              <w:rPr>
                <w:rFonts w:hint="eastAsia" w:ascii="仿宋" w:hAnsi="仿宋" w:eastAsia="仿宋" w:cs="仿宋"/>
                <w:bCs/>
                <w:szCs w:val="21"/>
                <w:highlight w:val="none"/>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92" w:type="dxa"/>
            <w:tcBorders>
              <w:top w:val="single" w:color="auto" w:sz="2" w:space="0"/>
              <w:left w:val="single" w:color="auto" w:sz="2" w:space="0"/>
              <w:bottom w:val="single" w:color="auto" w:sz="2" w:space="0"/>
            </w:tcBorders>
            <w:vAlign w:val="center"/>
          </w:tcPr>
          <w:p>
            <w:pPr>
              <w:pStyle w:val="17"/>
              <w:widowControl w:val="0"/>
              <w:numPr>
                <w:ilvl w:val="0"/>
                <w:numId w:val="13"/>
              </w:numPr>
              <w:adjustRightInd w:val="0"/>
              <w:spacing w:line="240" w:lineRule="auto"/>
              <w:jc w:val="center"/>
              <w:textAlignment w:val="baseline"/>
              <w:rPr>
                <w:rFonts w:hint="eastAsia" w:ascii="仿宋" w:hAnsi="仿宋" w:eastAsia="仿宋" w:cs="仿宋"/>
                <w:sz w:val="21"/>
                <w:szCs w:val="21"/>
                <w:highlight w:val="none"/>
              </w:rPr>
            </w:pPr>
          </w:p>
        </w:tc>
        <w:tc>
          <w:tcPr>
            <w:tcW w:w="1488" w:type="dxa"/>
            <w:tcBorders>
              <w:top w:val="single" w:color="auto" w:sz="2" w:space="0"/>
              <w:bottom w:val="single" w:color="auto" w:sz="2" w:space="0"/>
            </w:tcBorders>
            <w:vAlign w:val="center"/>
          </w:tcPr>
          <w:p>
            <w:pPr>
              <w:jc w:val="center"/>
              <w:rPr>
                <w:rFonts w:hint="eastAsia" w:ascii="仿宋" w:hAnsi="仿宋" w:eastAsia="仿宋" w:cs="仿宋"/>
                <w:bCs/>
                <w:szCs w:val="21"/>
                <w:highlight w:val="none"/>
              </w:rPr>
            </w:pPr>
            <w:r>
              <w:rPr>
                <w:rStyle w:val="329"/>
                <w:rFonts w:hint="eastAsia" w:ascii="仿宋" w:hAnsi="仿宋" w:eastAsia="仿宋" w:cs="仿宋"/>
                <w:color w:val="000000"/>
                <w:sz w:val="21"/>
                <w:szCs w:val="21"/>
                <w:highlight w:val="none"/>
              </w:rPr>
              <w:t>快递用房方案</w:t>
            </w:r>
          </w:p>
        </w:tc>
        <w:tc>
          <w:tcPr>
            <w:tcW w:w="5286" w:type="dxa"/>
            <w:tcBorders>
              <w:top w:val="single" w:color="auto" w:sz="2" w:space="0"/>
              <w:bottom w:val="single" w:color="auto" w:sz="2" w:space="0"/>
            </w:tcBorders>
            <w:vAlign w:val="center"/>
          </w:tcPr>
          <w:p>
            <w:pPr>
              <w:jc w:val="left"/>
              <w:rPr>
                <w:rFonts w:hint="eastAsia" w:ascii="仿宋" w:hAnsi="仿宋" w:eastAsia="仿宋" w:cs="仿宋"/>
                <w:bCs/>
                <w:szCs w:val="21"/>
                <w:highlight w:val="none"/>
              </w:rPr>
            </w:pPr>
            <w:r>
              <w:rPr>
                <w:rStyle w:val="329"/>
                <w:rFonts w:hint="eastAsia" w:ascii="仿宋" w:hAnsi="仿宋" w:eastAsia="仿宋" w:cs="仿宋"/>
                <w:color w:val="000000"/>
                <w:sz w:val="21"/>
                <w:szCs w:val="21"/>
                <w:highlight w:val="none"/>
              </w:rPr>
              <w:t>相关方案中的安全检测、加固改造、功能布局、设备配置、技防措施等合理性、美观度、安全性</w:t>
            </w:r>
          </w:p>
        </w:tc>
        <w:tc>
          <w:tcPr>
            <w:tcW w:w="1198" w:type="dxa"/>
            <w:tcBorders>
              <w:top w:val="single" w:color="auto" w:sz="2" w:space="0"/>
              <w:bottom w:val="single" w:color="auto" w:sz="2" w:space="0"/>
              <w:right w:val="single" w:color="auto" w:sz="2" w:space="0"/>
            </w:tcBorders>
            <w:vAlign w:val="center"/>
          </w:tcPr>
          <w:p>
            <w:pPr>
              <w:jc w:val="center"/>
              <w:rPr>
                <w:rFonts w:hint="eastAsia" w:ascii="仿宋" w:hAnsi="仿宋" w:eastAsia="仿宋" w:cs="仿宋"/>
                <w:bCs/>
                <w:szCs w:val="21"/>
                <w:highlight w:val="none"/>
              </w:rPr>
            </w:pPr>
            <w:r>
              <w:rPr>
                <w:rFonts w:hint="eastAsia" w:ascii="仿宋" w:hAnsi="仿宋" w:eastAsia="仿宋" w:cs="仿宋"/>
                <w:bCs/>
                <w:szCs w:val="21"/>
                <w:highlight w:val="none"/>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992" w:type="dxa"/>
            <w:vMerge w:val="restart"/>
            <w:tcBorders>
              <w:top w:val="single" w:color="auto" w:sz="2" w:space="0"/>
              <w:left w:val="single" w:color="auto" w:sz="2" w:space="0"/>
            </w:tcBorders>
            <w:vAlign w:val="center"/>
          </w:tcPr>
          <w:p>
            <w:pPr>
              <w:pStyle w:val="17"/>
              <w:widowControl w:val="0"/>
              <w:numPr>
                <w:ilvl w:val="0"/>
                <w:numId w:val="13"/>
              </w:numPr>
              <w:adjustRightInd w:val="0"/>
              <w:spacing w:line="240" w:lineRule="auto"/>
              <w:jc w:val="center"/>
              <w:textAlignment w:val="baseline"/>
              <w:rPr>
                <w:rFonts w:hint="eastAsia" w:ascii="仿宋" w:hAnsi="仿宋" w:eastAsia="仿宋" w:cs="仿宋"/>
                <w:sz w:val="21"/>
                <w:szCs w:val="21"/>
                <w:highlight w:val="none"/>
              </w:rPr>
            </w:pPr>
          </w:p>
        </w:tc>
        <w:tc>
          <w:tcPr>
            <w:tcW w:w="1488" w:type="dxa"/>
            <w:vMerge w:val="restart"/>
            <w:tcBorders>
              <w:top w:val="single" w:color="auto" w:sz="2" w:space="0"/>
              <w:bottom w:val="single" w:color="auto" w:sz="2" w:space="0"/>
            </w:tcBorders>
            <w:vAlign w:val="center"/>
          </w:tcPr>
          <w:p>
            <w:pPr>
              <w:spacing w:line="360" w:lineRule="auto"/>
              <w:jc w:val="center"/>
              <w:rPr>
                <w:rFonts w:hint="eastAsia" w:ascii="仿宋" w:hAnsi="仿宋" w:eastAsia="仿宋" w:cs="仿宋"/>
                <w:bCs/>
                <w:szCs w:val="21"/>
                <w:highlight w:val="none"/>
              </w:rPr>
            </w:pPr>
            <w:r>
              <w:rPr>
                <w:rStyle w:val="329"/>
                <w:rFonts w:hint="eastAsia" w:ascii="仿宋" w:hAnsi="仿宋" w:eastAsia="仿宋" w:cs="仿宋"/>
                <w:color w:val="000000"/>
                <w:sz w:val="21"/>
                <w:szCs w:val="21"/>
                <w:highlight w:val="none"/>
              </w:rPr>
              <w:t>服务运行方案</w:t>
            </w:r>
          </w:p>
        </w:tc>
        <w:tc>
          <w:tcPr>
            <w:tcW w:w="5286" w:type="dxa"/>
            <w:tcBorders>
              <w:top w:val="single" w:color="auto" w:sz="2" w:space="0"/>
              <w:bottom w:val="single" w:color="auto" w:sz="2" w:space="0"/>
            </w:tcBorders>
            <w:vAlign w:val="center"/>
          </w:tcPr>
          <w:p>
            <w:pPr>
              <w:pStyle w:val="330"/>
              <w:spacing w:line="240" w:lineRule="auto"/>
              <w:ind w:firstLine="0" w:firstLineChars="0"/>
              <w:jc w:val="both"/>
              <w:rPr>
                <w:rFonts w:hint="eastAsia" w:ascii="仿宋" w:hAnsi="仿宋" w:eastAsia="仿宋" w:cs="仿宋"/>
                <w:bCs/>
                <w:szCs w:val="21"/>
                <w:highlight w:val="none"/>
              </w:rPr>
            </w:pPr>
            <w:r>
              <w:rPr>
                <w:rStyle w:val="329"/>
                <w:rFonts w:hint="eastAsia" w:ascii="仿宋" w:hAnsi="仿宋" w:eastAsia="仿宋" w:cs="仿宋"/>
                <w:kern w:val="2"/>
                <w:sz w:val="21"/>
                <w:szCs w:val="21"/>
                <w:highlight w:val="none"/>
              </w:rPr>
              <w:t>服务团队情况</w:t>
            </w:r>
          </w:p>
        </w:tc>
        <w:tc>
          <w:tcPr>
            <w:tcW w:w="1198" w:type="dxa"/>
            <w:tcBorders>
              <w:top w:val="single" w:color="auto" w:sz="2" w:space="0"/>
              <w:bottom w:val="single" w:color="auto" w:sz="2" w:space="0"/>
              <w:right w:val="single" w:color="auto" w:sz="2" w:space="0"/>
            </w:tcBorders>
            <w:vAlign w:val="center"/>
          </w:tcPr>
          <w:p>
            <w:pPr>
              <w:spacing w:line="360" w:lineRule="auto"/>
              <w:jc w:val="center"/>
              <w:rPr>
                <w:rFonts w:hint="eastAsia" w:ascii="仿宋" w:hAnsi="仿宋" w:eastAsia="仿宋" w:cs="仿宋"/>
                <w:bCs/>
                <w:szCs w:val="21"/>
                <w:highlight w:val="none"/>
              </w:rPr>
            </w:pPr>
            <w:r>
              <w:rPr>
                <w:rFonts w:hint="eastAsia" w:ascii="仿宋" w:hAnsi="仿宋" w:eastAsia="仿宋" w:cs="仿宋"/>
                <w:bCs/>
                <w:szCs w:val="21"/>
                <w:highlight w:val="none"/>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jc w:val="center"/>
        </w:trPr>
        <w:tc>
          <w:tcPr>
            <w:tcW w:w="992" w:type="dxa"/>
            <w:vMerge w:val="continue"/>
            <w:tcBorders>
              <w:left w:val="single" w:color="auto" w:sz="2" w:space="0"/>
            </w:tcBorders>
            <w:vAlign w:val="center"/>
          </w:tcPr>
          <w:p>
            <w:pPr>
              <w:pStyle w:val="17"/>
              <w:widowControl w:val="0"/>
              <w:adjustRightInd w:val="0"/>
              <w:spacing w:line="240" w:lineRule="auto"/>
              <w:ind w:left="210"/>
              <w:jc w:val="center"/>
              <w:textAlignment w:val="baseline"/>
              <w:rPr>
                <w:rFonts w:hint="eastAsia" w:ascii="仿宋" w:hAnsi="仿宋" w:eastAsia="仿宋" w:cs="仿宋"/>
                <w:sz w:val="21"/>
                <w:szCs w:val="21"/>
                <w:highlight w:val="none"/>
              </w:rPr>
            </w:pPr>
          </w:p>
        </w:tc>
        <w:tc>
          <w:tcPr>
            <w:tcW w:w="1488" w:type="dxa"/>
            <w:vMerge w:val="continue"/>
            <w:tcBorders>
              <w:top w:val="single" w:color="auto" w:sz="2" w:space="0"/>
              <w:bottom w:val="single" w:color="auto" w:sz="2" w:space="0"/>
            </w:tcBorders>
            <w:vAlign w:val="center"/>
          </w:tcPr>
          <w:p>
            <w:pPr>
              <w:jc w:val="center"/>
              <w:rPr>
                <w:rFonts w:hint="eastAsia" w:ascii="仿宋" w:hAnsi="仿宋" w:eastAsia="仿宋" w:cs="仿宋"/>
                <w:bCs/>
                <w:szCs w:val="21"/>
                <w:highlight w:val="none"/>
              </w:rPr>
            </w:pPr>
          </w:p>
        </w:tc>
        <w:tc>
          <w:tcPr>
            <w:tcW w:w="5286" w:type="dxa"/>
            <w:tcBorders>
              <w:top w:val="single" w:color="auto" w:sz="2" w:space="0"/>
              <w:bottom w:val="single" w:color="auto" w:sz="2" w:space="0"/>
            </w:tcBorders>
            <w:vAlign w:val="center"/>
          </w:tcPr>
          <w:p>
            <w:pPr>
              <w:pStyle w:val="330"/>
              <w:spacing w:line="240" w:lineRule="auto"/>
              <w:ind w:firstLine="0" w:firstLineChars="0"/>
              <w:jc w:val="both"/>
              <w:rPr>
                <w:rFonts w:hint="eastAsia" w:ascii="仿宋" w:hAnsi="仿宋" w:eastAsia="仿宋" w:cs="仿宋"/>
                <w:bCs/>
                <w:szCs w:val="21"/>
                <w:highlight w:val="none"/>
              </w:rPr>
            </w:pPr>
            <w:r>
              <w:rPr>
                <w:rStyle w:val="329"/>
                <w:rFonts w:hint="eastAsia" w:ascii="仿宋" w:hAnsi="仿宋" w:eastAsia="仿宋" w:cs="仿宋"/>
                <w:kern w:val="2"/>
                <w:sz w:val="21"/>
                <w:szCs w:val="21"/>
                <w:highlight w:val="none"/>
              </w:rPr>
              <w:t>寄件价格</w:t>
            </w:r>
          </w:p>
        </w:tc>
        <w:tc>
          <w:tcPr>
            <w:tcW w:w="1198" w:type="dxa"/>
            <w:tcBorders>
              <w:top w:val="single" w:color="auto" w:sz="2" w:space="0"/>
              <w:bottom w:val="single" w:color="auto" w:sz="2" w:space="0"/>
              <w:right w:val="single" w:color="auto" w:sz="2" w:space="0"/>
            </w:tcBorders>
            <w:vAlign w:val="center"/>
          </w:tcPr>
          <w:p>
            <w:pPr>
              <w:jc w:val="center"/>
              <w:rPr>
                <w:rFonts w:hint="eastAsia" w:ascii="仿宋" w:hAnsi="仿宋" w:eastAsia="仿宋" w:cs="仿宋"/>
                <w:bCs/>
                <w:szCs w:val="21"/>
                <w:highlight w:val="none"/>
              </w:rPr>
            </w:pPr>
            <w:r>
              <w:rPr>
                <w:rFonts w:hint="eastAsia" w:ascii="仿宋" w:hAnsi="仿宋" w:eastAsia="仿宋" w:cs="仿宋"/>
                <w:bCs/>
                <w:szCs w:val="21"/>
                <w:highlight w:val="none"/>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992" w:type="dxa"/>
            <w:vMerge w:val="continue"/>
            <w:tcBorders>
              <w:left w:val="single" w:color="auto" w:sz="2" w:space="0"/>
            </w:tcBorders>
            <w:vAlign w:val="center"/>
          </w:tcPr>
          <w:p>
            <w:pPr>
              <w:pStyle w:val="17"/>
              <w:widowControl w:val="0"/>
              <w:adjustRightInd w:val="0"/>
              <w:spacing w:line="240" w:lineRule="auto"/>
              <w:ind w:left="210"/>
              <w:jc w:val="center"/>
              <w:textAlignment w:val="baseline"/>
              <w:rPr>
                <w:rFonts w:hint="eastAsia" w:ascii="仿宋" w:hAnsi="仿宋" w:eastAsia="仿宋" w:cs="仿宋"/>
                <w:sz w:val="21"/>
                <w:szCs w:val="21"/>
                <w:highlight w:val="none"/>
              </w:rPr>
            </w:pPr>
          </w:p>
        </w:tc>
        <w:tc>
          <w:tcPr>
            <w:tcW w:w="1488" w:type="dxa"/>
            <w:vMerge w:val="continue"/>
            <w:tcBorders>
              <w:top w:val="single" w:color="auto" w:sz="2" w:space="0"/>
              <w:bottom w:val="single" w:color="auto" w:sz="2" w:space="0"/>
            </w:tcBorders>
            <w:vAlign w:val="center"/>
          </w:tcPr>
          <w:p>
            <w:pPr>
              <w:jc w:val="center"/>
              <w:rPr>
                <w:rFonts w:hint="eastAsia" w:ascii="仿宋" w:hAnsi="仿宋" w:eastAsia="仿宋" w:cs="仿宋"/>
                <w:bCs/>
                <w:szCs w:val="21"/>
                <w:highlight w:val="none"/>
              </w:rPr>
            </w:pPr>
          </w:p>
        </w:tc>
        <w:tc>
          <w:tcPr>
            <w:tcW w:w="5286" w:type="dxa"/>
            <w:tcBorders>
              <w:top w:val="single" w:color="auto" w:sz="2" w:space="0"/>
              <w:bottom w:val="single" w:color="auto" w:sz="2" w:space="0"/>
            </w:tcBorders>
            <w:vAlign w:val="center"/>
          </w:tcPr>
          <w:p>
            <w:pPr>
              <w:pStyle w:val="330"/>
              <w:spacing w:line="240" w:lineRule="auto"/>
              <w:ind w:firstLine="0" w:firstLineChars="0"/>
              <w:jc w:val="both"/>
              <w:rPr>
                <w:rFonts w:hint="eastAsia" w:ascii="仿宋" w:hAnsi="仿宋" w:eastAsia="仿宋" w:cs="仿宋"/>
                <w:bCs/>
                <w:szCs w:val="21"/>
                <w:highlight w:val="none"/>
              </w:rPr>
            </w:pPr>
            <w:r>
              <w:rPr>
                <w:rStyle w:val="329"/>
                <w:rFonts w:hint="eastAsia" w:ascii="仿宋" w:hAnsi="仿宋" w:eastAsia="仿宋" w:cs="仿宋"/>
                <w:kern w:val="2"/>
                <w:sz w:val="21"/>
                <w:szCs w:val="21"/>
                <w:highlight w:val="none"/>
              </w:rPr>
              <w:t>运营管理平台系统、物流查询方式、新媒体运用</w:t>
            </w:r>
          </w:p>
        </w:tc>
        <w:tc>
          <w:tcPr>
            <w:tcW w:w="1198" w:type="dxa"/>
            <w:tcBorders>
              <w:top w:val="single" w:color="auto" w:sz="2" w:space="0"/>
              <w:bottom w:val="single" w:color="auto" w:sz="2" w:space="0"/>
              <w:right w:val="single" w:color="auto" w:sz="2" w:space="0"/>
            </w:tcBorders>
            <w:vAlign w:val="center"/>
          </w:tcPr>
          <w:p>
            <w:pPr>
              <w:jc w:val="center"/>
              <w:rPr>
                <w:rFonts w:hint="eastAsia" w:ascii="仿宋" w:hAnsi="仿宋" w:eastAsia="仿宋" w:cs="仿宋"/>
                <w:bCs/>
                <w:szCs w:val="21"/>
                <w:highlight w:val="none"/>
              </w:rPr>
            </w:pPr>
            <w:r>
              <w:rPr>
                <w:rFonts w:hint="eastAsia" w:ascii="仿宋" w:hAnsi="仿宋" w:eastAsia="仿宋" w:cs="仿宋"/>
                <w:bCs/>
                <w:szCs w:val="21"/>
                <w:highlight w:val="none"/>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992" w:type="dxa"/>
            <w:vMerge w:val="continue"/>
            <w:tcBorders>
              <w:left w:val="single" w:color="auto" w:sz="2" w:space="0"/>
            </w:tcBorders>
            <w:vAlign w:val="center"/>
          </w:tcPr>
          <w:p>
            <w:pPr>
              <w:pStyle w:val="17"/>
              <w:widowControl w:val="0"/>
              <w:adjustRightInd w:val="0"/>
              <w:spacing w:line="240" w:lineRule="auto"/>
              <w:ind w:left="210"/>
              <w:jc w:val="center"/>
              <w:textAlignment w:val="baseline"/>
              <w:rPr>
                <w:rFonts w:hint="eastAsia" w:ascii="仿宋" w:hAnsi="仿宋" w:eastAsia="仿宋" w:cs="仿宋"/>
                <w:sz w:val="21"/>
                <w:szCs w:val="21"/>
                <w:highlight w:val="none"/>
              </w:rPr>
            </w:pPr>
          </w:p>
        </w:tc>
        <w:tc>
          <w:tcPr>
            <w:tcW w:w="1488" w:type="dxa"/>
            <w:vMerge w:val="continue"/>
            <w:tcBorders>
              <w:top w:val="single" w:color="auto" w:sz="2" w:space="0"/>
              <w:bottom w:val="single" w:color="auto" w:sz="2" w:space="0"/>
            </w:tcBorders>
            <w:vAlign w:val="center"/>
          </w:tcPr>
          <w:p>
            <w:pPr>
              <w:jc w:val="center"/>
              <w:rPr>
                <w:rFonts w:hint="eastAsia" w:ascii="仿宋" w:hAnsi="仿宋" w:eastAsia="仿宋" w:cs="仿宋"/>
                <w:bCs/>
                <w:szCs w:val="21"/>
                <w:highlight w:val="none"/>
              </w:rPr>
            </w:pPr>
          </w:p>
        </w:tc>
        <w:tc>
          <w:tcPr>
            <w:tcW w:w="5286" w:type="dxa"/>
            <w:tcBorders>
              <w:top w:val="single" w:color="auto" w:sz="2" w:space="0"/>
              <w:bottom w:val="single" w:color="auto" w:sz="2" w:space="0"/>
            </w:tcBorders>
            <w:vAlign w:val="center"/>
          </w:tcPr>
          <w:p>
            <w:pPr>
              <w:pStyle w:val="330"/>
              <w:spacing w:line="240" w:lineRule="auto"/>
              <w:ind w:firstLine="0" w:firstLineChars="0"/>
              <w:jc w:val="both"/>
              <w:rPr>
                <w:rFonts w:hint="eastAsia" w:ascii="仿宋" w:hAnsi="仿宋" w:eastAsia="仿宋" w:cs="仿宋"/>
                <w:bCs/>
                <w:szCs w:val="21"/>
                <w:highlight w:val="none"/>
              </w:rPr>
            </w:pPr>
            <w:r>
              <w:rPr>
                <w:rStyle w:val="329"/>
                <w:rFonts w:hint="eastAsia" w:ascii="仿宋" w:hAnsi="仿宋" w:eastAsia="仿宋" w:cs="仿宋"/>
                <w:kern w:val="2"/>
                <w:sz w:val="21"/>
                <w:szCs w:val="21"/>
                <w:highlight w:val="none"/>
              </w:rPr>
              <w:t>针对迎新、双11、618等快递量高峰时期的预警及应急方案</w:t>
            </w:r>
          </w:p>
        </w:tc>
        <w:tc>
          <w:tcPr>
            <w:tcW w:w="1198" w:type="dxa"/>
            <w:tcBorders>
              <w:top w:val="single" w:color="auto" w:sz="2" w:space="0"/>
              <w:bottom w:val="single" w:color="auto" w:sz="2" w:space="0"/>
              <w:right w:val="single" w:color="auto" w:sz="2" w:space="0"/>
            </w:tcBorders>
            <w:vAlign w:val="center"/>
          </w:tcPr>
          <w:p>
            <w:pPr>
              <w:jc w:val="center"/>
              <w:rPr>
                <w:rFonts w:hint="eastAsia" w:ascii="仿宋" w:hAnsi="仿宋" w:eastAsia="仿宋" w:cs="仿宋"/>
                <w:bCs/>
                <w:szCs w:val="21"/>
                <w:highlight w:val="none"/>
              </w:rPr>
            </w:pPr>
            <w:r>
              <w:rPr>
                <w:rFonts w:hint="eastAsia" w:ascii="仿宋" w:hAnsi="仿宋" w:eastAsia="仿宋" w:cs="仿宋"/>
                <w:bCs/>
                <w:szCs w:val="21"/>
                <w:highlight w:val="none"/>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992" w:type="dxa"/>
            <w:vMerge w:val="continue"/>
            <w:tcBorders>
              <w:left w:val="single" w:color="auto" w:sz="2" w:space="0"/>
            </w:tcBorders>
            <w:vAlign w:val="center"/>
          </w:tcPr>
          <w:p>
            <w:pPr>
              <w:pStyle w:val="17"/>
              <w:widowControl w:val="0"/>
              <w:adjustRightInd w:val="0"/>
              <w:spacing w:line="240" w:lineRule="auto"/>
              <w:ind w:left="210"/>
              <w:jc w:val="center"/>
              <w:textAlignment w:val="baseline"/>
              <w:rPr>
                <w:rFonts w:hint="eastAsia" w:ascii="仿宋" w:hAnsi="仿宋" w:eastAsia="仿宋" w:cs="仿宋"/>
                <w:sz w:val="21"/>
                <w:szCs w:val="21"/>
                <w:highlight w:val="none"/>
              </w:rPr>
            </w:pPr>
          </w:p>
        </w:tc>
        <w:tc>
          <w:tcPr>
            <w:tcW w:w="1488" w:type="dxa"/>
            <w:vMerge w:val="continue"/>
            <w:tcBorders>
              <w:top w:val="single" w:color="auto" w:sz="2" w:space="0"/>
              <w:bottom w:val="single" w:color="auto" w:sz="2" w:space="0"/>
            </w:tcBorders>
            <w:vAlign w:val="center"/>
          </w:tcPr>
          <w:p>
            <w:pPr>
              <w:jc w:val="center"/>
              <w:rPr>
                <w:rFonts w:hint="eastAsia" w:ascii="仿宋" w:hAnsi="仿宋" w:eastAsia="仿宋" w:cs="仿宋"/>
                <w:bCs/>
                <w:szCs w:val="21"/>
                <w:highlight w:val="none"/>
              </w:rPr>
            </w:pPr>
          </w:p>
        </w:tc>
        <w:tc>
          <w:tcPr>
            <w:tcW w:w="5286" w:type="dxa"/>
            <w:tcBorders>
              <w:top w:val="single" w:color="auto" w:sz="2" w:space="0"/>
              <w:bottom w:val="single" w:color="auto" w:sz="2" w:space="0"/>
            </w:tcBorders>
            <w:vAlign w:val="center"/>
          </w:tcPr>
          <w:p>
            <w:pPr>
              <w:pStyle w:val="330"/>
              <w:spacing w:line="240" w:lineRule="auto"/>
              <w:ind w:firstLine="0" w:firstLineChars="0"/>
              <w:jc w:val="both"/>
              <w:rPr>
                <w:rStyle w:val="329"/>
                <w:rFonts w:hint="eastAsia" w:ascii="仿宋" w:hAnsi="仿宋" w:eastAsia="仿宋" w:cs="仿宋"/>
                <w:kern w:val="2"/>
                <w:sz w:val="21"/>
                <w:szCs w:val="21"/>
                <w:highlight w:val="none"/>
              </w:rPr>
            </w:pPr>
            <w:r>
              <w:rPr>
                <w:rStyle w:val="329"/>
                <w:rFonts w:hint="eastAsia" w:ascii="仿宋" w:hAnsi="仿宋" w:eastAsia="仿宋" w:cs="仿宋"/>
                <w:kern w:val="2"/>
                <w:sz w:val="21"/>
                <w:szCs w:val="21"/>
                <w:highlight w:val="none"/>
              </w:rPr>
              <w:t>疫情防控方案</w:t>
            </w:r>
          </w:p>
        </w:tc>
        <w:tc>
          <w:tcPr>
            <w:tcW w:w="1198" w:type="dxa"/>
            <w:tcBorders>
              <w:top w:val="single" w:color="auto" w:sz="2" w:space="0"/>
              <w:bottom w:val="single" w:color="auto" w:sz="2" w:space="0"/>
              <w:right w:val="single" w:color="auto" w:sz="2" w:space="0"/>
            </w:tcBorders>
            <w:vAlign w:val="center"/>
          </w:tcPr>
          <w:p>
            <w:pPr>
              <w:jc w:val="center"/>
              <w:rPr>
                <w:rFonts w:hint="eastAsia" w:ascii="仿宋" w:hAnsi="仿宋" w:eastAsia="仿宋" w:cs="仿宋"/>
                <w:bCs/>
                <w:szCs w:val="21"/>
                <w:highlight w:val="none"/>
              </w:rPr>
            </w:pPr>
            <w:r>
              <w:rPr>
                <w:rFonts w:hint="eastAsia" w:ascii="仿宋" w:hAnsi="仿宋" w:eastAsia="仿宋" w:cs="仿宋"/>
                <w:bCs/>
                <w:szCs w:val="21"/>
                <w:highlight w:val="none"/>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992" w:type="dxa"/>
            <w:vMerge w:val="continue"/>
            <w:tcBorders>
              <w:left w:val="single" w:color="auto" w:sz="2" w:space="0"/>
              <w:bottom w:val="single" w:color="auto" w:sz="2" w:space="0"/>
            </w:tcBorders>
            <w:vAlign w:val="center"/>
          </w:tcPr>
          <w:p>
            <w:pPr>
              <w:pStyle w:val="17"/>
              <w:widowControl w:val="0"/>
              <w:adjustRightInd w:val="0"/>
              <w:spacing w:line="240" w:lineRule="auto"/>
              <w:ind w:left="210"/>
              <w:jc w:val="center"/>
              <w:textAlignment w:val="baseline"/>
              <w:rPr>
                <w:rFonts w:hint="eastAsia" w:ascii="仿宋" w:hAnsi="仿宋" w:eastAsia="仿宋" w:cs="仿宋"/>
                <w:sz w:val="21"/>
                <w:szCs w:val="21"/>
                <w:highlight w:val="none"/>
              </w:rPr>
            </w:pPr>
          </w:p>
        </w:tc>
        <w:tc>
          <w:tcPr>
            <w:tcW w:w="1488" w:type="dxa"/>
            <w:vMerge w:val="continue"/>
            <w:tcBorders>
              <w:top w:val="single" w:color="auto" w:sz="2" w:space="0"/>
              <w:bottom w:val="single" w:color="auto" w:sz="2" w:space="0"/>
            </w:tcBorders>
            <w:vAlign w:val="center"/>
          </w:tcPr>
          <w:p>
            <w:pPr>
              <w:jc w:val="center"/>
              <w:rPr>
                <w:rFonts w:hint="eastAsia" w:ascii="仿宋" w:hAnsi="仿宋" w:eastAsia="仿宋" w:cs="仿宋"/>
                <w:bCs/>
                <w:szCs w:val="21"/>
                <w:highlight w:val="none"/>
              </w:rPr>
            </w:pPr>
          </w:p>
        </w:tc>
        <w:tc>
          <w:tcPr>
            <w:tcW w:w="5286" w:type="dxa"/>
            <w:tcBorders>
              <w:top w:val="single" w:color="auto" w:sz="2" w:space="0"/>
              <w:bottom w:val="single" w:color="auto" w:sz="2" w:space="0"/>
            </w:tcBorders>
            <w:vAlign w:val="center"/>
          </w:tcPr>
          <w:p>
            <w:pPr>
              <w:pStyle w:val="330"/>
              <w:spacing w:line="240" w:lineRule="auto"/>
              <w:ind w:firstLine="0" w:firstLineChars="0"/>
              <w:jc w:val="both"/>
              <w:rPr>
                <w:rStyle w:val="329"/>
                <w:rFonts w:hint="eastAsia" w:ascii="仿宋" w:hAnsi="仿宋" w:eastAsia="仿宋" w:cs="仿宋"/>
                <w:kern w:val="2"/>
                <w:sz w:val="21"/>
                <w:szCs w:val="21"/>
                <w:highlight w:val="none"/>
              </w:rPr>
            </w:pPr>
            <w:r>
              <w:rPr>
                <w:rStyle w:val="329"/>
                <w:rFonts w:hint="eastAsia" w:ascii="仿宋" w:hAnsi="仿宋" w:eastAsia="仿宋" w:cs="仿宋"/>
                <w:kern w:val="2"/>
                <w:sz w:val="21"/>
                <w:szCs w:val="21"/>
                <w:highlight w:val="none"/>
              </w:rPr>
              <w:t>快递服务整合：整合本区域内10家主流快递公司的得5分，每超过1家加1分，最高10分；</w:t>
            </w:r>
          </w:p>
          <w:p>
            <w:pPr>
              <w:pStyle w:val="330"/>
              <w:spacing w:line="240" w:lineRule="auto"/>
              <w:ind w:firstLine="0" w:firstLineChars="0"/>
              <w:jc w:val="both"/>
              <w:rPr>
                <w:rStyle w:val="329"/>
                <w:rFonts w:hint="eastAsia" w:ascii="仿宋" w:hAnsi="仿宋" w:eastAsia="仿宋" w:cs="仿宋"/>
                <w:kern w:val="2"/>
                <w:sz w:val="21"/>
                <w:szCs w:val="21"/>
                <w:highlight w:val="none"/>
              </w:rPr>
            </w:pPr>
            <w:r>
              <w:rPr>
                <w:rStyle w:val="329"/>
                <w:rFonts w:hint="eastAsia" w:ascii="仿宋" w:hAnsi="仿宋" w:eastAsia="仿宋" w:cs="仿宋"/>
                <w:kern w:val="2"/>
                <w:sz w:val="21"/>
                <w:szCs w:val="21"/>
                <w:highlight w:val="none"/>
              </w:rPr>
              <w:t>（</w:t>
            </w:r>
            <w:r>
              <w:rPr>
                <w:rStyle w:val="329"/>
                <w:rFonts w:hint="eastAsia" w:ascii="仿宋" w:hAnsi="仿宋" w:eastAsia="仿宋" w:cs="仿宋"/>
                <w:color w:val="000000"/>
                <w:kern w:val="2"/>
                <w:sz w:val="21"/>
                <w:szCs w:val="21"/>
                <w:highlight w:val="none"/>
              </w:rPr>
              <w:t>以投标文件中所附合同复印件作为评审依据）</w:t>
            </w:r>
          </w:p>
        </w:tc>
        <w:tc>
          <w:tcPr>
            <w:tcW w:w="1198" w:type="dxa"/>
            <w:tcBorders>
              <w:top w:val="single" w:color="auto" w:sz="2" w:space="0"/>
              <w:bottom w:val="single" w:color="auto" w:sz="2" w:space="0"/>
              <w:right w:val="single" w:color="auto" w:sz="2" w:space="0"/>
            </w:tcBorders>
            <w:vAlign w:val="center"/>
          </w:tcPr>
          <w:p>
            <w:pPr>
              <w:jc w:val="center"/>
              <w:rPr>
                <w:rFonts w:hint="eastAsia" w:ascii="仿宋" w:hAnsi="仿宋" w:eastAsia="仿宋" w:cs="仿宋"/>
                <w:bCs/>
                <w:szCs w:val="21"/>
                <w:highlight w:val="none"/>
              </w:rPr>
            </w:pPr>
            <w:r>
              <w:rPr>
                <w:rFonts w:hint="eastAsia" w:ascii="仿宋" w:hAnsi="仿宋" w:eastAsia="仿宋" w:cs="仿宋"/>
                <w:bCs/>
                <w:szCs w:val="21"/>
                <w:highlight w:val="none"/>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42" w:hRule="atLeast"/>
          <w:jc w:val="center"/>
        </w:trPr>
        <w:tc>
          <w:tcPr>
            <w:tcW w:w="992" w:type="dxa"/>
            <w:tcBorders>
              <w:top w:val="single" w:color="auto" w:sz="2" w:space="0"/>
              <w:left w:val="single" w:color="auto" w:sz="2" w:space="0"/>
              <w:bottom w:val="single" w:color="auto" w:sz="2" w:space="0"/>
            </w:tcBorders>
            <w:vAlign w:val="center"/>
          </w:tcPr>
          <w:p>
            <w:pPr>
              <w:pStyle w:val="17"/>
              <w:widowControl w:val="0"/>
              <w:numPr>
                <w:ilvl w:val="0"/>
                <w:numId w:val="13"/>
              </w:numPr>
              <w:adjustRightInd w:val="0"/>
              <w:spacing w:line="240" w:lineRule="auto"/>
              <w:jc w:val="center"/>
              <w:textAlignment w:val="baseline"/>
              <w:rPr>
                <w:rFonts w:hint="eastAsia" w:ascii="仿宋" w:hAnsi="仿宋" w:eastAsia="仿宋" w:cs="仿宋"/>
                <w:sz w:val="21"/>
                <w:szCs w:val="21"/>
                <w:highlight w:val="none"/>
              </w:rPr>
            </w:pPr>
          </w:p>
        </w:tc>
        <w:tc>
          <w:tcPr>
            <w:tcW w:w="1488" w:type="dxa"/>
            <w:tcBorders>
              <w:top w:val="single" w:color="auto" w:sz="2" w:space="0"/>
              <w:bottom w:val="single" w:color="auto" w:sz="2" w:space="0"/>
            </w:tcBorders>
            <w:vAlign w:val="center"/>
          </w:tcPr>
          <w:p>
            <w:pPr>
              <w:pStyle w:val="330"/>
              <w:spacing w:line="240" w:lineRule="auto"/>
              <w:ind w:firstLine="0" w:firstLineChars="0"/>
              <w:jc w:val="center"/>
              <w:rPr>
                <w:rFonts w:hint="eastAsia" w:ascii="仿宋" w:hAnsi="仿宋" w:eastAsia="仿宋" w:cs="仿宋"/>
                <w:bCs/>
                <w:szCs w:val="21"/>
                <w:highlight w:val="none"/>
              </w:rPr>
            </w:pPr>
            <w:r>
              <w:rPr>
                <w:rStyle w:val="329"/>
                <w:rFonts w:hint="eastAsia" w:ascii="仿宋" w:hAnsi="仿宋" w:eastAsia="仿宋" w:cs="仿宋"/>
                <w:color w:val="000000"/>
                <w:kern w:val="2"/>
                <w:sz w:val="21"/>
                <w:szCs w:val="21"/>
                <w:highlight w:val="none"/>
              </w:rPr>
              <w:t>管理制度</w:t>
            </w:r>
          </w:p>
        </w:tc>
        <w:tc>
          <w:tcPr>
            <w:tcW w:w="5286" w:type="dxa"/>
            <w:tcBorders>
              <w:top w:val="single" w:color="auto" w:sz="2" w:space="0"/>
              <w:bottom w:val="single" w:color="auto" w:sz="2" w:space="0"/>
            </w:tcBorders>
            <w:vAlign w:val="center"/>
          </w:tcPr>
          <w:p>
            <w:pPr>
              <w:jc w:val="left"/>
              <w:rPr>
                <w:rStyle w:val="329"/>
                <w:rFonts w:hint="eastAsia" w:ascii="仿宋" w:hAnsi="仿宋" w:eastAsia="仿宋" w:cs="仿宋"/>
                <w:kern w:val="2"/>
                <w:sz w:val="21"/>
                <w:szCs w:val="21"/>
                <w:highlight w:val="none"/>
              </w:rPr>
            </w:pPr>
            <w:r>
              <w:rPr>
                <w:rStyle w:val="329"/>
                <w:rFonts w:hint="eastAsia" w:ascii="仿宋" w:hAnsi="仿宋" w:eastAsia="仿宋" w:cs="仿宋"/>
                <w:color w:val="000000"/>
                <w:sz w:val="21"/>
                <w:szCs w:val="21"/>
                <w:highlight w:val="none"/>
              </w:rPr>
              <w:t>标准化物流服务体系及规章制度合理合法；组织结构完备、严密，能够有效指导监督日常工作</w:t>
            </w:r>
          </w:p>
        </w:tc>
        <w:tc>
          <w:tcPr>
            <w:tcW w:w="1198" w:type="dxa"/>
            <w:tcBorders>
              <w:top w:val="single" w:color="auto" w:sz="2" w:space="0"/>
              <w:bottom w:val="single" w:color="auto" w:sz="2" w:space="0"/>
              <w:right w:val="single" w:color="auto" w:sz="2" w:space="0"/>
            </w:tcBorders>
            <w:vAlign w:val="center"/>
          </w:tcPr>
          <w:p>
            <w:pPr>
              <w:pStyle w:val="330"/>
              <w:spacing w:line="240" w:lineRule="auto"/>
              <w:ind w:firstLine="0" w:firstLineChars="0"/>
              <w:jc w:val="center"/>
              <w:rPr>
                <w:rFonts w:hint="eastAsia" w:ascii="仿宋" w:hAnsi="仿宋" w:eastAsia="仿宋" w:cs="仿宋"/>
                <w:bCs/>
                <w:kern w:val="2"/>
                <w:sz w:val="21"/>
                <w:szCs w:val="21"/>
                <w:highlight w:val="none"/>
              </w:rPr>
            </w:pPr>
            <w:r>
              <w:rPr>
                <w:rFonts w:hint="eastAsia" w:ascii="仿宋" w:hAnsi="仿宋" w:eastAsia="仿宋" w:cs="仿宋"/>
                <w:bCs/>
                <w:kern w:val="2"/>
                <w:sz w:val="21"/>
                <w:szCs w:val="21"/>
                <w:highlight w:val="none"/>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992" w:type="dxa"/>
            <w:tcBorders>
              <w:top w:val="single" w:color="auto" w:sz="2" w:space="0"/>
              <w:left w:val="single" w:color="auto" w:sz="2" w:space="0"/>
              <w:bottom w:val="single" w:color="auto" w:sz="2" w:space="0"/>
            </w:tcBorders>
            <w:vAlign w:val="center"/>
          </w:tcPr>
          <w:p>
            <w:pPr>
              <w:pStyle w:val="17"/>
              <w:widowControl w:val="0"/>
              <w:numPr>
                <w:ilvl w:val="0"/>
                <w:numId w:val="13"/>
              </w:numPr>
              <w:adjustRightInd w:val="0"/>
              <w:spacing w:line="240" w:lineRule="auto"/>
              <w:jc w:val="center"/>
              <w:textAlignment w:val="baseline"/>
              <w:rPr>
                <w:rFonts w:hint="eastAsia" w:ascii="仿宋" w:hAnsi="仿宋" w:eastAsia="仿宋" w:cs="仿宋"/>
                <w:sz w:val="21"/>
                <w:szCs w:val="21"/>
                <w:highlight w:val="none"/>
              </w:rPr>
            </w:pPr>
          </w:p>
        </w:tc>
        <w:tc>
          <w:tcPr>
            <w:tcW w:w="1488" w:type="dxa"/>
            <w:tcBorders>
              <w:top w:val="single" w:color="auto" w:sz="2" w:space="0"/>
              <w:bottom w:val="single" w:color="auto" w:sz="2" w:space="0"/>
            </w:tcBorders>
            <w:vAlign w:val="center"/>
          </w:tcPr>
          <w:p>
            <w:pPr>
              <w:pStyle w:val="330"/>
              <w:spacing w:line="240" w:lineRule="auto"/>
              <w:ind w:firstLine="0" w:firstLineChars="0"/>
              <w:jc w:val="center"/>
              <w:rPr>
                <w:rFonts w:hint="eastAsia" w:ascii="仿宋" w:hAnsi="仿宋" w:eastAsia="仿宋" w:cs="仿宋"/>
                <w:bCs/>
                <w:szCs w:val="21"/>
                <w:highlight w:val="none"/>
              </w:rPr>
            </w:pPr>
            <w:r>
              <w:rPr>
                <w:rStyle w:val="329"/>
                <w:rFonts w:hint="eastAsia" w:ascii="仿宋" w:hAnsi="仿宋" w:eastAsia="仿宋" w:cs="仿宋"/>
                <w:color w:val="000000"/>
                <w:kern w:val="2"/>
                <w:sz w:val="21"/>
                <w:szCs w:val="21"/>
                <w:highlight w:val="none"/>
              </w:rPr>
              <w:t>业绩</w:t>
            </w:r>
          </w:p>
        </w:tc>
        <w:tc>
          <w:tcPr>
            <w:tcW w:w="5286" w:type="dxa"/>
            <w:tcBorders>
              <w:top w:val="single" w:color="auto" w:sz="2" w:space="0"/>
              <w:bottom w:val="single" w:color="auto" w:sz="2" w:space="0"/>
            </w:tcBorders>
          </w:tcPr>
          <w:p>
            <w:pPr>
              <w:pStyle w:val="330"/>
              <w:ind w:firstLine="0" w:firstLineChars="0"/>
              <w:rPr>
                <w:rStyle w:val="329"/>
                <w:rFonts w:hint="eastAsia" w:ascii="仿宋" w:hAnsi="仿宋" w:eastAsia="仿宋" w:cs="仿宋"/>
                <w:color w:val="000000"/>
                <w:kern w:val="2"/>
                <w:sz w:val="21"/>
                <w:szCs w:val="21"/>
                <w:highlight w:val="none"/>
              </w:rPr>
            </w:pPr>
            <w:r>
              <w:rPr>
                <w:rStyle w:val="329"/>
                <w:rFonts w:hint="eastAsia" w:ascii="仿宋" w:hAnsi="仿宋" w:eastAsia="仿宋" w:cs="仿宋"/>
                <w:color w:val="000000"/>
                <w:kern w:val="2"/>
                <w:sz w:val="21"/>
                <w:szCs w:val="21"/>
                <w:highlight w:val="none"/>
              </w:rPr>
              <w:t>类似</w:t>
            </w:r>
            <w:r>
              <w:rPr>
                <w:rStyle w:val="329"/>
                <w:rFonts w:hint="eastAsia" w:ascii="仿宋" w:hAnsi="仿宋" w:eastAsia="仿宋" w:cs="仿宋"/>
                <w:color w:val="000000"/>
                <w:kern w:val="2"/>
                <w:sz w:val="21"/>
                <w:szCs w:val="21"/>
                <w:highlight w:val="none"/>
                <w:lang w:val="en-US" w:eastAsia="zh-CN"/>
              </w:rPr>
              <w:t>服务</w:t>
            </w:r>
            <w:r>
              <w:rPr>
                <w:rStyle w:val="329"/>
                <w:rFonts w:hint="eastAsia" w:ascii="仿宋" w:hAnsi="仿宋" w:eastAsia="仿宋" w:cs="仿宋"/>
                <w:color w:val="000000"/>
                <w:kern w:val="2"/>
                <w:sz w:val="21"/>
                <w:szCs w:val="21"/>
                <w:highlight w:val="none"/>
              </w:rPr>
              <w:t>案例，每一个成功案例得2分，最高10分。</w:t>
            </w:r>
          </w:p>
          <w:p>
            <w:pPr>
              <w:pStyle w:val="330"/>
              <w:ind w:firstLine="0" w:firstLineChars="0"/>
              <w:rPr>
                <w:rStyle w:val="329"/>
                <w:rFonts w:hint="eastAsia" w:ascii="仿宋" w:hAnsi="仿宋" w:eastAsia="仿宋" w:cs="仿宋"/>
                <w:kern w:val="2"/>
                <w:sz w:val="21"/>
                <w:szCs w:val="21"/>
                <w:highlight w:val="none"/>
              </w:rPr>
            </w:pPr>
            <w:r>
              <w:rPr>
                <w:rStyle w:val="329"/>
                <w:rFonts w:hint="eastAsia" w:ascii="仿宋" w:hAnsi="仿宋" w:eastAsia="仿宋" w:cs="仿宋"/>
                <w:color w:val="000000"/>
                <w:kern w:val="2"/>
                <w:sz w:val="21"/>
                <w:szCs w:val="21"/>
                <w:highlight w:val="none"/>
              </w:rPr>
              <w:t>（以投标文件中所附合同全文复印件或中标通知书作为评审依据）</w:t>
            </w:r>
          </w:p>
        </w:tc>
        <w:tc>
          <w:tcPr>
            <w:tcW w:w="1198" w:type="dxa"/>
            <w:tcBorders>
              <w:top w:val="single" w:color="auto" w:sz="2" w:space="0"/>
              <w:bottom w:val="single" w:color="auto" w:sz="2" w:space="0"/>
              <w:right w:val="single" w:color="auto" w:sz="2" w:space="0"/>
            </w:tcBorders>
            <w:vAlign w:val="center"/>
          </w:tcPr>
          <w:p>
            <w:pPr>
              <w:pStyle w:val="330"/>
              <w:spacing w:line="240" w:lineRule="auto"/>
              <w:ind w:firstLine="0" w:firstLineChars="0"/>
              <w:jc w:val="center"/>
              <w:rPr>
                <w:rFonts w:hint="eastAsia" w:ascii="仿宋" w:hAnsi="仿宋" w:eastAsia="仿宋" w:cs="仿宋"/>
                <w:bCs/>
                <w:kern w:val="2"/>
                <w:sz w:val="21"/>
                <w:szCs w:val="21"/>
                <w:highlight w:val="none"/>
              </w:rPr>
            </w:pPr>
            <w:r>
              <w:rPr>
                <w:rFonts w:hint="eastAsia" w:ascii="仿宋" w:hAnsi="仿宋" w:eastAsia="仿宋" w:cs="仿宋"/>
                <w:bCs/>
                <w:kern w:val="2"/>
                <w:sz w:val="21"/>
                <w:szCs w:val="21"/>
                <w:highlight w:val="none"/>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42" w:hRule="atLeast"/>
          <w:jc w:val="center"/>
        </w:trPr>
        <w:tc>
          <w:tcPr>
            <w:tcW w:w="992" w:type="dxa"/>
            <w:vMerge w:val="restart"/>
            <w:tcBorders>
              <w:top w:val="single" w:color="auto" w:sz="2" w:space="0"/>
              <w:left w:val="single" w:color="auto" w:sz="2" w:space="0"/>
            </w:tcBorders>
            <w:vAlign w:val="center"/>
          </w:tcPr>
          <w:p>
            <w:pPr>
              <w:pStyle w:val="17"/>
              <w:widowControl w:val="0"/>
              <w:numPr>
                <w:ilvl w:val="0"/>
                <w:numId w:val="13"/>
              </w:numPr>
              <w:adjustRightInd w:val="0"/>
              <w:spacing w:line="240" w:lineRule="auto"/>
              <w:jc w:val="center"/>
              <w:textAlignment w:val="baseline"/>
              <w:rPr>
                <w:rFonts w:hint="eastAsia" w:ascii="仿宋" w:hAnsi="仿宋" w:eastAsia="仿宋" w:cs="仿宋"/>
                <w:sz w:val="21"/>
                <w:szCs w:val="21"/>
                <w:highlight w:val="none"/>
              </w:rPr>
            </w:pPr>
          </w:p>
        </w:tc>
        <w:tc>
          <w:tcPr>
            <w:tcW w:w="1488" w:type="dxa"/>
            <w:vMerge w:val="restart"/>
            <w:tcBorders>
              <w:top w:val="single" w:color="auto" w:sz="2" w:space="0"/>
              <w:bottom w:val="single" w:color="auto" w:sz="2" w:space="0"/>
            </w:tcBorders>
            <w:vAlign w:val="center"/>
          </w:tcPr>
          <w:p>
            <w:pPr>
              <w:pStyle w:val="330"/>
              <w:spacing w:line="240" w:lineRule="auto"/>
              <w:ind w:firstLine="0" w:firstLineChars="0"/>
              <w:jc w:val="center"/>
              <w:rPr>
                <w:rFonts w:hint="eastAsia" w:ascii="仿宋" w:hAnsi="仿宋" w:eastAsia="仿宋" w:cs="仿宋"/>
                <w:bCs/>
                <w:szCs w:val="21"/>
                <w:highlight w:val="none"/>
                <w:lang w:val="en-US" w:eastAsia="zh-CN"/>
              </w:rPr>
            </w:pPr>
            <w:r>
              <w:rPr>
                <w:rStyle w:val="329"/>
                <w:rFonts w:hint="eastAsia" w:ascii="仿宋" w:hAnsi="仿宋" w:eastAsia="仿宋" w:cs="仿宋"/>
                <w:color w:val="000000"/>
                <w:kern w:val="2"/>
                <w:sz w:val="21"/>
                <w:szCs w:val="21"/>
                <w:highlight w:val="none"/>
                <w:lang w:val="en-US" w:eastAsia="zh-CN"/>
              </w:rPr>
              <w:t>增值服务</w:t>
            </w:r>
          </w:p>
        </w:tc>
        <w:tc>
          <w:tcPr>
            <w:tcW w:w="5286" w:type="dxa"/>
            <w:tcBorders>
              <w:top w:val="single" w:color="auto" w:sz="2" w:space="0"/>
              <w:bottom w:val="single" w:color="auto" w:sz="2" w:space="0"/>
            </w:tcBorders>
            <w:vAlign w:val="center"/>
          </w:tcPr>
          <w:p>
            <w:pPr>
              <w:pStyle w:val="330"/>
              <w:spacing w:line="240" w:lineRule="auto"/>
              <w:ind w:firstLine="0" w:firstLineChars="0"/>
              <w:rPr>
                <w:rStyle w:val="329"/>
                <w:rFonts w:hint="eastAsia" w:ascii="仿宋" w:hAnsi="仿宋" w:eastAsia="仿宋" w:cs="仿宋"/>
                <w:kern w:val="2"/>
                <w:sz w:val="21"/>
                <w:szCs w:val="21"/>
                <w:highlight w:val="none"/>
              </w:rPr>
            </w:pPr>
            <w:r>
              <w:rPr>
                <w:rStyle w:val="329"/>
                <w:rFonts w:hint="eastAsia" w:ascii="仿宋" w:hAnsi="仿宋" w:eastAsia="仿宋" w:cs="仿宋"/>
                <w:color w:val="000000"/>
                <w:kern w:val="2"/>
                <w:sz w:val="21"/>
                <w:szCs w:val="21"/>
                <w:highlight w:val="none"/>
              </w:rPr>
              <w:t>公益性捐资情况（按年承诺），根据承诺情况酌情给分</w:t>
            </w:r>
          </w:p>
        </w:tc>
        <w:tc>
          <w:tcPr>
            <w:tcW w:w="1198" w:type="dxa"/>
            <w:tcBorders>
              <w:top w:val="single" w:color="auto" w:sz="2" w:space="0"/>
              <w:bottom w:val="single" w:color="auto" w:sz="2" w:space="0"/>
              <w:right w:val="single" w:color="auto" w:sz="2" w:space="0"/>
            </w:tcBorders>
            <w:vAlign w:val="center"/>
          </w:tcPr>
          <w:p>
            <w:pPr>
              <w:pStyle w:val="330"/>
              <w:spacing w:line="240" w:lineRule="auto"/>
              <w:ind w:firstLine="0" w:firstLineChars="0"/>
              <w:jc w:val="center"/>
              <w:rPr>
                <w:rFonts w:hint="eastAsia" w:ascii="仿宋" w:hAnsi="仿宋" w:eastAsia="仿宋" w:cs="仿宋"/>
                <w:bCs/>
                <w:kern w:val="2"/>
                <w:sz w:val="21"/>
                <w:szCs w:val="21"/>
                <w:highlight w:val="none"/>
              </w:rPr>
            </w:pPr>
            <w:r>
              <w:rPr>
                <w:rFonts w:hint="eastAsia" w:ascii="仿宋" w:hAnsi="仿宋" w:eastAsia="仿宋" w:cs="仿宋"/>
                <w:bCs/>
                <w:kern w:val="2"/>
                <w:sz w:val="21"/>
                <w:szCs w:val="21"/>
                <w:highlight w:val="none"/>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992" w:type="dxa"/>
            <w:vMerge w:val="continue"/>
            <w:tcBorders>
              <w:left w:val="single" w:color="auto" w:sz="2" w:space="0"/>
            </w:tcBorders>
            <w:vAlign w:val="center"/>
          </w:tcPr>
          <w:p>
            <w:pPr>
              <w:pStyle w:val="17"/>
              <w:widowControl w:val="0"/>
              <w:adjustRightInd w:val="0"/>
              <w:spacing w:line="240" w:lineRule="auto"/>
              <w:ind w:left="210"/>
              <w:jc w:val="center"/>
              <w:textAlignment w:val="baseline"/>
              <w:rPr>
                <w:rFonts w:hint="eastAsia" w:ascii="仿宋" w:hAnsi="仿宋" w:eastAsia="仿宋" w:cs="仿宋"/>
                <w:sz w:val="21"/>
                <w:szCs w:val="21"/>
                <w:highlight w:val="none"/>
              </w:rPr>
            </w:pPr>
          </w:p>
        </w:tc>
        <w:tc>
          <w:tcPr>
            <w:tcW w:w="1488" w:type="dxa"/>
            <w:vMerge w:val="continue"/>
            <w:tcBorders>
              <w:top w:val="single" w:color="auto" w:sz="2" w:space="0"/>
              <w:bottom w:val="single" w:color="auto" w:sz="2" w:space="0"/>
            </w:tcBorders>
            <w:vAlign w:val="center"/>
          </w:tcPr>
          <w:p>
            <w:pPr>
              <w:pStyle w:val="330"/>
              <w:spacing w:line="240" w:lineRule="auto"/>
              <w:ind w:firstLine="0" w:firstLineChars="0"/>
              <w:jc w:val="center"/>
              <w:rPr>
                <w:rFonts w:hint="eastAsia" w:ascii="仿宋" w:hAnsi="仿宋" w:eastAsia="仿宋" w:cs="仿宋"/>
                <w:bCs/>
                <w:szCs w:val="21"/>
                <w:highlight w:val="none"/>
              </w:rPr>
            </w:pPr>
          </w:p>
        </w:tc>
        <w:tc>
          <w:tcPr>
            <w:tcW w:w="5286" w:type="dxa"/>
            <w:tcBorders>
              <w:top w:val="single" w:color="auto" w:sz="2" w:space="0"/>
              <w:bottom w:val="single" w:color="auto" w:sz="2" w:space="0"/>
            </w:tcBorders>
            <w:vAlign w:val="center"/>
          </w:tcPr>
          <w:p>
            <w:pPr>
              <w:pStyle w:val="330"/>
              <w:spacing w:line="240" w:lineRule="auto"/>
              <w:ind w:firstLine="0" w:firstLineChars="0"/>
              <w:rPr>
                <w:rStyle w:val="329"/>
                <w:rFonts w:hint="eastAsia" w:ascii="仿宋" w:hAnsi="仿宋" w:eastAsia="仿宋" w:cs="仿宋"/>
                <w:kern w:val="2"/>
                <w:sz w:val="21"/>
                <w:szCs w:val="21"/>
                <w:highlight w:val="none"/>
              </w:rPr>
            </w:pPr>
            <w:r>
              <w:rPr>
                <w:rStyle w:val="329"/>
                <w:rFonts w:hint="eastAsia" w:ascii="仿宋" w:hAnsi="仿宋" w:eastAsia="仿宋" w:cs="仿宋"/>
                <w:color w:val="000000"/>
                <w:kern w:val="2"/>
                <w:sz w:val="21"/>
                <w:szCs w:val="21"/>
                <w:highlight w:val="none"/>
              </w:rPr>
              <w:t>三全育人情况，根据方案酌情给分</w:t>
            </w:r>
          </w:p>
        </w:tc>
        <w:tc>
          <w:tcPr>
            <w:tcW w:w="1198" w:type="dxa"/>
            <w:tcBorders>
              <w:top w:val="single" w:color="auto" w:sz="2" w:space="0"/>
              <w:bottom w:val="single" w:color="auto" w:sz="2" w:space="0"/>
              <w:right w:val="single" w:color="auto" w:sz="2" w:space="0"/>
            </w:tcBorders>
            <w:vAlign w:val="center"/>
          </w:tcPr>
          <w:p>
            <w:pPr>
              <w:pStyle w:val="330"/>
              <w:spacing w:line="240" w:lineRule="auto"/>
              <w:ind w:firstLine="0" w:firstLineChars="0"/>
              <w:jc w:val="center"/>
              <w:rPr>
                <w:rFonts w:hint="eastAsia" w:ascii="仿宋" w:hAnsi="仿宋" w:eastAsia="仿宋" w:cs="仿宋"/>
                <w:bCs/>
                <w:kern w:val="2"/>
                <w:sz w:val="21"/>
                <w:szCs w:val="21"/>
                <w:highlight w:val="none"/>
              </w:rPr>
            </w:pPr>
            <w:r>
              <w:rPr>
                <w:rFonts w:hint="eastAsia" w:ascii="仿宋" w:hAnsi="仿宋" w:eastAsia="仿宋" w:cs="仿宋"/>
                <w:bCs/>
                <w:kern w:val="2"/>
                <w:sz w:val="21"/>
                <w:szCs w:val="21"/>
                <w:highlight w:val="none"/>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992" w:type="dxa"/>
            <w:vMerge w:val="continue"/>
            <w:tcBorders>
              <w:left w:val="single" w:color="auto" w:sz="2" w:space="0"/>
              <w:bottom w:val="single" w:color="auto" w:sz="2" w:space="0"/>
            </w:tcBorders>
            <w:vAlign w:val="center"/>
          </w:tcPr>
          <w:p>
            <w:pPr>
              <w:pStyle w:val="17"/>
              <w:widowControl w:val="0"/>
              <w:adjustRightInd w:val="0"/>
              <w:spacing w:line="240" w:lineRule="auto"/>
              <w:ind w:left="210"/>
              <w:jc w:val="center"/>
              <w:textAlignment w:val="baseline"/>
              <w:rPr>
                <w:rFonts w:hint="eastAsia" w:ascii="仿宋" w:hAnsi="仿宋" w:eastAsia="仿宋" w:cs="仿宋"/>
                <w:sz w:val="21"/>
                <w:szCs w:val="21"/>
                <w:highlight w:val="none"/>
              </w:rPr>
            </w:pPr>
          </w:p>
        </w:tc>
        <w:tc>
          <w:tcPr>
            <w:tcW w:w="1488" w:type="dxa"/>
            <w:vMerge w:val="continue"/>
            <w:tcBorders>
              <w:top w:val="single" w:color="auto" w:sz="2" w:space="0"/>
              <w:bottom w:val="single" w:color="auto" w:sz="2" w:space="0"/>
            </w:tcBorders>
            <w:vAlign w:val="center"/>
          </w:tcPr>
          <w:p>
            <w:pPr>
              <w:pStyle w:val="330"/>
              <w:spacing w:line="240" w:lineRule="auto"/>
              <w:ind w:firstLine="0" w:firstLineChars="0"/>
              <w:jc w:val="center"/>
              <w:rPr>
                <w:rFonts w:hint="eastAsia" w:ascii="仿宋" w:hAnsi="仿宋" w:eastAsia="仿宋" w:cs="仿宋"/>
                <w:bCs/>
                <w:szCs w:val="21"/>
                <w:highlight w:val="none"/>
              </w:rPr>
            </w:pPr>
          </w:p>
        </w:tc>
        <w:tc>
          <w:tcPr>
            <w:tcW w:w="5286" w:type="dxa"/>
            <w:tcBorders>
              <w:top w:val="single" w:color="auto" w:sz="2" w:space="0"/>
              <w:bottom w:val="single" w:color="auto" w:sz="2" w:space="0"/>
            </w:tcBorders>
            <w:vAlign w:val="center"/>
          </w:tcPr>
          <w:p>
            <w:pPr>
              <w:pStyle w:val="330"/>
              <w:spacing w:line="240" w:lineRule="auto"/>
              <w:ind w:firstLine="0" w:firstLineChars="0"/>
              <w:rPr>
                <w:rStyle w:val="329"/>
                <w:rFonts w:hint="eastAsia" w:ascii="仿宋" w:hAnsi="仿宋" w:eastAsia="仿宋" w:cs="仿宋"/>
                <w:color w:val="000000"/>
                <w:kern w:val="2"/>
                <w:sz w:val="21"/>
                <w:szCs w:val="21"/>
                <w:highlight w:val="none"/>
              </w:rPr>
            </w:pPr>
            <w:r>
              <w:rPr>
                <w:rStyle w:val="329"/>
                <w:rFonts w:hint="eastAsia" w:ascii="仿宋" w:hAnsi="仿宋" w:eastAsia="仿宋" w:cs="仿宋"/>
                <w:color w:val="000000"/>
                <w:kern w:val="2"/>
                <w:sz w:val="21"/>
                <w:szCs w:val="21"/>
                <w:highlight w:val="none"/>
              </w:rPr>
              <w:t>优惠服务情况，根据方案酌情给分</w:t>
            </w:r>
          </w:p>
        </w:tc>
        <w:tc>
          <w:tcPr>
            <w:tcW w:w="1198" w:type="dxa"/>
            <w:tcBorders>
              <w:top w:val="single" w:color="auto" w:sz="2" w:space="0"/>
              <w:bottom w:val="single" w:color="auto" w:sz="2" w:space="0"/>
              <w:right w:val="single" w:color="auto" w:sz="2" w:space="0"/>
            </w:tcBorders>
            <w:vAlign w:val="center"/>
          </w:tcPr>
          <w:p>
            <w:pPr>
              <w:pStyle w:val="330"/>
              <w:spacing w:line="240" w:lineRule="auto"/>
              <w:ind w:firstLine="0" w:firstLineChars="0"/>
              <w:jc w:val="center"/>
              <w:rPr>
                <w:rFonts w:hint="eastAsia" w:ascii="仿宋" w:hAnsi="仿宋" w:eastAsia="仿宋" w:cs="仿宋"/>
                <w:bCs/>
                <w:kern w:val="2"/>
                <w:sz w:val="21"/>
                <w:szCs w:val="21"/>
                <w:highlight w:val="none"/>
              </w:rPr>
            </w:pPr>
            <w:r>
              <w:rPr>
                <w:rFonts w:hint="eastAsia" w:ascii="仿宋" w:hAnsi="仿宋" w:eastAsia="仿宋" w:cs="仿宋"/>
                <w:bCs/>
                <w:kern w:val="2"/>
                <w:sz w:val="21"/>
                <w:szCs w:val="21"/>
                <w:highlight w:val="none"/>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992" w:type="dxa"/>
            <w:tcBorders>
              <w:top w:val="single" w:color="auto" w:sz="2" w:space="0"/>
              <w:left w:val="single" w:color="auto" w:sz="2" w:space="0"/>
              <w:bottom w:val="single" w:color="auto" w:sz="6" w:space="0"/>
            </w:tcBorders>
            <w:vAlign w:val="center"/>
          </w:tcPr>
          <w:p>
            <w:pPr>
              <w:pStyle w:val="17"/>
              <w:widowControl w:val="0"/>
              <w:numPr>
                <w:ilvl w:val="0"/>
                <w:numId w:val="13"/>
              </w:numPr>
              <w:adjustRightInd w:val="0"/>
              <w:spacing w:line="240" w:lineRule="auto"/>
              <w:jc w:val="center"/>
              <w:textAlignment w:val="baseline"/>
              <w:rPr>
                <w:rFonts w:hint="eastAsia" w:ascii="仿宋" w:hAnsi="仿宋" w:eastAsia="仿宋" w:cs="仿宋"/>
                <w:sz w:val="21"/>
                <w:szCs w:val="21"/>
                <w:highlight w:val="none"/>
              </w:rPr>
            </w:pPr>
          </w:p>
        </w:tc>
        <w:tc>
          <w:tcPr>
            <w:tcW w:w="1488" w:type="dxa"/>
            <w:tcBorders>
              <w:top w:val="single" w:color="auto" w:sz="2" w:space="0"/>
              <w:bottom w:val="single" w:color="auto" w:sz="6" w:space="0"/>
            </w:tcBorders>
            <w:vAlign w:val="center"/>
          </w:tcPr>
          <w:p>
            <w:pPr>
              <w:pStyle w:val="330"/>
              <w:spacing w:line="240" w:lineRule="auto"/>
              <w:ind w:firstLine="0" w:firstLineChars="0"/>
              <w:jc w:val="center"/>
              <w:rPr>
                <w:rFonts w:hint="eastAsia" w:ascii="仿宋" w:hAnsi="仿宋" w:eastAsia="仿宋" w:cs="仿宋"/>
                <w:bCs/>
                <w:szCs w:val="21"/>
                <w:highlight w:val="none"/>
              </w:rPr>
            </w:pPr>
            <w:r>
              <w:rPr>
                <w:rStyle w:val="329"/>
                <w:rFonts w:hint="eastAsia" w:ascii="仿宋" w:hAnsi="仿宋" w:eastAsia="仿宋" w:cs="仿宋"/>
                <w:color w:val="000000"/>
                <w:kern w:val="2"/>
                <w:sz w:val="21"/>
                <w:szCs w:val="21"/>
                <w:highlight w:val="none"/>
              </w:rPr>
              <w:t>管理服务费</w:t>
            </w:r>
          </w:p>
        </w:tc>
        <w:tc>
          <w:tcPr>
            <w:tcW w:w="5286" w:type="dxa"/>
            <w:tcBorders>
              <w:top w:val="single" w:color="auto" w:sz="2" w:space="0"/>
              <w:bottom w:val="single" w:color="auto" w:sz="6" w:space="0"/>
            </w:tcBorders>
            <w:vAlign w:val="center"/>
          </w:tcPr>
          <w:p>
            <w:pPr>
              <w:pStyle w:val="330"/>
              <w:spacing w:line="240" w:lineRule="auto"/>
              <w:ind w:firstLine="0" w:firstLineChars="0"/>
              <w:rPr>
                <w:rStyle w:val="329"/>
                <w:rFonts w:hint="eastAsia" w:ascii="仿宋" w:hAnsi="仿宋" w:eastAsia="仿宋" w:cs="仿宋"/>
                <w:color w:val="000000"/>
                <w:kern w:val="2"/>
                <w:sz w:val="21"/>
                <w:szCs w:val="21"/>
                <w:highlight w:val="none"/>
              </w:rPr>
            </w:pPr>
            <w:r>
              <w:rPr>
                <w:rStyle w:val="329"/>
                <w:rFonts w:hint="eastAsia" w:ascii="仿宋" w:hAnsi="仿宋" w:eastAsia="仿宋" w:cs="仿宋"/>
                <w:color w:val="000000"/>
                <w:kern w:val="2"/>
                <w:sz w:val="21"/>
                <w:szCs w:val="21"/>
                <w:highlight w:val="none"/>
              </w:rPr>
              <w:t>每年缴纳的</w:t>
            </w:r>
            <w:r>
              <w:rPr>
                <w:rFonts w:hint="eastAsia" w:ascii="仿宋" w:hAnsi="仿宋" w:eastAsia="仿宋" w:cs="仿宋"/>
                <w:sz w:val="21"/>
                <w:szCs w:val="21"/>
                <w:highlight w:val="none"/>
              </w:rPr>
              <w:t>管理服务费用少于10万元不得分，缴纳金额为10万元得基准分10分，每增加2万元加1分，满分20分。</w:t>
            </w:r>
          </w:p>
        </w:tc>
        <w:tc>
          <w:tcPr>
            <w:tcW w:w="1198" w:type="dxa"/>
            <w:tcBorders>
              <w:top w:val="single" w:color="auto" w:sz="2" w:space="0"/>
              <w:bottom w:val="single" w:color="auto" w:sz="6" w:space="0"/>
              <w:right w:val="single" w:color="auto" w:sz="2" w:space="0"/>
            </w:tcBorders>
            <w:vAlign w:val="center"/>
          </w:tcPr>
          <w:p>
            <w:pPr>
              <w:pStyle w:val="330"/>
              <w:spacing w:line="240" w:lineRule="auto"/>
              <w:ind w:firstLine="0" w:firstLineChars="0"/>
              <w:jc w:val="center"/>
              <w:rPr>
                <w:rFonts w:hint="eastAsia" w:ascii="仿宋" w:hAnsi="仿宋" w:eastAsia="仿宋" w:cs="仿宋"/>
                <w:bCs/>
                <w:kern w:val="2"/>
                <w:sz w:val="21"/>
                <w:szCs w:val="21"/>
                <w:highlight w:val="none"/>
              </w:rPr>
            </w:pPr>
            <w:r>
              <w:rPr>
                <w:rFonts w:hint="eastAsia" w:ascii="仿宋" w:hAnsi="仿宋" w:eastAsia="仿宋" w:cs="仿宋"/>
                <w:bCs/>
                <w:kern w:val="2"/>
                <w:sz w:val="21"/>
                <w:szCs w:val="21"/>
                <w:highlight w:val="none"/>
              </w:rPr>
              <w:t>20</w:t>
            </w:r>
          </w:p>
        </w:tc>
      </w:tr>
    </w:tbl>
    <w:p>
      <w:pPr>
        <w:spacing w:after="156" w:afterLines="50" w:line="300" w:lineRule="exact"/>
        <w:ind w:firstLine="480" w:firstLineChars="200"/>
        <w:rPr>
          <w:rFonts w:hint="eastAsia" w:ascii="仿宋" w:hAnsi="仿宋" w:eastAsia="仿宋" w:cs="仿宋"/>
          <w:sz w:val="24"/>
          <w:highlight w:val="none"/>
        </w:rPr>
      </w:pPr>
    </w:p>
    <w:p>
      <w:pPr>
        <w:widowControl/>
        <w:jc w:val="left"/>
        <w:rPr>
          <w:rFonts w:hint="eastAsia" w:ascii="仿宋" w:hAnsi="仿宋" w:eastAsia="仿宋" w:cs="仿宋"/>
          <w:b/>
          <w:kern w:val="0"/>
          <w:sz w:val="28"/>
          <w:szCs w:val="28"/>
          <w:highlight w:val="none"/>
        </w:rPr>
      </w:pPr>
    </w:p>
    <w:sectPr>
      <w:footerReference r:id="rId4" w:type="first"/>
      <w:footerReference r:id="rId3" w:type="default"/>
      <w:pgSz w:w="11906" w:h="16838"/>
      <w:pgMar w:top="1440" w:right="1080" w:bottom="1440" w:left="108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A00002BF" w:usb1="68C7FCFB" w:usb2="00000010" w:usb3="00000000" w:csb0="4002009F" w:csb1="DFD70000"/>
  </w:font>
  <w:font w:name="ANOLP H+ Helvetica">
    <w:altName w:val="方正舒体"/>
    <w:panose1 w:val="00000000000000000000"/>
    <w:charset w:val="86"/>
    <w:family w:val="swiss"/>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635"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28"/>
                          </w:pPr>
                          <w:r>
                            <w:fldChar w:fldCharType="begin"/>
                          </w:r>
                          <w:r>
                            <w:instrText xml:space="preserve"> PAGE  \* MERGEFORMAT </w:instrText>
                          </w:r>
                          <w:r>
                            <w:fldChar w:fldCharType="separate"/>
                          </w:r>
                          <w:r>
                            <w:t>39</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D5X5J0AAAAAMBAAAPAAAAAAAAAAEAIAAAACIAAABkcnMvZG93bnJldi54bWxQSwECFAAU&#10;AAAACACHTuJARVKB/PkBAAABBAAADgAAAAAAAAABACAAAAAfAQAAZHJzL2Uyb0RvYy54bWxQSwUG&#10;AAAAAAYABgBZAQAAigU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284480"/>
              <wp:effectExtent l="0" t="0" r="635"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wps:spPr>
                    <wps:txbx>
                      <w:txbxContent>
                        <w:sdt>
                          <w:sdtPr>
                            <w:id w:val="-862206077"/>
                          </w:sdtPr>
                          <w:sdtContent>
                            <w:p>
                              <w:pPr>
                                <w:pStyle w:val="28"/>
                                <w:jc w:val="cente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sdtContent>
                        </w:sdt>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22.4pt;width:9.05pt;mso-position-horizontal:center;mso-position-horizontal-relative:margin;mso-wrap-style:none;z-index:251660288;mso-width-relative:page;mso-height-relative:page;" filled="f" stroked="f" coordsize="21600,21600" o:gfxdata="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SnTGy0AAAAAMBAAAPAAAAAAAAAAEAIAAAACIAAABkcnMvZG93bnJldi54bWxQSwECFAAU&#10;AAAACACHTuJA95PSw/kBAAABBAAADgAAAAAAAAABACAAAAAfAQAAZHJzL2Uyb0RvYy54bWxQSwUG&#10;AAAAAAYABgBZAQAAigUAAAAA&#10;">
              <v:fill on="f" focussize="0,0"/>
              <v:stroke on="f"/>
              <v:imagedata o:title=""/>
              <o:lock v:ext="edit" aspectratio="f"/>
              <v:textbox inset="0mm,0mm,0mm,0mm" style="mso-fit-shape-to-text:t;">
                <w:txbxContent>
                  <w:sdt>
                    <w:sdtPr>
                      <w:id w:val="-862206077"/>
                    </w:sdtPr>
                    <w:sdtContent>
                      <w:p>
                        <w:pPr>
                          <w:pStyle w:val="28"/>
                          <w:jc w:val="cente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sdtContent>
                  </w:sdt>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2"/>
      <w:numFmt w:val="decimal"/>
      <w:lvlText w:val="%1"/>
      <w:lvlJc w:val="left"/>
      <w:pPr>
        <w:tabs>
          <w:tab w:val="left" w:pos="425"/>
        </w:tabs>
        <w:ind w:left="425" w:hanging="425"/>
      </w:pPr>
    </w:lvl>
    <w:lvl w:ilvl="1" w:tentative="0">
      <w:start w:val="2"/>
      <w:numFmt w:val="decimal"/>
      <w:lvlText w:val="%1.%2"/>
      <w:lvlJc w:val="left"/>
      <w:pPr>
        <w:tabs>
          <w:tab w:val="left" w:pos="992"/>
        </w:tabs>
        <w:ind w:left="992" w:hanging="567"/>
      </w:pPr>
    </w:lvl>
    <w:lvl w:ilvl="2" w:tentative="0">
      <w:start w:val="1"/>
      <w:numFmt w:val="decimal"/>
      <w:lvlText w:val="%1.%2.%3"/>
      <w:lvlJc w:val="left"/>
      <w:pPr>
        <w:tabs>
          <w:tab w:val="left" w:pos="1571"/>
        </w:tabs>
        <w:ind w:left="1418" w:hanging="567"/>
      </w:pPr>
    </w:lvl>
    <w:lvl w:ilvl="3" w:tentative="0">
      <w:start w:val="1"/>
      <w:numFmt w:val="decimal"/>
      <w:lvlText w:val="%1.%2.%3.%4"/>
      <w:lvlJc w:val="left"/>
      <w:pPr>
        <w:tabs>
          <w:tab w:val="left" w:pos="2356"/>
        </w:tabs>
        <w:ind w:left="1984" w:hanging="708"/>
      </w:pPr>
    </w:lvl>
    <w:lvl w:ilvl="4" w:tentative="0">
      <w:start w:val="1"/>
      <w:numFmt w:val="decimal"/>
      <w:pStyle w:val="6"/>
      <w:lvlText w:val="%1.%2.%3.%4.%5"/>
      <w:lvlJc w:val="left"/>
      <w:pPr>
        <w:tabs>
          <w:tab w:val="left" w:pos="3141"/>
        </w:tabs>
        <w:ind w:left="2551" w:hanging="850"/>
      </w:pPr>
    </w:lvl>
    <w:lvl w:ilvl="5" w:tentative="0">
      <w:start w:val="1"/>
      <w:numFmt w:val="decimal"/>
      <w:pStyle w:val="7"/>
      <w:lvlText w:val="%1.%2.%3.%4.%5.%6"/>
      <w:lvlJc w:val="left"/>
      <w:pPr>
        <w:tabs>
          <w:tab w:val="left" w:pos="3926"/>
        </w:tabs>
        <w:ind w:left="3260" w:hanging="1134"/>
      </w:pPr>
    </w:lvl>
    <w:lvl w:ilvl="6" w:tentative="0">
      <w:start w:val="1"/>
      <w:numFmt w:val="decimal"/>
      <w:pStyle w:val="8"/>
      <w:lvlText w:val="%1.%2.%3.%4.%5.%6.%7"/>
      <w:lvlJc w:val="left"/>
      <w:pPr>
        <w:tabs>
          <w:tab w:val="left" w:pos="4711"/>
        </w:tabs>
        <w:ind w:left="3827" w:hanging="1276"/>
      </w:pPr>
    </w:lvl>
    <w:lvl w:ilvl="7" w:tentative="0">
      <w:start w:val="1"/>
      <w:numFmt w:val="decimal"/>
      <w:pStyle w:val="9"/>
      <w:lvlText w:val="%1.%2.%3.%4.%5.%6.%7.%8"/>
      <w:lvlJc w:val="left"/>
      <w:pPr>
        <w:tabs>
          <w:tab w:val="left" w:pos="5136"/>
        </w:tabs>
        <w:ind w:left="4394" w:hanging="1418"/>
      </w:pPr>
    </w:lvl>
    <w:lvl w:ilvl="8" w:tentative="0">
      <w:start w:val="1"/>
      <w:numFmt w:val="decimal"/>
      <w:pStyle w:val="10"/>
      <w:lvlText w:val="%1.%2.%3.%4.%5.%6.%7.%8.%9"/>
      <w:lvlJc w:val="left"/>
      <w:pPr>
        <w:tabs>
          <w:tab w:val="left" w:pos="5922"/>
        </w:tabs>
        <w:ind w:left="5102" w:hanging="1700"/>
      </w:pPr>
    </w:lvl>
  </w:abstractNum>
  <w:abstractNum w:abstractNumId="1">
    <w:nsid w:val="09B87842"/>
    <w:multiLevelType w:val="multilevel"/>
    <w:tmpl w:val="09B87842"/>
    <w:lvl w:ilvl="0" w:tentative="0">
      <w:start w:val="1"/>
      <w:numFmt w:val="decimal"/>
      <w:pStyle w:val="219"/>
      <w:lvlText w:val="%1."/>
      <w:lvlJc w:val="left"/>
      <w:pPr>
        <w:ind w:left="1004"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D876A69"/>
    <w:multiLevelType w:val="multilevel"/>
    <w:tmpl w:val="1D876A69"/>
    <w:lvl w:ilvl="0" w:tentative="0">
      <w:start w:val="1"/>
      <w:numFmt w:val="decimal"/>
      <w:lvlText w:val="%1）"/>
      <w:lvlJc w:val="left"/>
      <w:pPr>
        <w:tabs>
          <w:tab w:val="left" w:pos="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4465267"/>
    <w:multiLevelType w:val="multilevel"/>
    <w:tmpl w:val="24465267"/>
    <w:lvl w:ilvl="0" w:tentative="0">
      <w:start w:val="1"/>
      <w:numFmt w:val="chineseCountingThousand"/>
      <w:lvlText w:val="%1、"/>
      <w:lvlJc w:val="left"/>
      <w:pPr>
        <w:ind w:left="1500" w:hanging="420"/>
      </w:pPr>
    </w:lvl>
    <w:lvl w:ilvl="1" w:tentative="0">
      <w:start w:val="1"/>
      <w:numFmt w:val="lowerLetter"/>
      <w:pStyle w:val="222"/>
      <w:lvlText w:val="%2)"/>
      <w:lvlJc w:val="left"/>
      <w:pPr>
        <w:ind w:left="1920" w:hanging="420"/>
      </w:pPr>
    </w:lvl>
    <w:lvl w:ilvl="2" w:tentative="0">
      <w:start w:val="1"/>
      <w:numFmt w:val="lowerRoman"/>
      <w:lvlText w:val="%3."/>
      <w:lvlJc w:val="right"/>
      <w:pPr>
        <w:ind w:left="2340" w:hanging="420"/>
      </w:pPr>
    </w:lvl>
    <w:lvl w:ilvl="3" w:tentative="0">
      <w:start w:val="1"/>
      <w:numFmt w:val="decimal"/>
      <w:lvlText w:val="%4."/>
      <w:lvlJc w:val="left"/>
      <w:pPr>
        <w:ind w:left="2760" w:hanging="420"/>
      </w:pPr>
    </w:lvl>
    <w:lvl w:ilvl="4" w:tentative="0">
      <w:start w:val="1"/>
      <w:numFmt w:val="lowerLetter"/>
      <w:lvlText w:val="%5)"/>
      <w:lvlJc w:val="left"/>
      <w:pPr>
        <w:ind w:left="3180" w:hanging="420"/>
      </w:pPr>
    </w:lvl>
    <w:lvl w:ilvl="5" w:tentative="0">
      <w:start w:val="1"/>
      <w:numFmt w:val="lowerRoman"/>
      <w:lvlText w:val="%6."/>
      <w:lvlJc w:val="right"/>
      <w:pPr>
        <w:ind w:left="3600" w:hanging="420"/>
      </w:pPr>
    </w:lvl>
    <w:lvl w:ilvl="6" w:tentative="0">
      <w:start w:val="1"/>
      <w:numFmt w:val="decimal"/>
      <w:lvlText w:val="%7."/>
      <w:lvlJc w:val="left"/>
      <w:pPr>
        <w:ind w:left="4020" w:hanging="420"/>
      </w:pPr>
    </w:lvl>
    <w:lvl w:ilvl="7" w:tentative="0">
      <w:start w:val="1"/>
      <w:numFmt w:val="lowerLetter"/>
      <w:lvlText w:val="%8)"/>
      <w:lvlJc w:val="left"/>
      <w:pPr>
        <w:ind w:left="4440" w:hanging="420"/>
      </w:pPr>
    </w:lvl>
    <w:lvl w:ilvl="8" w:tentative="0">
      <w:start w:val="1"/>
      <w:numFmt w:val="lowerRoman"/>
      <w:lvlText w:val="%9."/>
      <w:lvlJc w:val="right"/>
      <w:pPr>
        <w:ind w:left="4860" w:hanging="420"/>
      </w:pPr>
    </w:lvl>
  </w:abstractNum>
  <w:abstractNum w:abstractNumId="4">
    <w:nsid w:val="30AB4ADA"/>
    <w:multiLevelType w:val="multilevel"/>
    <w:tmpl w:val="30AB4ADA"/>
    <w:lvl w:ilvl="0" w:tentative="0">
      <w:start w:val="1"/>
      <w:numFmt w:val="decimal"/>
      <w:lvlText w:val="(%1)"/>
      <w:lvlJc w:val="left"/>
      <w:pPr>
        <w:tabs>
          <w:tab w:val="left" w:pos="845"/>
        </w:tabs>
        <w:ind w:left="845"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68"/>
      <w:lvlText w:val="%3."/>
      <w:lvlJc w:val="right"/>
      <w:pPr>
        <w:tabs>
          <w:tab w:val="left" w:pos="1260"/>
        </w:tabs>
        <w:ind w:left="1260" w:hanging="420"/>
      </w:pPr>
    </w:lvl>
    <w:lvl w:ilvl="3" w:tentative="0">
      <w:start w:val="1"/>
      <w:numFmt w:val="decimal"/>
      <w:pStyle w:val="69"/>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72E15EC"/>
    <w:multiLevelType w:val="singleLevel"/>
    <w:tmpl w:val="372E15EC"/>
    <w:lvl w:ilvl="0" w:tentative="0">
      <w:start w:val="1"/>
      <w:numFmt w:val="decimal"/>
      <w:lvlText w:val="%1"/>
      <w:legacy w:legacy="1" w:legacySpace="0" w:legacyIndent="425"/>
      <w:lvlJc w:val="center"/>
      <w:pPr>
        <w:ind w:left="210"/>
      </w:pPr>
    </w:lvl>
  </w:abstractNum>
  <w:abstractNum w:abstractNumId="6">
    <w:nsid w:val="420C153B"/>
    <w:multiLevelType w:val="multilevel"/>
    <w:tmpl w:val="420C153B"/>
    <w:lvl w:ilvl="0" w:tentative="0">
      <w:start w:val="1"/>
      <w:numFmt w:val="decimal"/>
      <w:pStyle w:val="19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5C531A4C"/>
    <w:multiLevelType w:val="multilevel"/>
    <w:tmpl w:val="5C531A4C"/>
    <w:lvl w:ilvl="0" w:tentative="0">
      <w:start w:val="1"/>
      <w:numFmt w:val="decimal"/>
      <w:lvlText w:val="%1）"/>
      <w:lvlJc w:val="left"/>
      <w:pPr>
        <w:tabs>
          <w:tab w:val="left" w:pos="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F574E8B"/>
    <w:multiLevelType w:val="multilevel"/>
    <w:tmpl w:val="5F574E8B"/>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644E5DE4"/>
    <w:multiLevelType w:val="multilevel"/>
    <w:tmpl w:val="644E5DE4"/>
    <w:lvl w:ilvl="0" w:tentative="0">
      <w:start w:val="1"/>
      <w:numFmt w:val="decimal"/>
      <w:lvlText w:val="%1）"/>
      <w:lvlJc w:val="left"/>
      <w:pPr>
        <w:tabs>
          <w:tab w:val="left" w:pos="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65D02A41"/>
    <w:multiLevelType w:val="multilevel"/>
    <w:tmpl w:val="65D02A41"/>
    <w:lvl w:ilvl="0" w:tentative="0">
      <w:start w:val="1"/>
      <w:numFmt w:val="decimal"/>
      <w:lvlText w:val="%1）"/>
      <w:lvlJc w:val="left"/>
      <w:pPr>
        <w:tabs>
          <w:tab w:val="left" w:pos="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6E0866E4"/>
    <w:multiLevelType w:val="multilevel"/>
    <w:tmpl w:val="6E0866E4"/>
    <w:lvl w:ilvl="0" w:tentative="0">
      <w:start w:val="1"/>
      <w:numFmt w:val="bullet"/>
      <w:pStyle w:val="327"/>
      <w:lvlText w:val=""/>
      <w:lvlJc w:val="left"/>
      <w:pPr>
        <w:tabs>
          <w:tab w:val="left" w:pos="420"/>
        </w:tabs>
        <w:ind w:left="420" w:hanging="420"/>
      </w:pPr>
      <w:rPr>
        <w:rFonts w:hint="default" w:ascii="Wingdings" w:hAnsi="Wingdings"/>
      </w:rPr>
    </w:lvl>
    <w:lvl w:ilvl="1" w:tentative="0">
      <w:start w:val="3"/>
      <w:numFmt w:val="bullet"/>
      <w:lvlText w:val="■"/>
      <w:lvlJc w:val="left"/>
      <w:pPr>
        <w:tabs>
          <w:tab w:val="left" w:pos="780"/>
        </w:tabs>
        <w:ind w:left="780" w:hanging="360"/>
      </w:pPr>
      <w:rPr>
        <w:rFonts w:hint="eastAsia" w:ascii="宋体" w:hAnsi="宋体" w:eastAsia="宋体" w:cs="Times New Roman"/>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78A11557"/>
    <w:multiLevelType w:val="multilevel"/>
    <w:tmpl w:val="78A11557"/>
    <w:lvl w:ilvl="0" w:tentative="0">
      <w:start w:val="1"/>
      <w:numFmt w:val="decimal"/>
      <w:lvlText w:val="%1）"/>
      <w:lvlJc w:val="left"/>
      <w:pPr>
        <w:tabs>
          <w:tab w:val="left" w:pos="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4"/>
  </w:num>
  <w:num w:numId="3">
    <w:abstractNumId w:val="6"/>
  </w:num>
  <w:num w:numId="4">
    <w:abstractNumId w:val="1"/>
  </w:num>
  <w:num w:numId="5">
    <w:abstractNumId w:val="3"/>
  </w:num>
  <w:num w:numId="6">
    <w:abstractNumId w:val="11"/>
  </w:num>
  <w:num w:numId="7">
    <w:abstractNumId w:val="8"/>
  </w:num>
  <w:num w:numId="8">
    <w:abstractNumId w:val="12"/>
  </w:num>
  <w:num w:numId="9">
    <w:abstractNumId w:val="9"/>
  </w:num>
  <w:num w:numId="10">
    <w:abstractNumId w:val="7"/>
  </w:num>
  <w:num w:numId="11">
    <w:abstractNumId w:val="10"/>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3C5"/>
    <w:rsid w:val="000026A7"/>
    <w:rsid w:val="000026EF"/>
    <w:rsid w:val="000050FE"/>
    <w:rsid w:val="00006ED2"/>
    <w:rsid w:val="0001407A"/>
    <w:rsid w:val="000158B7"/>
    <w:rsid w:val="00017BF9"/>
    <w:rsid w:val="00017FB9"/>
    <w:rsid w:val="00021895"/>
    <w:rsid w:val="00021971"/>
    <w:rsid w:val="0002213C"/>
    <w:rsid w:val="00024025"/>
    <w:rsid w:val="000240AA"/>
    <w:rsid w:val="000242BB"/>
    <w:rsid w:val="00025595"/>
    <w:rsid w:val="00025829"/>
    <w:rsid w:val="00034283"/>
    <w:rsid w:val="00034A23"/>
    <w:rsid w:val="00034DA9"/>
    <w:rsid w:val="00035490"/>
    <w:rsid w:val="000359AB"/>
    <w:rsid w:val="00036F6B"/>
    <w:rsid w:val="0003764C"/>
    <w:rsid w:val="00043FA5"/>
    <w:rsid w:val="000443E2"/>
    <w:rsid w:val="00045183"/>
    <w:rsid w:val="00045501"/>
    <w:rsid w:val="00045A2A"/>
    <w:rsid w:val="00047258"/>
    <w:rsid w:val="0005097A"/>
    <w:rsid w:val="00051420"/>
    <w:rsid w:val="00051A1D"/>
    <w:rsid w:val="00053D84"/>
    <w:rsid w:val="00053DB7"/>
    <w:rsid w:val="00054119"/>
    <w:rsid w:val="0005432E"/>
    <w:rsid w:val="00054A22"/>
    <w:rsid w:val="00054FFF"/>
    <w:rsid w:val="00056002"/>
    <w:rsid w:val="00060367"/>
    <w:rsid w:val="00061ABA"/>
    <w:rsid w:val="00061C00"/>
    <w:rsid w:val="00062BF3"/>
    <w:rsid w:val="000654B8"/>
    <w:rsid w:val="00065AAD"/>
    <w:rsid w:val="00065F31"/>
    <w:rsid w:val="00066521"/>
    <w:rsid w:val="0006726E"/>
    <w:rsid w:val="000675BF"/>
    <w:rsid w:val="00071151"/>
    <w:rsid w:val="0007370D"/>
    <w:rsid w:val="00073E74"/>
    <w:rsid w:val="00074614"/>
    <w:rsid w:val="00075B7F"/>
    <w:rsid w:val="00076643"/>
    <w:rsid w:val="00076C0F"/>
    <w:rsid w:val="00077D27"/>
    <w:rsid w:val="00080DD3"/>
    <w:rsid w:val="00082D55"/>
    <w:rsid w:val="00082E16"/>
    <w:rsid w:val="00083F31"/>
    <w:rsid w:val="00084C9A"/>
    <w:rsid w:val="00084F48"/>
    <w:rsid w:val="00085A29"/>
    <w:rsid w:val="00087658"/>
    <w:rsid w:val="00087C2C"/>
    <w:rsid w:val="000909F7"/>
    <w:rsid w:val="00090B1E"/>
    <w:rsid w:val="00090F86"/>
    <w:rsid w:val="00091059"/>
    <w:rsid w:val="0009140E"/>
    <w:rsid w:val="00092D80"/>
    <w:rsid w:val="00093877"/>
    <w:rsid w:val="0009555A"/>
    <w:rsid w:val="000963C5"/>
    <w:rsid w:val="00096D90"/>
    <w:rsid w:val="00097D0B"/>
    <w:rsid w:val="000A04AE"/>
    <w:rsid w:val="000A0E18"/>
    <w:rsid w:val="000A1FD4"/>
    <w:rsid w:val="000A2953"/>
    <w:rsid w:val="000A33F8"/>
    <w:rsid w:val="000A4151"/>
    <w:rsid w:val="000A5E89"/>
    <w:rsid w:val="000A7604"/>
    <w:rsid w:val="000B3353"/>
    <w:rsid w:val="000B342E"/>
    <w:rsid w:val="000B557F"/>
    <w:rsid w:val="000B5D10"/>
    <w:rsid w:val="000B6A3B"/>
    <w:rsid w:val="000C0097"/>
    <w:rsid w:val="000C0202"/>
    <w:rsid w:val="000C0399"/>
    <w:rsid w:val="000C2AD7"/>
    <w:rsid w:val="000C301E"/>
    <w:rsid w:val="000C3ECB"/>
    <w:rsid w:val="000C421D"/>
    <w:rsid w:val="000C4E19"/>
    <w:rsid w:val="000C63EA"/>
    <w:rsid w:val="000D0119"/>
    <w:rsid w:val="000D0B25"/>
    <w:rsid w:val="000D27EF"/>
    <w:rsid w:val="000D2939"/>
    <w:rsid w:val="000D3004"/>
    <w:rsid w:val="000D3ECB"/>
    <w:rsid w:val="000D4A7B"/>
    <w:rsid w:val="000D55A9"/>
    <w:rsid w:val="000D5C9F"/>
    <w:rsid w:val="000D66DF"/>
    <w:rsid w:val="000D6B47"/>
    <w:rsid w:val="000D6E71"/>
    <w:rsid w:val="000E13CC"/>
    <w:rsid w:val="000E13F2"/>
    <w:rsid w:val="000E156F"/>
    <w:rsid w:val="000E25E8"/>
    <w:rsid w:val="000E27B9"/>
    <w:rsid w:val="000E2AD9"/>
    <w:rsid w:val="000E42C6"/>
    <w:rsid w:val="000E5508"/>
    <w:rsid w:val="000E684D"/>
    <w:rsid w:val="000E725B"/>
    <w:rsid w:val="000E7FAF"/>
    <w:rsid w:val="000F0C72"/>
    <w:rsid w:val="000F106B"/>
    <w:rsid w:val="000F1872"/>
    <w:rsid w:val="000F2089"/>
    <w:rsid w:val="000F2A20"/>
    <w:rsid w:val="000F34C2"/>
    <w:rsid w:val="000F425E"/>
    <w:rsid w:val="000F42BD"/>
    <w:rsid w:val="000F4BC8"/>
    <w:rsid w:val="000F6474"/>
    <w:rsid w:val="000F6A14"/>
    <w:rsid w:val="000F6E06"/>
    <w:rsid w:val="000F6F2B"/>
    <w:rsid w:val="00100556"/>
    <w:rsid w:val="001015D7"/>
    <w:rsid w:val="00101E41"/>
    <w:rsid w:val="00102BC3"/>
    <w:rsid w:val="001038DD"/>
    <w:rsid w:val="00103A4A"/>
    <w:rsid w:val="00104879"/>
    <w:rsid w:val="0010621D"/>
    <w:rsid w:val="00106666"/>
    <w:rsid w:val="00106A45"/>
    <w:rsid w:val="001077F1"/>
    <w:rsid w:val="00107BBA"/>
    <w:rsid w:val="00110C1D"/>
    <w:rsid w:val="001113D2"/>
    <w:rsid w:val="00111515"/>
    <w:rsid w:val="0011182A"/>
    <w:rsid w:val="00114623"/>
    <w:rsid w:val="00115FA9"/>
    <w:rsid w:val="001160FE"/>
    <w:rsid w:val="001172B8"/>
    <w:rsid w:val="001207D0"/>
    <w:rsid w:val="00121605"/>
    <w:rsid w:val="00121E89"/>
    <w:rsid w:val="0012280C"/>
    <w:rsid w:val="00122B17"/>
    <w:rsid w:val="001250B9"/>
    <w:rsid w:val="00126259"/>
    <w:rsid w:val="0012780B"/>
    <w:rsid w:val="0013048B"/>
    <w:rsid w:val="00130779"/>
    <w:rsid w:val="00132A43"/>
    <w:rsid w:val="001333DF"/>
    <w:rsid w:val="00134AC2"/>
    <w:rsid w:val="00135AEE"/>
    <w:rsid w:val="00140CD6"/>
    <w:rsid w:val="00141387"/>
    <w:rsid w:val="0014201D"/>
    <w:rsid w:val="00142831"/>
    <w:rsid w:val="00142A65"/>
    <w:rsid w:val="00142E44"/>
    <w:rsid w:val="00143193"/>
    <w:rsid w:val="00143A30"/>
    <w:rsid w:val="00143B32"/>
    <w:rsid w:val="00144503"/>
    <w:rsid w:val="001448B2"/>
    <w:rsid w:val="001468D1"/>
    <w:rsid w:val="001477FD"/>
    <w:rsid w:val="0014797F"/>
    <w:rsid w:val="00147F7A"/>
    <w:rsid w:val="001521FD"/>
    <w:rsid w:val="00155597"/>
    <w:rsid w:val="0015799D"/>
    <w:rsid w:val="001624DC"/>
    <w:rsid w:val="00163D85"/>
    <w:rsid w:val="00164CAF"/>
    <w:rsid w:val="00165327"/>
    <w:rsid w:val="00166270"/>
    <w:rsid w:val="00166B8B"/>
    <w:rsid w:val="0016736D"/>
    <w:rsid w:val="0017217C"/>
    <w:rsid w:val="00172C35"/>
    <w:rsid w:val="001735B5"/>
    <w:rsid w:val="00173D7B"/>
    <w:rsid w:val="001746E3"/>
    <w:rsid w:val="0017489E"/>
    <w:rsid w:val="001756ED"/>
    <w:rsid w:val="001762A1"/>
    <w:rsid w:val="00177D30"/>
    <w:rsid w:val="001818E6"/>
    <w:rsid w:val="00182F53"/>
    <w:rsid w:val="001835FE"/>
    <w:rsid w:val="00183832"/>
    <w:rsid w:val="00184781"/>
    <w:rsid w:val="001921D5"/>
    <w:rsid w:val="00194EC2"/>
    <w:rsid w:val="0019654A"/>
    <w:rsid w:val="0019667C"/>
    <w:rsid w:val="00196E88"/>
    <w:rsid w:val="00197495"/>
    <w:rsid w:val="001979D1"/>
    <w:rsid w:val="00197E1E"/>
    <w:rsid w:val="001A0B1A"/>
    <w:rsid w:val="001A283A"/>
    <w:rsid w:val="001A3681"/>
    <w:rsid w:val="001A3831"/>
    <w:rsid w:val="001A38D3"/>
    <w:rsid w:val="001A3D3D"/>
    <w:rsid w:val="001A3E19"/>
    <w:rsid w:val="001A43C0"/>
    <w:rsid w:val="001A48DC"/>
    <w:rsid w:val="001A4E87"/>
    <w:rsid w:val="001A551C"/>
    <w:rsid w:val="001A5BEF"/>
    <w:rsid w:val="001A63D9"/>
    <w:rsid w:val="001A6984"/>
    <w:rsid w:val="001B0869"/>
    <w:rsid w:val="001B227D"/>
    <w:rsid w:val="001B3900"/>
    <w:rsid w:val="001B423F"/>
    <w:rsid w:val="001B50DA"/>
    <w:rsid w:val="001B54C8"/>
    <w:rsid w:val="001B5A92"/>
    <w:rsid w:val="001C0134"/>
    <w:rsid w:val="001C08A3"/>
    <w:rsid w:val="001C0D50"/>
    <w:rsid w:val="001C1090"/>
    <w:rsid w:val="001C20FC"/>
    <w:rsid w:val="001C2CD0"/>
    <w:rsid w:val="001C4545"/>
    <w:rsid w:val="001C5E2E"/>
    <w:rsid w:val="001C7675"/>
    <w:rsid w:val="001D0419"/>
    <w:rsid w:val="001D21E2"/>
    <w:rsid w:val="001D2352"/>
    <w:rsid w:val="001D253E"/>
    <w:rsid w:val="001D2D55"/>
    <w:rsid w:val="001D2EC6"/>
    <w:rsid w:val="001D3E60"/>
    <w:rsid w:val="001D4703"/>
    <w:rsid w:val="001D4ED2"/>
    <w:rsid w:val="001D4F60"/>
    <w:rsid w:val="001D6A5C"/>
    <w:rsid w:val="001D6B19"/>
    <w:rsid w:val="001E01A3"/>
    <w:rsid w:val="001E1361"/>
    <w:rsid w:val="001E15A6"/>
    <w:rsid w:val="001E253F"/>
    <w:rsid w:val="001E3308"/>
    <w:rsid w:val="001E34A3"/>
    <w:rsid w:val="001E3CA6"/>
    <w:rsid w:val="001E4A6A"/>
    <w:rsid w:val="001E500F"/>
    <w:rsid w:val="001E594C"/>
    <w:rsid w:val="001E7AB0"/>
    <w:rsid w:val="001F0DFB"/>
    <w:rsid w:val="001F11DF"/>
    <w:rsid w:val="001F1862"/>
    <w:rsid w:val="001F1EB7"/>
    <w:rsid w:val="001F24F9"/>
    <w:rsid w:val="001F2C17"/>
    <w:rsid w:val="001F353C"/>
    <w:rsid w:val="001F4141"/>
    <w:rsid w:val="001F4A69"/>
    <w:rsid w:val="001F4F0B"/>
    <w:rsid w:val="001F561D"/>
    <w:rsid w:val="00200E3E"/>
    <w:rsid w:val="0020203E"/>
    <w:rsid w:val="00202D59"/>
    <w:rsid w:val="00203C09"/>
    <w:rsid w:val="00205027"/>
    <w:rsid w:val="0020613F"/>
    <w:rsid w:val="00207A70"/>
    <w:rsid w:val="00207C92"/>
    <w:rsid w:val="0021012F"/>
    <w:rsid w:val="0021092E"/>
    <w:rsid w:val="00211618"/>
    <w:rsid w:val="002130BA"/>
    <w:rsid w:val="002133B0"/>
    <w:rsid w:val="00214174"/>
    <w:rsid w:val="00214A42"/>
    <w:rsid w:val="00216CD6"/>
    <w:rsid w:val="002174DE"/>
    <w:rsid w:val="00220C27"/>
    <w:rsid w:val="00220D8C"/>
    <w:rsid w:val="002212CE"/>
    <w:rsid w:val="002217C4"/>
    <w:rsid w:val="00222B7C"/>
    <w:rsid w:val="00222CA9"/>
    <w:rsid w:val="00226CD2"/>
    <w:rsid w:val="002300F2"/>
    <w:rsid w:val="00230601"/>
    <w:rsid w:val="00231105"/>
    <w:rsid w:val="00232594"/>
    <w:rsid w:val="002337DF"/>
    <w:rsid w:val="002361FC"/>
    <w:rsid w:val="00237672"/>
    <w:rsid w:val="00237703"/>
    <w:rsid w:val="002411E6"/>
    <w:rsid w:val="002427C7"/>
    <w:rsid w:val="00243206"/>
    <w:rsid w:val="00243A66"/>
    <w:rsid w:val="00244206"/>
    <w:rsid w:val="00244A91"/>
    <w:rsid w:val="002451DE"/>
    <w:rsid w:val="0024628E"/>
    <w:rsid w:val="00246D80"/>
    <w:rsid w:val="00250F79"/>
    <w:rsid w:val="00251A7E"/>
    <w:rsid w:val="00252430"/>
    <w:rsid w:val="00252769"/>
    <w:rsid w:val="002532AB"/>
    <w:rsid w:val="002534AE"/>
    <w:rsid w:val="00254F93"/>
    <w:rsid w:val="00256DA4"/>
    <w:rsid w:val="00257A22"/>
    <w:rsid w:val="002606B0"/>
    <w:rsid w:val="002615ED"/>
    <w:rsid w:val="0026208D"/>
    <w:rsid w:val="002621B8"/>
    <w:rsid w:val="002629DE"/>
    <w:rsid w:val="002665AF"/>
    <w:rsid w:val="00266CB8"/>
    <w:rsid w:val="00270FBA"/>
    <w:rsid w:val="00271C9C"/>
    <w:rsid w:val="0027727A"/>
    <w:rsid w:val="002809C8"/>
    <w:rsid w:val="00280C6A"/>
    <w:rsid w:val="00282A6A"/>
    <w:rsid w:val="00282D7B"/>
    <w:rsid w:val="002832D6"/>
    <w:rsid w:val="00284BE9"/>
    <w:rsid w:val="00284E95"/>
    <w:rsid w:val="0028572A"/>
    <w:rsid w:val="00286441"/>
    <w:rsid w:val="00286961"/>
    <w:rsid w:val="0028796E"/>
    <w:rsid w:val="002903A2"/>
    <w:rsid w:val="0029165B"/>
    <w:rsid w:val="00291694"/>
    <w:rsid w:val="002920CB"/>
    <w:rsid w:val="0029325C"/>
    <w:rsid w:val="0029383A"/>
    <w:rsid w:val="00295475"/>
    <w:rsid w:val="00295B6B"/>
    <w:rsid w:val="00297D37"/>
    <w:rsid w:val="00297F17"/>
    <w:rsid w:val="002A05DA"/>
    <w:rsid w:val="002A0667"/>
    <w:rsid w:val="002A0B7B"/>
    <w:rsid w:val="002A32CF"/>
    <w:rsid w:val="002A37B0"/>
    <w:rsid w:val="002A4A4E"/>
    <w:rsid w:val="002A685F"/>
    <w:rsid w:val="002B09F9"/>
    <w:rsid w:val="002B0D87"/>
    <w:rsid w:val="002B60E1"/>
    <w:rsid w:val="002B76A3"/>
    <w:rsid w:val="002B78F6"/>
    <w:rsid w:val="002C07BA"/>
    <w:rsid w:val="002C0E1D"/>
    <w:rsid w:val="002C1A9F"/>
    <w:rsid w:val="002C2097"/>
    <w:rsid w:val="002C2256"/>
    <w:rsid w:val="002C3BA7"/>
    <w:rsid w:val="002C3D3D"/>
    <w:rsid w:val="002C3FD4"/>
    <w:rsid w:val="002C48ED"/>
    <w:rsid w:val="002C5C9C"/>
    <w:rsid w:val="002D0D66"/>
    <w:rsid w:val="002D1E45"/>
    <w:rsid w:val="002D30C2"/>
    <w:rsid w:val="002D3F7F"/>
    <w:rsid w:val="002D466D"/>
    <w:rsid w:val="002D5649"/>
    <w:rsid w:val="002D707D"/>
    <w:rsid w:val="002E0316"/>
    <w:rsid w:val="002E0BEF"/>
    <w:rsid w:val="002E1338"/>
    <w:rsid w:val="002E1F2C"/>
    <w:rsid w:val="002E21F4"/>
    <w:rsid w:val="002E2B58"/>
    <w:rsid w:val="002E502F"/>
    <w:rsid w:val="002E5533"/>
    <w:rsid w:val="002E6ECE"/>
    <w:rsid w:val="002E79F0"/>
    <w:rsid w:val="002F1839"/>
    <w:rsid w:val="002F2C26"/>
    <w:rsid w:val="002F4A32"/>
    <w:rsid w:val="002F5666"/>
    <w:rsid w:val="002F7A90"/>
    <w:rsid w:val="00300278"/>
    <w:rsid w:val="00301732"/>
    <w:rsid w:val="00303CF1"/>
    <w:rsid w:val="00304EEB"/>
    <w:rsid w:val="00307022"/>
    <w:rsid w:val="0030714F"/>
    <w:rsid w:val="00307F5E"/>
    <w:rsid w:val="00307FCD"/>
    <w:rsid w:val="003110BA"/>
    <w:rsid w:val="00312199"/>
    <w:rsid w:val="0031322F"/>
    <w:rsid w:val="00315D40"/>
    <w:rsid w:val="00316581"/>
    <w:rsid w:val="00320B6C"/>
    <w:rsid w:val="00326333"/>
    <w:rsid w:val="0032683A"/>
    <w:rsid w:val="00326B2C"/>
    <w:rsid w:val="00330332"/>
    <w:rsid w:val="00330860"/>
    <w:rsid w:val="00330EA6"/>
    <w:rsid w:val="00331CD9"/>
    <w:rsid w:val="0033207D"/>
    <w:rsid w:val="00332226"/>
    <w:rsid w:val="003352FF"/>
    <w:rsid w:val="00336333"/>
    <w:rsid w:val="003414F3"/>
    <w:rsid w:val="00342182"/>
    <w:rsid w:val="00344673"/>
    <w:rsid w:val="003449F9"/>
    <w:rsid w:val="00346342"/>
    <w:rsid w:val="0034646B"/>
    <w:rsid w:val="003479C3"/>
    <w:rsid w:val="00347CE9"/>
    <w:rsid w:val="00350E1D"/>
    <w:rsid w:val="00351732"/>
    <w:rsid w:val="00353314"/>
    <w:rsid w:val="00353917"/>
    <w:rsid w:val="0036301D"/>
    <w:rsid w:val="003630FA"/>
    <w:rsid w:val="003631FB"/>
    <w:rsid w:val="00363204"/>
    <w:rsid w:val="0036485D"/>
    <w:rsid w:val="0036490B"/>
    <w:rsid w:val="003660D0"/>
    <w:rsid w:val="00370619"/>
    <w:rsid w:val="003714B1"/>
    <w:rsid w:val="00372706"/>
    <w:rsid w:val="0037295B"/>
    <w:rsid w:val="00372D7F"/>
    <w:rsid w:val="003738C7"/>
    <w:rsid w:val="003750B6"/>
    <w:rsid w:val="00376F52"/>
    <w:rsid w:val="00377AF0"/>
    <w:rsid w:val="00377CD6"/>
    <w:rsid w:val="00377D82"/>
    <w:rsid w:val="00382093"/>
    <w:rsid w:val="003830F9"/>
    <w:rsid w:val="0038598A"/>
    <w:rsid w:val="003862B9"/>
    <w:rsid w:val="0038653A"/>
    <w:rsid w:val="00386B18"/>
    <w:rsid w:val="003903B1"/>
    <w:rsid w:val="00390E81"/>
    <w:rsid w:val="00391882"/>
    <w:rsid w:val="00391CC2"/>
    <w:rsid w:val="00392E46"/>
    <w:rsid w:val="00393351"/>
    <w:rsid w:val="0039534B"/>
    <w:rsid w:val="00396973"/>
    <w:rsid w:val="0039707F"/>
    <w:rsid w:val="003970CA"/>
    <w:rsid w:val="00397CEC"/>
    <w:rsid w:val="003A37CF"/>
    <w:rsid w:val="003A38A7"/>
    <w:rsid w:val="003A3AE1"/>
    <w:rsid w:val="003A5658"/>
    <w:rsid w:val="003A6E57"/>
    <w:rsid w:val="003B0516"/>
    <w:rsid w:val="003B074F"/>
    <w:rsid w:val="003B0AD6"/>
    <w:rsid w:val="003B185B"/>
    <w:rsid w:val="003B29F3"/>
    <w:rsid w:val="003B5228"/>
    <w:rsid w:val="003B6067"/>
    <w:rsid w:val="003B62A3"/>
    <w:rsid w:val="003B755A"/>
    <w:rsid w:val="003B7D04"/>
    <w:rsid w:val="003B7DC3"/>
    <w:rsid w:val="003C1276"/>
    <w:rsid w:val="003C12C5"/>
    <w:rsid w:val="003C2A9F"/>
    <w:rsid w:val="003C3989"/>
    <w:rsid w:val="003C3E57"/>
    <w:rsid w:val="003C3E78"/>
    <w:rsid w:val="003C559C"/>
    <w:rsid w:val="003C59E1"/>
    <w:rsid w:val="003C5FA6"/>
    <w:rsid w:val="003C6628"/>
    <w:rsid w:val="003C6FF8"/>
    <w:rsid w:val="003D00B4"/>
    <w:rsid w:val="003D0B1D"/>
    <w:rsid w:val="003D2783"/>
    <w:rsid w:val="003D2AC9"/>
    <w:rsid w:val="003D31A6"/>
    <w:rsid w:val="003D3D9C"/>
    <w:rsid w:val="003D55E1"/>
    <w:rsid w:val="003D56F1"/>
    <w:rsid w:val="003D5E75"/>
    <w:rsid w:val="003D75A1"/>
    <w:rsid w:val="003E086F"/>
    <w:rsid w:val="003E141C"/>
    <w:rsid w:val="003E15CB"/>
    <w:rsid w:val="003E248D"/>
    <w:rsid w:val="003E2825"/>
    <w:rsid w:val="003E2B31"/>
    <w:rsid w:val="003E2BEE"/>
    <w:rsid w:val="003E2DF7"/>
    <w:rsid w:val="003E46D5"/>
    <w:rsid w:val="003E4BB8"/>
    <w:rsid w:val="003E5DBE"/>
    <w:rsid w:val="003F2008"/>
    <w:rsid w:val="003F29EE"/>
    <w:rsid w:val="003F2DE9"/>
    <w:rsid w:val="003F5A2C"/>
    <w:rsid w:val="003F66CE"/>
    <w:rsid w:val="003F6FC8"/>
    <w:rsid w:val="003F73A4"/>
    <w:rsid w:val="003F73FD"/>
    <w:rsid w:val="00400AA2"/>
    <w:rsid w:val="00400E36"/>
    <w:rsid w:val="0040103A"/>
    <w:rsid w:val="00401437"/>
    <w:rsid w:val="00402528"/>
    <w:rsid w:val="00404E98"/>
    <w:rsid w:val="00405415"/>
    <w:rsid w:val="004077EB"/>
    <w:rsid w:val="00407AF8"/>
    <w:rsid w:val="00407EF4"/>
    <w:rsid w:val="00412F2D"/>
    <w:rsid w:val="00414659"/>
    <w:rsid w:val="00414EF5"/>
    <w:rsid w:val="004179B4"/>
    <w:rsid w:val="00417F59"/>
    <w:rsid w:val="00421393"/>
    <w:rsid w:val="00421D36"/>
    <w:rsid w:val="0042210F"/>
    <w:rsid w:val="00422D2E"/>
    <w:rsid w:val="00423C19"/>
    <w:rsid w:val="0042421E"/>
    <w:rsid w:val="004249A3"/>
    <w:rsid w:val="004252BD"/>
    <w:rsid w:val="00425AAF"/>
    <w:rsid w:val="00425AC5"/>
    <w:rsid w:val="00426845"/>
    <w:rsid w:val="00427386"/>
    <w:rsid w:val="00430C00"/>
    <w:rsid w:val="004312C5"/>
    <w:rsid w:val="004329EA"/>
    <w:rsid w:val="00433E4F"/>
    <w:rsid w:val="0044231B"/>
    <w:rsid w:val="004448E4"/>
    <w:rsid w:val="00444A38"/>
    <w:rsid w:val="00444B0F"/>
    <w:rsid w:val="0044514D"/>
    <w:rsid w:val="00445A50"/>
    <w:rsid w:val="0045024E"/>
    <w:rsid w:val="00452E8B"/>
    <w:rsid w:val="00453E36"/>
    <w:rsid w:val="00454AD4"/>
    <w:rsid w:val="00454DCF"/>
    <w:rsid w:val="004570DE"/>
    <w:rsid w:val="0045772C"/>
    <w:rsid w:val="00460096"/>
    <w:rsid w:val="00461299"/>
    <w:rsid w:val="00462505"/>
    <w:rsid w:val="00463036"/>
    <w:rsid w:val="00463D54"/>
    <w:rsid w:val="00464843"/>
    <w:rsid w:val="00465973"/>
    <w:rsid w:val="00465F1F"/>
    <w:rsid w:val="00467AD6"/>
    <w:rsid w:val="00470671"/>
    <w:rsid w:val="00470795"/>
    <w:rsid w:val="00470CA4"/>
    <w:rsid w:val="0047106C"/>
    <w:rsid w:val="004716DD"/>
    <w:rsid w:val="00475684"/>
    <w:rsid w:val="0047618A"/>
    <w:rsid w:val="004775E0"/>
    <w:rsid w:val="004800F0"/>
    <w:rsid w:val="004806F0"/>
    <w:rsid w:val="004808AC"/>
    <w:rsid w:val="004810F6"/>
    <w:rsid w:val="0048116A"/>
    <w:rsid w:val="00482546"/>
    <w:rsid w:val="0048471E"/>
    <w:rsid w:val="0048668C"/>
    <w:rsid w:val="00487732"/>
    <w:rsid w:val="00490B5A"/>
    <w:rsid w:val="004913F5"/>
    <w:rsid w:val="0049206B"/>
    <w:rsid w:val="004932CA"/>
    <w:rsid w:val="00494022"/>
    <w:rsid w:val="004949F1"/>
    <w:rsid w:val="00497661"/>
    <w:rsid w:val="004978C4"/>
    <w:rsid w:val="00497960"/>
    <w:rsid w:val="0049796B"/>
    <w:rsid w:val="004A089D"/>
    <w:rsid w:val="004A09EA"/>
    <w:rsid w:val="004A0B48"/>
    <w:rsid w:val="004A140F"/>
    <w:rsid w:val="004A1E8D"/>
    <w:rsid w:val="004A21EA"/>
    <w:rsid w:val="004A4627"/>
    <w:rsid w:val="004B0083"/>
    <w:rsid w:val="004B09CD"/>
    <w:rsid w:val="004B0BDF"/>
    <w:rsid w:val="004B1ECF"/>
    <w:rsid w:val="004B277E"/>
    <w:rsid w:val="004B2DDD"/>
    <w:rsid w:val="004B2E3C"/>
    <w:rsid w:val="004B33C5"/>
    <w:rsid w:val="004B36AE"/>
    <w:rsid w:val="004B53A2"/>
    <w:rsid w:val="004B7930"/>
    <w:rsid w:val="004C01F1"/>
    <w:rsid w:val="004C15BD"/>
    <w:rsid w:val="004C2258"/>
    <w:rsid w:val="004C2857"/>
    <w:rsid w:val="004C307B"/>
    <w:rsid w:val="004C36C9"/>
    <w:rsid w:val="004C479A"/>
    <w:rsid w:val="004C49B8"/>
    <w:rsid w:val="004C50B9"/>
    <w:rsid w:val="004C6939"/>
    <w:rsid w:val="004D0813"/>
    <w:rsid w:val="004D0F50"/>
    <w:rsid w:val="004D1314"/>
    <w:rsid w:val="004D1A4B"/>
    <w:rsid w:val="004D210F"/>
    <w:rsid w:val="004D27B8"/>
    <w:rsid w:val="004D3ACE"/>
    <w:rsid w:val="004D46C4"/>
    <w:rsid w:val="004D570B"/>
    <w:rsid w:val="004D58D2"/>
    <w:rsid w:val="004D7818"/>
    <w:rsid w:val="004D7A31"/>
    <w:rsid w:val="004E1DB2"/>
    <w:rsid w:val="004E214F"/>
    <w:rsid w:val="004E3BF9"/>
    <w:rsid w:val="004E3DE7"/>
    <w:rsid w:val="004E41B4"/>
    <w:rsid w:val="004E6D7C"/>
    <w:rsid w:val="004E76A6"/>
    <w:rsid w:val="004F0E2F"/>
    <w:rsid w:val="004F1435"/>
    <w:rsid w:val="004F1642"/>
    <w:rsid w:val="004F1667"/>
    <w:rsid w:val="004F3C02"/>
    <w:rsid w:val="004F51FE"/>
    <w:rsid w:val="004F5494"/>
    <w:rsid w:val="004F59CF"/>
    <w:rsid w:val="004F6092"/>
    <w:rsid w:val="004F71EB"/>
    <w:rsid w:val="004F7F8D"/>
    <w:rsid w:val="00500340"/>
    <w:rsid w:val="00502EEC"/>
    <w:rsid w:val="00502F8D"/>
    <w:rsid w:val="00503B1D"/>
    <w:rsid w:val="00503DE5"/>
    <w:rsid w:val="00504AEF"/>
    <w:rsid w:val="00505824"/>
    <w:rsid w:val="005060E1"/>
    <w:rsid w:val="00506D64"/>
    <w:rsid w:val="005078F5"/>
    <w:rsid w:val="005103D6"/>
    <w:rsid w:val="00510FBA"/>
    <w:rsid w:val="00511976"/>
    <w:rsid w:val="00513389"/>
    <w:rsid w:val="00515811"/>
    <w:rsid w:val="00520B4F"/>
    <w:rsid w:val="005234DB"/>
    <w:rsid w:val="0052355B"/>
    <w:rsid w:val="00523E4D"/>
    <w:rsid w:val="00524AAE"/>
    <w:rsid w:val="00527998"/>
    <w:rsid w:val="00531BBD"/>
    <w:rsid w:val="00531D31"/>
    <w:rsid w:val="005320AB"/>
    <w:rsid w:val="00532293"/>
    <w:rsid w:val="005325A2"/>
    <w:rsid w:val="005331CC"/>
    <w:rsid w:val="00534739"/>
    <w:rsid w:val="0053624A"/>
    <w:rsid w:val="00536868"/>
    <w:rsid w:val="00536BBA"/>
    <w:rsid w:val="005409E9"/>
    <w:rsid w:val="00540EBF"/>
    <w:rsid w:val="00542F34"/>
    <w:rsid w:val="005437DD"/>
    <w:rsid w:val="00543F71"/>
    <w:rsid w:val="00544A74"/>
    <w:rsid w:val="0054604B"/>
    <w:rsid w:val="00547833"/>
    <w:rsid w:val="0055135D"/>
    <w:rsid w:val="00554139"/>
    <w:rsid w:val="005544BA"/>
    <w:rsid w:val="005544F3"/>
    <w:rsid w:val="00556C49"/>
    <w:rsid w:val="005600CE"/>
    <w:rsid w:val="005601CD"/>
    <w:rsid w:val="0056170A"/>
    <w:rsid w:val="0056221C"/>
    <w:rsid w:val="00563F64"/>
    <w:rsid w:val="00564E3F"/>
    <w:rsid w:val="00565657"/>
    <w:rsid w:val="0057324C"/>
    <w:rsid w:val="0057498C"/>
    <w:rsid w:val="00575A09"/>
    <w:rsid w:val="00575C11"/>
    <w:rsid w:val="00580450"/>
    <w:rsid w:val="00580B63"/>
    <w:rsid w:val="00581451"/>
    <w:rsid w:val="00584325"/>
    <w:rsid w:val="00585159"/>
    <w:rsid w:val="00585319"/>
    <w:rsid w:val="005865FF"/>
    <w:rsid w:val="00590592"/>
    <w:rsid w:val="00593E1A"/>
    <w:rsid w:val="00594EFF"/>
    <w:rsid w:val="005950C0"/>
    <w:rsid w:val="005964EA"/>
    <w:rsid w:val="00596600"/>
    <w:rsid w:val="00596B15"/>
    <w:rsid w:val="005A16EF"/>
    <w:rsid w:val="005A2E2D"/>
    <w:rsid w:val="005A2F05"/>
    <w:rsid w:val="005A3588"/>
    <w:rsid w:val="005A40EA"/>
    <w:rsid w:val="005A61E4"/>
    <w:rsid w:val="005A70C4"/>
    <w:rsid w:val="005B023F"/>
    <w:rsid w:val="005B0A24"/>
    <w:rsid w:val="005B0C72"/>
    <w:rsid w:val="005B1367"/>
    <w:rsid w:val="005B1F84"/>
    <w:rsid w:val="005B2F95"/>
    <w:rsid w:val="005B3225"/>
    <w:rsid w:val="005B3690"/>
    <w:rsid w:val="005B5E98"/>
    <w:rsid w:val="005B7781"/>
    <w:rsid w:val="005C3349"/>
    <w:rsid w:val="005C3FC8"/>
    <w:rsid w:val="005C4161"/>
    <w:rsid w:val="005C48FB"/>
    <w:rsid w:val="005C4CA8"/>
    <w:rsid w:val="005C5542"/>
    <w:rsid w:val="005D0347"/>
    <w:rsid w:val="005D103C"/>
    <w:rsid w:val="005D227A"/>
    <w:rsid w:val="005D2B38"/>
    <w:rsid w:val="005D30C9"/>
    <w:rsid w:val="005D6BCD"/>
    <w:rsid w:val="005D734E"/>
    <w:rsid w:val="005D7706"/>
    <w:rsid w:val="005D7A3D"/>
    <w:rsid w:val="005D7CEE"/>
    <w:rsid w:val="005D7F36"/>
    <w:rsid w:val="005E0AE5"/>
    <w:rsid w:val="005E0CE5"/>
    <w:rsid w:val="005E2CF7"/>
    <w:rsid w:val="005E30AA"/>
    <w:rsid w:val="005E4C4B"/>
    <w:rsid w:val="005E5B1E"/>
    <w:rsid w:val="005E622B"/>
    <w:rsid w:val="005E71E7"/>
    <w:rsid w:val="005E744C"/>
    <w:rsid w:val="005F0BCC"/>
    <w:rsid w:val="005F16DD"/>
    <w:rsid w:val="005F2560"/>
    <w:rsid w:val="005F277B"/>
    <w:rsid w:val="005F4507"/>
    <w:rsid w:val="005F6D92"/>
    <w:rsid w:val="005F79D2"/>
    <w:rsid w:val="0060439D"/>
    <w:rsid w:val="00605B70"/>
    <w:rsid w:val="00606FFB"/>
    <w:rsid w:val="00610E26"/>
    <w:rsid w:val="00612835"/>
    <w:rsid w:val="00612BF3"/>
    <w:rsid w:val="00612C50"/>
    <w:rsid w:val="00615982"/>
    <w:rsid w:val="0061684E"/>
    <w:rsid w:val="00617BC6"/>
    <w:rsid w:val="00620DE3"/>
    <w:rsid w:val="00621D92"/>
    <w:rsid w:val="00621DFC"/>
    <w:rsid w:val="00622184"/>
    <w:rsid w:val="00622A24"/>
    <w:rsid w:val="00623C1D"/>
    <w:rsid w:val="00625A4D"/>
    <w:rsid w:val="00625CD2"/>
    <w:rsid w:val="00626DE8"/>
    <w:rsid w:val="006300BC"/>
    <w:rsid w:val="00632945"/>
    <w:rsid w:val="00633B1E"/>
    <w:rsid w:val="00634344"/>
    <w:rsid w:val="00635C71"/>
    <w:rsid w:val="0063684B"/>
    <w:rsid w:val="00637295"/>
    <w:rsid w:val="00637A7F"/>
    <w:rsid w:val="00640997"/>
    <w:rsid w:val="006411C1"/>
    <w:rsid w:val="00642558"/>
    <w:rsid w:val="006444CD"/>
    <w:rsid w:val="00645DB1"/>
    <w:rsid w:val="006463CC"/>
    <w:rsid w:val="00646894"/>
    <w:rsid w:val="00647FE8"/>
    <w:rsid w:val="0065016F"/>
    <w:rsid w:val="0065283E"/>
    <w:rsid w:val="00652C8B"/>
    <w:rsid w:val="00653721"/>
    <w:rsid w:val="00653ACB"/>
    <w:rsid w:val="00656163"/>
    <w:rsid w:val="006561D0"/>
    <w:rsid w:val="00656C85"/>
    <w:rsid w:val="006608B8"/>
    <w:rsid w:val="006610EA"/>
    <w:rsid w:val="006620D6"/>
    <w:rsid w:val="006633AA"/>
    <w:rsid w:val="00663FDE"/>
    <w:rsid w:val="006650A5"/>
    <w:rsid w:val="00665589"/>
    <w:rsid w:val="00665A47"/>
    <w:rsid w:val="00667501"/>
    <w:rsid w:val="00670CAA"/>
    <w:rsid w:val="006719F1"/>
    <w:rsid w:val="00674D7E"/>
    <w:rsid w:val="00675768"/>
    <w:rsid w:val="00680034"/>
    <w:rsid w:val="00681FCD"/>
    <w:rsid w:val="006832EF"/>
    <w:rsid w:val="00683C2E"/>
    <w:rsid w:val="00683DA9"/>
    <w:rsid w:val="0068649F"/>
    <w:rsid w:val="00686D36"/>
    <w:rsid w:val="00691990"/>
    <w:rsid w:val="00692E95"/>
    <w:rsid w:val="0069316F"/>
    <w:rsid w:val="00693562"/>
    <w:rsid w:val="00693D55"/>
    <w:rsid w:val="00694040"/>
    <w:rsid w:val="00695240"/>
    <w:rsid w:val="0069679E"/>
    <w:rsid w:val="00696F1A"/>
    <w:rsid w:val="006976C8"/>
    <w:rsid w:val="006978AD"/>
    <w:rsid w:val="00697DDD"/>
    <w:rsid w:val="006A0000"/>
    <w:rsid w:val="006A2850"/>
    <w:rsid w:val="006A2BFC"/>
    <w:rsid w:val="006A2CC4"/>
    <w:rsid w:val="006A409C"/>
    <w:rsid w:val="006A44BC"/>
    <w:rsid w:val="006A4ACE"/>
    <w:rsid w:val="006A505C"/>
    <w:rsid w:val="006A6088"/>
    <w:rsid w:val="006B142F"/>
    <w:rsid w:val="006B1B1D"/>
    <w:rsid w:val="006B1F40"/>
    <w:rsid w:val="006B2617"/>
    <w:rsid w:val="006B4AF8"/>
    <w:rsid w:val="006B500F"/>
    <w:rsid w:val="006B52DF"/>
    <w:rsid w:val="006C1865"/>
    <w:rsid w:val="006C1FB5"/>
    <w:rsid w:val="006C2F5F"/>
    <w:rsid w:val="006C4665"/>
    <w:rsid w:val="006C46B6"/>
    <w:rsid w:val="006C5D88"/>
    <w:rsid w:val="006C6AAB"/>
    <w:rsid w:val="006C6E77"/>
    <w:rsid w:val="006D1A8B"/>
    <w:rsid w:val="006D20C6"/>
    <w:rsid w:val="006D2CBE"/>
    <w:rsid w:val="006D2F08"/>
    <w:rsid w:val="006D3672"/>
    <w:rsid w:val="006D4BFB"/>
    <w:rsid w:val="006D4E11"/>
    <w:rsid w:val="006D5C2F"/>
    <w:rsid w:val="006D6740"/>
    <w:rsid w:val="006D7827"/>
    <w:rsid w:val="006E092B"/>
    <w:rsid w:val="006E09D5"/>
    <w:rsid w:val="006E12B3"/>
    <w:rsid w:val="006E24F1"/>
    <w:rsid w:val="006E3998"/>
    <w:rsid w:val="006E4F67"/>
    <w:rsid w:val="006E5819"/>
    <w:rsid w:val="006E5AB7"/>
    <w:rsid w:val="006E5F0E"/>
    <w:rsid w:val="006E6C11"/>
    <w:rsid w:val="006E7290"/>
    <w:rsid w:val="006E73FD"/>
    <w:rsid w:val="006E756B"/>
    <w:rsid w:val="006F068C"/>
    <w:rsid w:val="006F06F9"/>
    <w:rsid w:val="006F0869"/>
    <w:rsid w:val="006F1FA7"/>
    <w:rsid w:val="006F3123"/>
    <w:rsid w:val="006F3205"/>
    <w:rsid w:val="006F3ADC"/>
    <w:rsid w:val="006F4D27"/>
    <w:rsid w:val="006F4FC1"/>
    <w:rsid w:val="006F5D2A"/>
    <w:rsid w:val="006F770A"/>
    <w:rsid w:val="007004F9"/>
    <w:rsid w:val="00701241"/>
    <w:rsid w:val="00701D00"/>
    <w:rsid w:val="00702804"/>
    <w:rsid w:val="007031FE"/>
    <w:rsid w:val="00703EE0"/>
    <w:rsid w:val="00704986"/>
    <w:rsid w:val="00704AAE"/>
    <w:rsid w:val="00704ABD"/>
    <w:rsid w:val="00707CB6"/>
    <w:rsid w:val="00710134"/>
    <w:rsid w:val="007108A6"/>
    <w:rsid w:val="00710903"/>
    <w:rsid w:val="00714846"/>
    <w:rsid w:val="00720106"/>
    <w:rsid w:val="007210A6"/>
    <w:rsid w:val="007224E3"/>
    <w:rsid w:val="007225C6"/>
    <w:rsid w:val="007249D5"/>
    <w:rsid w:val="00724ED1"/>
    <w:rsid w:val="00725370"/>
    <w:rsid w:val="007268FF"/>
    <w:rsid w:val="007270A0"/>
    <w:rsid w:val="00730E1B"/>
    <w:rsid w:val="007314FB"/>
    <w:rsid w:val="00731942"/>
    <w:rsid w:val="00732982"/>
    <w:rsid w:val="00733750"/>
    <w:rsid w:val="007340A6"/>
    <w:rsid w:val="0073421C"/>
    <w:rsid w:val="0073440A"/>
    <w:rsid w:val="00734555"/>
    <w:rsid w:val="00734ED8"/>
    <w:rsid w:val="00734F96"/>
    <w:rsid w:val="0073516B"/>
    <w:rsid w:val="00736A58"/>
    <w:rsid w:val="00741EA0"/>
    <w:rsid w:val="00743E62"/>
    <w:rsid w:val="00744C85"/>
    <w:rsid w:val="00746DD2"/>
    <w:rsid w:val="00750B3C"/>
    <w:rsid w:val="00750D17"/>
    <w:rsid w:val="00750E72"/>
    <w:rsid w:val="00752807"/>
    <w:rsid w:val="00752AA3"/>
    <w:rsid w:val="00755503"/>
    <w:rsid w:val="007569B5"/>
    <w:rsid w:val="00756BD7"/>
    <w:rsid w:val="0076128C"/>
    <w:rsid w:val="00762812"/>
    <w:rsid w:val="00762EFC"/>
    <w:rsid w:val="00764137"/>
    <w:rsid w:val="0076562F"/>
    <w:rsid w:val="00765C96"/>
    <w:rsid w:val="00765F97"/>
    <w:rsid w:val="0076626E"/>
    <w:rsid w:val="00766EE6"/>
    <w:rsid w:val="007672EA"/>
    <w:rsid w:val="007722AE"/>
    <w:rsid w:val="00773D77"/>
    <w:rsid w:val="007767D9"/>
    <w:rsid w:val="00776CD5"/>
    <w:rsid w:val="00777684"/>
    <w:rsid w:val="007806EB"/>
    <w:rsid w:val="007809B2"/>
    <w:rsid w:val="00780CD8"/>
    <w:rsid w:val="007812A4"/>
    <w:rsid w:val="00781918"/>
    <w:rsid w:val="007860EA"/>
    <w:rsid w:val="00787E3F"/>
    <w:rsid w:val="00787E60"/>
    <w:rsid w:val="00790F00"/>
    <w:rsid w:val="007916BA"/>
    <w:rsid w:val="00792E88"/>
    <w:rsid w:val="007935A5"/>
    <w:rsid w:val="00793693"/>
    <w:rsid w:val="00793C4A"/>
    <w:rsid w:val="00793EEC"/>
    <w:rsid w:val="00794E27"/>
    <w:rsid w:val="00795F36"/>
    <w:rsid w:val="00797D5D"/>
    <w:rsid w:val="007A06A8"/>
    <w:rsid w:val="007A0978"/>
    <w:rsid w:val="007A25EA"/>
    <w:rsid w:val="007A2A49"/>
    <w:rsid w:val="007A5111"/>
    <w:rsid w:val="007A6EAF"/>
    <w:rsid w:val="007A7829"/>
    <w:rsid w:val="007B00F9"/>
    <w:rsid w:val="007B0342"/>
    <w:rsid w:val="007B0973"/>
    <w:rsid w:val="007B24CF"/>
    <w:rsid w:val="007B28B0"/>
    <w:rsid w:val="007B3148"/>
    <w:rsid w:val="007B708A"/>
    <w:rsid w:val="007C041C"/>
    <w:rsid w:val="007C0789"/>
    <w:rsid w:val="007C3173"/>
    <w:rsid w:val="007C3C5E"/>
    <w:rsid w:val="007C4F4D"/>
    <w:rsid w:val="007C5275"/>
    <w:rsid w:val="007C6971"/>
    <w:rsid w:val="007C6D01"/>
    <w:rsid w:val="007C6D84"/>
    <w:rsid w:val="007C795E"/>
    <w:rsid w:val="007D0656"/>
    <w:rsid w:val="007D1322"/>
    <w:rsid w:val="007D1781"/>
    <w:rsid w:val="007D2047"/>
    <w:rsid w:val="007D37E7"/>
    <w:rsid w:val="007D4347"/>
    <w:rsid w:val="007D4F68"/>
    <w:rsid w:val="007E1337"/>
    <w:rsid w:val="007E1929"/>
    <w:rsid w:val="007E21B0"/>
    <w:rsid w:val="007E27E3"/>
    <w:rsid w:val="007E3418"/>
    <w:rsid w:val="007E3DDB"/>
    <w:rsid w:val="007E487C"/>
    <w:rsid w:val="007E768A"/>
    <w:rsid w:val="007E7E5F"/>
    <w:rsid w:val="007F073F"/>
    <w:rsid w:val="007F251A"/>
    <w:rsid w:val="007F2E8D"/>
    <w:rsid w:val="007F393D"/>
    <w:rsid w:val="007F4587"/>
    <w:rsid w:val="007F5445"/>
    <w:rsid w:val="007F5448"/>
    <w:rsid w:val="007F6290"/>
    <w:rsid w:val="007F63BE"/>
    <w:rsid w:val="007F66BF"/>
    <w:rsid w:val="00801EF5"/>
    <w:rsid w:val="00803F7A"/>
    <w:rsid w:val="00804340"/>
    <w:rsid w:val="00805A63"/>
    <w:rsid w:val="00806184"/>
    <w:rsid w:val="00806AFE"/>
    <w:rsid w:val="00806C9A"/>
    <w:rsid w:val="00810915"/>
    <w:rsid w:val="00810CFA"/>
    <w:rsid w:val="00811639"/>
    <w:rsid w:val="00811FDE"/>
    <w:rsid w:val="008129A2"/>
    <w:rsid w:val="00812C62"/>
    <w:rsid w:val="00812FB5"/>
    <w:rsid w:val="008161AE"/>
    <w:rsid w:val="00816E06"/>
    <w:rsid w:val="008178FA"/>
    <w:rsid w:val="00820711"/>
    <w:rsid w:val="00820819"/>
    <w:rsid w:val="00821975"/>
    <w:rsid w:val="00821B46"/>
    <w:rsid w:val="00821E48"/>
    <w:rsid w:val="00825BFB"/>
    <w:rsid w:val="00826D60"/>
    <w:rsid w:val="00827BE5"/>
    <w:rsid w:val="00830F4E"/>
    <w:rsid w:val="008319FA"/>
    <w:rsid w:val="00834E0F"/>
    <w:rsid w:val="00834E45"/>
    <w:rsid w:val="008364C5"/>
    <w:rsid w:val="00836B44"/>
    <w:rsid w:val="0083727D"/>
    <w:rsid w:val="00837AB8"/>
    <w:rsid w:val="00840918"/>
    <w:rsid w:val="0084286E"/>
    <w:rsid w:val="00843BE3"/>
    <w:rsid w:val="008443B1"/>
    <w:rsid w:val="00846D16"/>
    <w:rsid w:val="00847F2B"/>
    <w:rsid w:val="0085105C"/>
    <w:rsid w:val="0085161D"/>
    <w:rsid w:val="00852524"/>
    <w:rsid w:val="008530F4"/>
    <w:rsid w:val="008538E3"/>
    <w:rsid w:val="00854ED0"/>
    <w:rsid w:val="0085631D"/>
    <w:rsid w:val="00856B6A"/>
    <w:rsid w:val="00857AEF"/>
    <w:rsid w:val="00866A87"/>
    <w:rsid w:val="00866D5B"/>
    <w:rsid w:val="008706E0"/>
    <w:rsid w:val="008708A9"/>
    <w:rsid w:val="008723B6"/>
    <w:rsid w:val="00872951"/>
    <w:rsid w:val="008729CC"/>
    <w:rsid w:val="0087662C"/>
    <w:rsid w:val="0088030B"/>
    <w:rsid w:val="0088030C"/>
    <w:rsid w:val="00880D22"/>
    <w:rsid w:val="008812E0"/>
    <w:rsid w:val="00881C77"/>
    <w:rsid w:val="00882C75"/>
    <w:rsid w:val="00883215"/>
    <w:rsid w:val="008836C3"/>
    <w:rsid w:val="008839F6"/>
    <w:rsid w:val="00883E77"/>
    <w:rsid w:val="008841A8"/>
    <w:rsid w:val="00884A13"/>
    <w:rsid w:val="00885B9A"/>
    <w:rsid w:val="00890F5B"/>
    <w:rsid w:val="0089203A"/>
    <w:rsid w:val="0089220C"/>
    <w:rsid w:val="00893838"/>
    <w:rsid w:val="008963AB"/>
    <w:rsid w:val="00896A17"/>
    <w:rsid w:val="00897D79"/>
    <w:rsid w:val="008A0A91"/>
    <w:rsid w:val="008A13DC"/>
    <w:rsid w:val="008A288C"/>
    <w:rsid w:val="008A29D9"/>
    <w:rsid w:val="008A2AE2"/>
    <w:rsid w:val="008A2E14"/>
    <w:rsid w:val="008A3E42"/>
    <w:rsid w:val="008A3F8B"/>
    <w:rsid w:val="008A55B3"/>
    <w:rsid w:val="008A59A2"/>
    <w:rsid w:val="008A5CDA"/>
    <w:rsid w:val="008A6292"/>
    <w:rsid w:val="008A6D14"/>
    <w:rsid w:val="008A6D56"/>
    <w:rsid w:val="008A76D8"/>
    <w:rsid w:val="008A7764"/>
    <w:rsid w:val="008B15E9"/>
    <w:rsid w:val="008B3131"/>
    <w:rsid w:val="008B3134"/>
    <w:rsid w:val="008B3346"/>
    <w:rsid w:val="008B4734"/>
    <w:rsid w:val="008B5586"/>
    <w:rsid w:val="008B64AC"/>
    <w:rsid w:val="008B74BC"/>
    <w:rsid w:val="008B7952"/>
    <w:rsid w:val="008C16DA"/>
    <w:rsid w:val="008C1720"/>
    <w:rsid w:val="008C1790"/>
    <w:rsid w:val="008C29DC"/>
    <w:rsid w:val="008C38E3"/>
    <w:rsid w:val="008C4A10"/>
    <w:rsid w:val="008C631F"/>
    <w:rsid w:val="008C64FE"/>
    <w:rsid w:val="008C6715"/>
    <w:rsid w:val="008C7E50"/>
    <w:rsid w:val="008C7F0D"/>
    <w:rsid w:val="008D08B9"/>
    <w:rsid w:val="008D098B"/>
    <w:rsid w:val="008D1CA2"/>
    <w:rsid w:val="008D35B2"/>
    <w:rsid w:val="008D6420"/>
    <w:rsid w:val="008D7BDC"/>
    <w:rsid w:val="008D7BFB"/>
    <w:rsid w:val="008D7CD6"/>
    <w:rsid w:val="008E042F"/>
    <w:rsid w:val="008E058C"/>
    <w:rsid w:val="008E2B9E"/>
    <w:rsid w:val="008E3978"/>
    <w:rsid w:val="008E4E9C"/>
    <w:rsid w:val="008E6123"/>
    <w:rsid w:val="008E7AA1"/>
    <w:rsid w:val="008F0A7B"/>
    <w:rsid w:val="008F0E9E"/>
    <w:rsid w:val="008F249E"/>
    <w:rsid w:val="008F24B4"/>
    <w:rsid w:val="008F250A"/>
    <w:rsid w:val="008F2F8E"/>
    <w:rsid w:val="008F3914"/>
    <w:rsid w:val="008F60E9"/>
    <w:rsid w:val="008F6AFA"/>
    <w:rsid w:val="008F6FD5"/>
    <w:rsid w:val="008F7293"/>
    <w:rsid w:val="008F7611"/>
    <w:rsid w:val="008F7E14"/>
    <w:rsid w:val="009001D1"/>
    <w:rsid w:val="00901B1B"/>
    <w:rsid w:val="00901E29"/>
    <w:rsid w:val="00902CEB"/>
    <w:rsid w:val="009036DC"/>
    <w:rsid w:val="00903729"/>
    <w:rsid w:val="00903D73"/>
    <w:rsid w:val="00903DEF"/>
    <w:rsid w:val="0090639C"/>
    <w:rsid w:val="0090684D"/>
    <w:rsid w:val="00910166"/>
    <w:rsid w:val="00910511"/>
    <w:rsid w:val="0091118F"/>
    <w:rsid w:val="00911FD1"/>
    <w:rsid w:val="0091228F"/>
    <w:rsid w:val="0091283C"/>
    <w:rsid w:val="009133CA"/>
    <w:rsid w:val="009135B0"/>
    <w:rsid w:val="009139C7"/>
    <w:rsid w:val="00913D9E"/>
    <w:rsid w:val="00913DC7"/>
    <w:rsid w:val="00915CCF"/>
    <w:rsid w:val="00915D44"/>
    <w:rsid w:val="00917293"/>
    <w:rsid w:val="009178AB"/>
    <w:rsid w:val="009204CE"/>
    <w:rsid w:val="0092323B"/>
    <w:rsid w:val="00926E28"/>
    <w:rsid w:val="00926E5D"/>
    <w:rsid w:val="00930509"/>
    <w:rsid w:val="00930D96"/>
    <w:rsid w:val="00932BF0"/>
    <w:rsid w:val="00933479"/>
    <w:rsid w:val="00935B7F"/>
    <w:rsid w:val="00935EDE"/>
    <w:rsid w:val="009370E1"/>
    <w:rsid w:val="00937C64"/>
    <w:rsid w:val="00941778"/>
    <w:rsid w:val="00941977"/>
    <w:rsid w:val="00941E5C"/>
    <w:rsid w:val="00942981"/>
    <w:rsid w:val="00944931"/>
    <w:rsid w:val="00944EAA"/>
    <w:rsid w:val="00945D8B"/>
    <w:rsid w:val="00951B88"/>
    <w:rsid w:val="00952EF8"/>
    <w:rsid w:val="00953CC1"/>
    <w:rsid w:val="00954B1F"/>
    <w:rsid w:val="00955D74"/>
    <w:rsid w:val="0096047F"/>
    <w:rsid w:val="009609E8"/>
    <w:rsid w:val="0096159A"/>
    <w:rsid w:val="00962088"/>
    <w:rsid w:val="00962A6B"/>
    <w:rsid w:val="00964F42"/>
    <w:rsid w:val="00967474"/>
    <w:rsid w:val="0097104D"/>
    <w:rsid w:val="00972BB3"/>
    <w:rsid w:val="00973C1C"/>
    <w:rsid w:val="00975FC0"/>
    <w:rsid w:val="00976C7A"/>
    <w:rsid w:val="00977187"/>
    <w:rsid w:val="0098198E"/>
    <w:rsid w:val="0098353D"/>
    <w:rsid w:val="00983693"/>
    <w:rsid w:val="009856B4"/>
    <w:rsid w:val="00986E13"/>
    <w:rsid w:val="00987401"/>
    <w:rsid w:val="009879D3"/>
    <w:rsid w:val="00991CAF"/>
    <w:rsid w:val="00991CFA"/>
    <w:rsid w:val="00991E75"/>
    <w:rsid w:val="0099447D"/>
    <w:rsid w:val="00995D15"/>
    <w:rsid w:val="0099785C"/>
    <w:rsid w:val="00997928"/>
    <w:rsid w:val="009A1113"/>
    <w:rsid w:val="009A11DD"/>
    <w:rsid w:val="009A13A0"/>
    <w:rsid w:val="009A2B6E"/>
    <w:rsid w:val="009A3D2E"/>
    <w:rsid w:val="009A3E73"/>
    <w:rsid w:val="009A6513"/>
    <w:rsid w:val="009A65AF"/>
    <w:rsid w:val="009A7809"/>
    <w:rsid w:val="009B05BA"/>
    <w:rsid w:val="009B0C3A"/>
    <w:rsid w:val="009B1160"/>
    <w:rsid w:val="009B14C2"/>
    <w:rsid w:val="009B1B66"/>
    <w:rsid w:val="009B1C7B"/>
    <w:rsid w:val="009B20F3"/>
    <w:rsid w:val="009B2360"/>
    <w:rsid w:val="009B3CF1"/>
    <w:rsid w:val="009B4D30"/>
    <w:rsid w:val="009B572D"/>
    <w:rsid w:val="009B5CE1"/>
    <w:rsid w:val="009B69D9"/>
    <w:rsid w:val="009C1165"/>
    <w:rsid w:val="009C116E"/>
    <w:rsid w:val="009C14D4"/>
    <w:rsid w:val="009C1AF4"/>
    <w:rsid w:val="009C3191"/>
    <w:rsid w:val="009C53A7"/>
    <w:rsid w:val="009C69FC"/>
    <w:rsid w:val="009C6ABF"/>
    <w:rsid w:val="009D0D20"/>
    <w:rsid w:val="009D158B"/>
    <w:rsid w:val="009D21A2"/>
    <w:rsid w:val="009D3780"/>
    <w:rsid w:val="009D3AAF"/>
    <w:rsid w:val="009D47E7"/>
    <w:rsid w:val="009D4B97"/>
    <w:rsid w:val="009D4F45"/>
    <w:rsid w:val="009D579F"/>
    <w:rsid w:val="009D60BD"/>
    <w:rsid w:val="009D63AD"/>
    <w:rsid w:val="009D77AC"/>
    <w:rsid w:val="009D7DA2"/>
    <w:rsid w:val="009E00DC"/>
    <w:rsid w:val="009E0EDF"/>
    <w:rsid w:val="009E2CCA"/>
    <w:rsid w:val="009E2E3A"/>
    <w:rsid w:val="009E623B"/>
    <w:rsid w:val="009E737A"/>
    <w:rsid w:val="009E7733"/>
    <w:rsid w:val="009F0556"/>
    <w:rsid w:val="009F2939"/>
    <w:rsid w:val="009F2E1E"/>
    <w:rsid w:val="009F35E5"/>
    <w:rsid w:val="009F379D"/>
    <w:rsid w:val="009F4B6A"/>
    <w:rsid w:val="009F4CAA"/>
    <w:rsid w:val="009F5C74"/>
    <w:rsid w:val="009F654F"/>
    <w:rsid w:val="009F6A32"/>
    <w:rsid w:val="009F7E6B"/>
    <w:rsid w:val="00A00732"/>
    <w:rsid w:val="00A01183"/>
    <w:rsid w:val="00A01D7E"/>
    <w:rsid w:val="00A02135"/>
    <w:rsid w:val="00A0451D"/>
    <w:rsid w:val="00A0476C"/>
    <w:rsid w:val="00A04ACA"/>
    <w:rsid w:val="00A0562C"/>
    <w:rsid w:val="00A05634"/>
    <w:rsid w:val="00A05E3B"/>
    <w:rsid w:val="00A06512"/>
    <w:rsid w:val="00A06AE5"/>
    <w:rsid w:val="00A07336"/>
    <w:rsid w:val="00A074F3"/>
    <w:rsid w:val="00A1032D"/>
    <w:rsid w:val="00A10C2C"/>
    <w:rsid w:val="00A1138C"/>
    <w:rsid w:val="00A11B1E"/>
    <w:rsid w:val="00A124A2"/>
    <w:rsid w:val="00A13483"/>
    <w:rsid w:val="00A136E0"/>
    <w:rsid w:val="00A150F7"/>
    <w:rsid w:val="00A16269"/>
    <w:rsid w:val="00A16389"/>
    <w:rsid w:val="00A1670B"/>
    <w:rsid w:val="00A17D01"/>
    <w:rsid w:val="00A20535"/>
    <w:rsid w:val="00A20811"/>
    <w:rsid w:val="00A2474D"/>
    <w:rsid w:val="00A248C2"/>
    <w:rsid w:val="00A25E10"/>
    <w:rsid w:val="00A334DA"/>
    <w:rsid w:val="00A35758"/>
    <w:rsid w:val="00A359DB"/>
    <w:rsid w:val="00A35A00"/>
    <w:rsid w:val="00A3763D"/>
    <w:rsid w:val="00A42784"/>
    <w:rsid w:val="00A42DAA"/>
    <w:rsid w:val="00A4355C"/>
    <w:rsid w:val="00A4425D"/>
    <w:rsid w:val="00A445A7"/>
    <w:rsid w:val="00A4497F"/>
    <w:rsid w:val="00A44B8B"/>
    <w:rsid w:val="00A44E8C"/>
    <w:rsid w:val="00A4526F"/>
    <w:rsid w:val="00A45ACA"/>
    <w:rsid w:val="00A461F6"/>
    <w:rsid w:val="00A46EED"/>
    <w:rsid w:val="00A47148"/>
    <w:rsid w:val="00A4793F"/>
    <w:rsid w:val="00A51608"/>
    <w:rsid w:val="00A51B78"/>
    <w:rsid w:val="00A53460"/>
    <w:rsid w:val="00A53F8A"/>
    <w:rsid w:val="00A56C23"/>
    <w:rsid w:val="00A60839"/>
    <w:rsid w:val="00A60E47"/>
    <w:rsid w:val="00A61DD6"/>
    <w:rsid w:val="00A6362B"/>
    <w:rsid w:val="00A63A70"/>
    <w:rsid w:val="00A63DEA"/>
    <w:rsid w:val="00A6406E"/>
    <w:rsid w:val="00A64577"/>
    <w:rsid w:val="00A64B2A"/>
    <w:rsid w:val="00A65054"/>
    <w:rsid w:val="00A6579D"/>
    <w:rsid w:val="00A65AEC"/>
    <w:rsid w:val="00A65B02"/>
    <w:rsid w:val="00A65B4F"/>
    <w:rsid w:val="00A65F99"/>
    <w:rsid w:val="00A667B8"/>
    <w:rsid w:val="00A670B6"/>
    <w:rsid w:val="00A672D2"/>
    <w:rsid w:val="00A7089F"/>
    <w:rsid w:val="00A71BBF"/>
    <w:rsid w:val="00A72A19"/>
    <w:rsid w:val="00A73CD9"/>
    <w:rsid w:val="00A74E65"/>
    <w:rsid w:val="00A75E3F"/>
    <w:rsid w:val="00A776F2"/>
    <w:rsid w:val="00A81052"/>
    <w:rsid w:val="00A8319E"/>
    <w:rsid w:val="00A833A0"/>
    <w:rsid w:val="00A84367"/>
    <w:rsid w:val="00A849A5"/>
    <w:rsid w:val="00A862CF"/>
    <w:rsid w:val="00A863AA"/>
    <w:rsid w:val="00A87FEF"/>
    <w:rsid w:val="00A90C99"/>
    <w:rsid w:val="00A91C73"/>
    <w:rsid w:val="00A92148"/>
    <w:rsid w:val="00A93159"/>
    <w:rsid w:val="00A93C55"/>
    <w:rsid w:val="00A94E86"/>
    <w:rsid w:val="00A958EC"/>
    <w:rsid w:val="00A95A14"/>
    <w:rsid w:val="00A9618D"/>
    <w:rsid w:val="00A9650F"/>
    <w:rsid w:val="00A97130"/>
    <w:rsid w:val="00A97DD4"/>
    <w:rsid w:val="00AA0F07"/>
    <w:rsid w:val="00AA1D52"/>
    <w:rsid w:val="00AA1E1E"/>
    <w:rsid w:val="00AA54BB"/>
    <w:rsid w:val="00AA5722"/>
    <w:rsid w:val="00AA5E3A"/>
    <w:rsid w:val="00AA72CE"/>
    <w:rsid w:val="00AB11B7"/>
    <w:rsid w:val="00AB2F80"/>
    <w:rsid w:val="00AB68BB"/>
    <w:rsid w:val="00AB78DC"/>
    <w:rsid w:val="00AB7AAF"/>
    <w:rsid w:val="00AC0DB6"/>
    <w:rsid w:val="00AC0E1E"/>
    <w:rsid w:val="00AC13A3"/>
    <w:rsid w:val="00AC1C0E"/>
    <w:rsid w:val="00AC490A"/>
    <w:rsid w:val="00AC62C7"/>
    <w:rsid w:val="00AD0593"/>
    <w:rsid w:val="00AD12E9"/>
    <w:rsid w:val="00AD1535"/>
    <w:rsid w:val="00AD3168"/>
    <w:rsid w:val="00AD36BD"/>
    <w:rsid w:val="00AD69A3"/>
    <w:rsid w:val="00AD6E61"/>
    <w:rsid w:val="00AD73A8"/>
    <w:rsid w:val="00AD7B44"/>
    <w:rsid w:val="00AE0E2D"/>
    <w:rsid w:val="00AE3243"/>
    <w:rsid w:val="00AE4C09"/>
    <w:rsid w:val="00AE6F00"/>
    <w:rsid w:val="00AE7331"/>
    <w:rsid w:val="00AF0049"/>
    <w:rsid w:val="00AF02C1"/>
    <w:rsid w:val="00AF0AC1"/>
    <w:rsid w:val="00AF2CAD"/>
    <w:rsid w:val="00AF3A34"/>
    <w:rsid w:val="00AF5AA3"/>
    <w:rsid w:val="00AF691C"/>
    <w:rsid w:val="00AF7C1E"/>
    <w:rsid w:val="00B0207B"/>
    <w:rsid w:val="00B02578"/>
    <w:rsid w:val="00B04247"/>
    <w:rsid w:val="00B0451C"/>
    <w:rsid w:val="00B04F1B"/>
    <w:rsid w:val="00B052C2"/>
    <w:rsid w:val="00B053EE"/>
    <w:rsid w:val="00B06896"/>
    <w:rsid w:val="00B10073"/>
    <w:rsid w:val="00B10AB6"/>
    <w:rsid w:val="00B11F1F"/>
    <w:rsid w:val="00B11FB7"/>
    <w:rsid w:val="00B120A0"/>
    <w:rsid w:val="00B135D6"/>
    <w:rsid w:val="00B13807"/>
    <w:rsid w:val="00B13866"/>
    <w:rsid w:val="00B139DD"/>
    <w:rsid w:val="00B141DB"/>
    <w:rsid w:val="00B14396"/>
    <w:rsid w:val="00B15D04"/>
    <w:rsid w:val="00B15FC5"/>
    <w:rsid w:val="00B1746D"/>
    <w:rsid w:val="00B209B2"/>
    <w:rsid w:val="00B21A79"/>
    <w:rsid w:val="00B21ED2"/>
    <w:rsid w:val="00B22A5C"/>
    <w:rsid w:val="00B2486E"/>
    <w:rsid w:val="00B26FFA"/>
    <w:rsid w:val="00B301B3"/>
    <w:rsid w:val="00B30AF5"/>
    <w:rsid w:val="00B31700"/>
    <w:rsid w:val="00B32192"/>
    <w:rsid w:val="00B324BF"/>
    <w:rsid w:val="00B32C01"/>
    <w:rsid w:val="00B35F2C"/>
    <w:rsid w:val="00B36125"/>
    <w:rsid w:val="00B3661F"/>
    <w:rsid w:val="00B37B4E"/>
    <w:rsid w:val="00B4017B"/>
    <w:rsid w:val="00B4063E"/>
    <w:rsid w:val="00B4090F"/>
    <w:rsid w:val="00B41566"/>
    <w:rsid w:val="00B41AAA"/>
    <w:rsid w:val="00B4207D"/>
    <w:rsid w:val="00B423E9"/>
    <w:rsid w:val="00B42F0F"/>
    <w:rsid w:val="00B43188"/>
    <w:rsid w:val="00B4506D"/>
    <w:rsid w:val="00B45D39"/>
    <w:rsid w:val="00B45E66"/>
    <w:rsid w:val="00B46BA7"/>
    <w:rsid w:val="00B47577"/>
    <w:rsid w:val="00B47A0F"/>
    <w:rsid w:val="00B515A4"/>
    <w:rsid w:val="00B52144"/>
    <w:rsid w:val="00B522A7"/>
    <w:rsid w:val="00B5230F"/>
    <w:rsid w:val="00B52AC8"/>
    <w:rsid w:val="00B53A67"/>
    <w:rsid w:val="00B54B0A"/>
    <w:rsid w:val="00B559ED"/>
    <w:rsid w:val="00B55F7C"/>
    <w:rsid w:val="00B56AD6"/>
    <w:rsid w:val="00B56D56"/>
    <w:rsid w:val="00B570D6"/>
    <w:rsid w:val="00B57B9B"/>
    <w:rsid w:val="00B60589"/>
    <w:rsid w:val="00B60A51"/>
    <w:rsid w:val="00B6268F"/>
    <w:rsid w:val="00B62E54"/>
    <w:rsid w:val="00B631ED"/>
    <w:rsid w:val="00B635C7"/>
    <w:rsid w:val="00B63DE6"/>
    <w:rsid w:val="00B663F5"/>
    <w:rsid w:val="00B67AF7"/>
    <w:rsid w:val="00B67CFA"/>
    <w:rsid w:val="00B7092D"/>
    <w:rsid w:val="00B715AE"/>
    <w:rsid w:val="00B72EFD"/>
    <w:rsid w:val="00B73114"/>
    <w:rsid w:val="00B73C07"/>
    <w:rsid w:val="00B743C7"/>
    <w:rsid w:val="00B74DD4"/>
    <w:rsid w:val="00B76120"/>
    <w:rsid w:val="00B76BF1"/>
    <w:rsid w:val="00B76F16"/>
    <w:rsid w:val="00B772CE"/>
    <w:rsid w:val="00B7779D"/>
    <w:rsid w:val="00B77859"/>
    <w:rsid w:val="00B8304A"/>
    <w:rsid w:val="00B840FF"/>
    <w:rsid w:val="00B85C8B"/>
    <w:rsid w:val="00B903B3"/>
    <w:rsid w:val="00B905D3"/>
    <w:rsid w:val="00B91497"/>
    <w:rsid w:val="00B91C21"/>
    <w:rsid w:val="00B92BCC"/>
    <w:rsid w:val="00B93283"/>
    <w:rsid w:val="00B932A3"/>
    <w:rsid w:val="00B935D4"/>
    <w:rsid w:val="00B940A2"/>
    <w:rsid w:val="00B95003"/>
    <w:rsid w:val="00B9549E"/>
    <w:rsid w:val="00B95951"/>
    <w:rsid w:val="00B95C38"/>
    <w:rsid w:val="00B965D0"/>
    <w:rsid w:val="00B9790F"/>
    <w:rsid w:val="00BA456A"/>
    <w:rsid w:val="00BA4BB9"/>
    <w:rsid w:val="00BA68A4"/>
    <w:rsid w:val="00BA7B33"/>
    <w:rsid w:val="00BB30A0"/>
    <w:rsid w:val="00BB40FE"/>
    <w:rsid w:val="00BB6008"/>
    <w:rsid w:val="00BC2147"/>
    <w:rsid w:val="00BC21A3"/>
    <w:rsid w:val="00BC4D3D"/>
    <w:rsid w:val="00BC5CD4"/>
    <w:rsid w:val="00BC6C2C"/>
    <w:rsid w:val="00BC6E8C"/>
    <w:rsid w:val="00BC7186"/>
    <w:rsid w:val="00BD1AB2"/>
    <w:rsid w:val="00BD1F39"/>
    <w:rsid w:val="00BD232E"/>
    <w:rsid w:val="00BD25A6"/>
    <w:rsid w:val="00BD3444"/>
    <w:rsid w:val="00BD476C"/>
    <w:rsid w:val="00BD5C1C"/>
    <w:rsid w:val="00BD5FD5"/>
    <w:rsid w:val="00BD6368"/>
    <w:rsid w:val="00BD6C22"/>
    <w:rsid w:val="00BE0318"/>
    <w:rsid w:val="00BE080F"/>
    <w:rsid w:val="00BE15C7"/>
    <w:rsid w:val="00BE180A"/>
    <w:rsid w:val="00BE5FD5"/>
    <w:rsid w:val="00BF1217"/>
    <w:rsid w:val="00BF17FF"/>
    <w:rsid w:val="00BF23A8"/>
    <w:rsid w:val="00BF26C1"/>
    <w:rsid w:val="00BF32AD"/>
    <w:rsid w:val="00BF43DB"/>
    <w:rsid w:val="00BF47C0"/>
    <w:rsid w:val="00BF4BF2"/>
    <w:rsid w:val="00BF56AF"/>
    <w:rsid w:val="00BF76D4"/>
    <w:rsid w:val="00C005F0"/>
    <w:rsid w:val="00C00616"/>
    <w:rsid w:val="00C027B4"/>
    <w:rsid w:val="00C030B6"/>
    <w:rsid w:val="00C038F9"/>
    <w:rsid w:val="00C05E1A"/>
    <w:rsid w:val="00C07794"/>
    <w:rsid w:val="00C1095F"/>
    <w:rsid w:val="00C10D66"/>
    <w:rsid w:val="00C11024"/>
    <w:rsid w:val="00C1139C"/>
    <w:rsid w:val="00C11A32"/>
    <w:rsid w:val="00C122E6"/>
    <w:rsid w:val="00C14ACF"/>
    <w:rsid w:val="00C14B14"/>
    <w:rsid w:val="00C15FA7"/>
    <w:rsid w:val="00C17230"/>
    <w:rsid w:val="00C2069E"/>
    <w:rsid w:val="00C20D27"/>
    <w:rsid w:val="00C21E93"/>
    <w:rsid w:val="00C21ECC"/>
    <w:rsid w:val="00C21F35"/>
    <w:rsid w:val="00C22836"/>
    <w:rsid w:val="00C24CB6"/>
    <w:rsid w:val="00C26935"/>
    <w:rsid w:val="00C27524"/>
    <w:rsid w:val="00C31129"/>
    <w:rsid w:val="00C33130"/>
    <w:rsid w:val="00C3368C"/>
    <w:rsid w:val="00C33D90"/>
    <w:rsid w:val="00C33F74"/>
    <w:rsid w:val="00C34BA3"/>
    <w:rsid w:val="00C35672"/>
    <w:rsid w:val="00C36906"/>
    <w:rsid w:val="00C36ABF"/>
    <w:rsid w:val="00C36F60"/>
    <w:rsid w:val="00C4011E"/>
    <w:rsid w:val="00C40AF1"/>
    <w:rsid w:val="00C40C13"/>
    <w:rsid w:val="00C40E27"/>
    <w:rsid w:val="00C41162"/>
    <w:rsid w:val="00C428DF"/>
    <w:rsid w:val="00C4344D"/>
    <w:rsid w:val="00C458B2"/>
    <w:rsid w:val="00C46925"/>
    <w:rsid w:val="00C46D46"/>
    <w:rsid w:val="00C47AC2"/>
    <w:rsid w:val="00C506FA"/>
    <w:rsid w:val="00C50AC9"/>
    <w:rsid w:val="00C5134D"/>
    <w:rsid w:val="00C520BE"/>
    <w:rsid w:val="00C5347F"/>
    <w:rsid w:val="00C53D8A"/>
    <w:rsid w:val="00C546B4"/>
    <w:rsid w:val="00C54909"/>
    <w:rsid w:val="00C54A62"/>
    <w:rsid w:val="00C54A8F"/>
    <w:rsid w:val="00C557FF"/>
    <w:rsid w:val="00C565DA"/>
    <w:rsid w:val="00C5749E"/>
    <w:rsid w:val="00C60009"/>
    <w:rsid w:val="00C60312"/>
    <w:rsid w:val="00C61ED3"/>
    <w:rsid w:val="00C62C10"/>
    <w:rsid w:val="00C64EF0"/>
    <w:rsid w:val="00C653F0"/>
    <w:rsid w:val="00C665DC"/>
    <w:rsid w:val="00C66ABB"/>
    <w:rsid w:val="00C66F7F"/>
    <w:rsid w:val="00C678DE"/>
    <w:rsid w:val="00C704B1"/>
    <w:rsid w:val="00C70586"/>
    <w:rsid w:val="00C70873"/>
    <w:rsid w:val="00C710D8"/>
    <w:rsid w:val="00C712AD"/>
    <w:rsid w:val="00C731AA"/>
    <w:rsid w:val="00C73C92"/>
    <w:rsid w:val="00C74513"/>
    <w:rsid w:val="00C74E52"/>
    <w:rsid w:val="00C754CF"/>
    <w:rsid w:val="00C761D9"/>
    <w:rsid w:val="00C76D49"/>
    <w:rsid w:val="00C77939"/>
    <w:rsid w:val="00C80137"/>
    <w:rsid w:val="00C8071F"/>
    <w:rsid w:val="00C81982"/>
    <w:rsid w:val="00C82873"/>
    <w:rsid w:val="00C8298D"/>
    <w:rsid w:val="00C83F40"/>
    <w:rsid w:val="00C86234"/>
    <w:rsid w:val="00C869BD"/>
    <w:rsid w:val="00C87308"/>
    <w:rsid w:val="00C87E9E"/>
    <w:rsid w:val="00C91CE4"/>
    <w:rsid w:val="00C928A1"/>
    <w:rsid w:val="00C95621"/>
    <w:rsid w:val="00C96CC5"/>
    <w:rsid w:val="00CA233D"/>
    <w:rsid w:val="00CA3E02"/>
    <w:rsid w:val="00CA542A"/>
    <w:rsid w:val="00CA6442"/>
    <w:rsid w:val="00CA6DD5"/>
    <w:rsid w:val="00CA7109"/>
    <w:rsid w:val="00CA727A"/>
    <w:rsid w:val="00CB0300"/>
    <w:rsid w:val="00CB0350"/>
    <w:rsid w:val="00CB0AFF"/>
    <w:rsid w:val="00CB1D2F"/>
    <w:rsid w:val="00CB3596"/>
    <w:rsid w:val="00CB403A"/>
    <w:rsid w:val="00CB4350"/>
    <w:rsid w:val="00CB45D2"/>
    <w:rsid w:val="00CB4878"/>
    <w:rsid w:val="00CC2E27"/>
    <w:rsid w:val="00CC4444"/>
    <w:rsid w:val="00CC4E47"/>
    <w:rsid w:val="00CC4F0C"/>
    <w:rsid w:val="00CC50A6"/>
    <w:rsid w:val="00CC6BBE"/>
    <w:rsid w:val="00CC6BC5"/>
    <w:rsid w:val="00CD0897"/>
    <w:rsid w:val="00CD09E3"/>
    <w:rsid w:val="00CD28C8"/>
    <w:rsid w:val="00CD2C0F"/>
    <w:rsid w:val="00CD5EC2"/>
    <w:rsid w:val="00CD7015"/>
    <w:rsid w:val="00CD7E50"/>
    <w:rsid w:val="00CE0689"/>
    <w:rsid w:val="00CE1B85"/>
    <w:rsid w:val="00CE227D"/>
    <w:rsid w:val="00CE2283"/>
    <w:rsid w:val="00CE54E9"/>
    <w:rsid w:val="00CE635A"/>
    <w:rsid w:val="00CF1586"/>
    <w:rsid w:val="00CF3989"/>
    <w:rsid w:val="00CF5809"/>
    <w:rsid w:val="00CF5E69"/>
    <w:rsid w:val="00CF798A"/>
    <w:rsid w:val="00D003C9"/>
    <w:rsid w:val="00D01553"/>
    <w:rsid w:val="00D0321D"/>
    <w:rsid w:val="00D0639D"/>
    <w:rsid w:val="00D06707"/>
    <w:rsid w:val="00D110F3"/>
    <w:rsid w:val="00D114C4"/>
    <w:rsid w:val="00D120A9"/>
    <w:rsid w:val="00D12899"/>
    <w:rsid w:val="00D12ED4"/>
    <w:rsid w:val="00D141BE"/>
    <w:rsid w:val="00D153F7"/>
    <w:rsid w:val="00D158E2"/>
    <w:rsid w:val="00D15AC0"/>
    <w:rsid w:val="00D16A88"/>
    <w:rsid w:val="00D17204"/>
    <w:rsid w:val="00D22007"/>
    <w:rsid w:val="00D2295F"/>
    <w:rsid w:val="00D22A8A"/>
    <w:rsid w:val="00D22B73"/>
    <w:rsid w:val="00D2455B"/>
    <w:rsid w:val="00D24D46"/>
    <w:rsid w:val="00D2570F"/>
    <w:rsid w:val="00D263A6"/>
    <w:rsid w:val="00D2731E"/>
    <w:rsid w:val="00D30C03"/>
    <w:rsid w:val="00D30CFF"/>
    <w:rsid w:val="00D33D47"/>
    <w:rsid w:val="00D3534D"/>
    <w:rsid w:val="00D37473"/>
    <w:rsid w:val="00D37FAA"/>
    <w:rsid w:val="00D405B8"/>
    <w:rsid w:val="00D406A2"/>
    <w:rsid w:val="00D42B1A"/>
    <w:rsid w:val="00D434B6"/>
    <w:rsid w:val="00D439E4"/>
    <w:rsid w:val="00D45453"/>
    <w:rsid w:val="00D47128"/>
    <w:rsid w:val="00D47BBE"/>
    <w:rsid w:val="00D50B7E"/>
    <w:rsid w:val="00D511F8"/>
    <w:rsid w:val="00D52BAD"/>
    <w:rsid w:val="00D55294"/>
    <w:rsid w:val="00D5555A"/>
    <w:rsid w:val="00D55985"/>
    <w:rsid w:val="00D560BB"/>
    <w:rsid w:val="00D574D6"/>
    <w:rsid w:val="00D57767"/>
    <w:rsid w:val="00D6048C"/>
    <w:rsid w:val="00D60FAE"/>
    <w:rsid w:val="00D621E0"/>
    <w:rsid w:val="00D623A6"/>
    <w:rsid w:val="00D62EF4"/>
    <w:rsid w:val="00D63929"/>
    <w:rsid w:val="00D6443B"/>
    <w:rsid w:val="00D64EF0"/>
    <w:rsid w:val="00D66AE4"/>
    <w:rsid w:val="00D67B35"/>
    <w:rsid w:val="00D67B72"/>
    <w:rsid w:val="00D72687"/>
    <w:rsid w:val="00D741EF"/>
    <w:rsid w:val="00D75A1B"/>
    <w:rsid w:val="00D75C91"/>
    <w:rsid w:val="00D76D8B"/>
    <w:rsid w:val="00D7700B"/>
    <w:rsid w:val="00D80C02"/>
    <w:rsid w:val="00D80F60"/>
    <w:rsid w:val="00D8118A"/>
    <w:rsid w:val="00D82BE0"/>
    <w:rsid w:val="00D84B97"/>
    <w:rsid w:val="00D871FC"/>
    <w:rsid w:val="00D9063F"/>
    <w:rsid w:val="00D91BA3"/>
    <w:rsid w:val="00D92AAD"/>
    <w:rsid w:val="00D92D08"/>
    <w:rsid w:val="00D92FAC"/>
    <w:rsid w:val="00D930EA"/>
    <w:rsid w:val="00D938FC"/>
    <w:rsid w:val="00D94FF2"/>
    <w:rsid w:val="00D955A8"/>
    <w:rsid w:val="00D965B0"/>
    <w:rsid w:val="00D96C97"/>
    <w:rsid w:val="00DA192F"/>
    <w:rsid w:val="00DA35FD"/>
    <w:rsid w:val="00DA3906"/>
    <w:rsid w:val="00DA426A"/>
    <w:rsid w:val="00DA42B9"/>
    <w:rsid w:val="00DA436B"/>
    <w:rsid w:val="00DA44A9"/>
    <w:rsid w:val="00DA4740"/>
    <w:rsid w:val="00DA4FB8"/>
    <w:rsid w:val="00DA689B"/>
    <w:rsid w:val="00DA6AA3"/>
    <w:rsid w:val="00DA7DD0"/>
    <w:rsid w:val="00DB0C5E"/>
    <w:rsid w:val="00DB2F44"/>
    <w:rsid w:val="00DB3033"/>
    <w:rsid w:val="00DB3CFC"/>
    <w:rsid w:val="00DB573C"/>
    <w:rsid w:val="00DB6797"/>
    <w:rsid w:val="00DB6A9F"/>
    <w:rsid w:val="00DB7220"/>
    <w:rsid w:val="00DC0497"/>
    <w:rsid w:val="00DC0771"/>
    <w:rsid w:val="00DC29B0"/>
    <w:rsid w:val="00DC51A2"/>
    <w:rsid w:val="00DC53ED"/>
    <w:rsid w:val="00DC7ACB"/>
    <w:rsid w:val="00DD2E24"/>
    <w:rsid w:val="00DD331E"/>
    <w:rsid w:val="00DD368B"/>
    <w:rsid w:val="00DD3ADF"/>
    <w:rsid w:val="00DD3DCA"/>
    <w:rsid w:val="00DD4ACF"/>
    <w:rsid w:val="00DD6431"/>
    <w:rsid w:val="00DD7C7C"/>
    <w:rsid w:val="00DE0415"/>
    <w:rsid w:val="00DE10C6"/>
    <w:rsid w:val="00DE1AF9"/>
    <w:rsid w:val="00DE42DD"/>
    <w:rsid w:val="00DE7BB2"/>
    <w:rsid w:val="00DF004C"/>
    <w:rsid w:val="00DF02C7"/>
    <w:rsid w:val="00DF12E7"/>
    <w:rsid w:val="00DF1B0E"/>
    <w:rsid w:val="00DF2C4E"/>
    <w:rsid w:val="00DF3761"/>
    <w:rsid w:val="00DF6142"/>
    <w:rsid w:val="00DF677B"/>
    <w:rsid w:val="00DF6EEE"/>
    <w:rsid w:val="00E01241"/>
    <w:rsid w:val="00E013BF"/>
    <w:rsid w:val="00E01703"/>
    <w:rsid w:val="00E01E6E"/>
    <w:rsid w:val="00E028AC"/>
    <w:rsid w:val="00E03058"/>
    <w:rsid w:val="00E038E1"/>
    <w:rsid w:val="00E040D2"/>
    <w:rsid w:val="00E06287"/>
    <w:rsid w:val="00E06E1B"/>
    <w:rsid w:val="00E07033"/>
    <w:rsid w:val="00E106B1"/>
    <w:rsid w:val="00E10F9C"/>
    <w:rsid w:val="00E11EA7"/>
    <w:rsid w:val="00E13EFF"/>
    <w:rsid w:val="00E14271"/>
    <w:rsid w:val="00E154BF"/>
    <w:rsid w:val="00E15B03"/>
    <w:rsid w:val="00E15B09"/>
    <w:rsid w:val="00E15B0E"/>
    <w:rsid w:val="00E168E3"/>
    <w:rsid w:val="00E16B05"/>
    <w:rsid w:val="00E234FC"/>
    <w:rsid w:val="00E25CDA"/>
    <w:rsid w:val="00E26AAE"/>
    <w:rsid w:val="00E2705D"/>
    <w:rsid w:val="00E31AD8"/>
    <w:rsid w:val="00E31EAA"/>
    <w:rsid w:val="00E33F48"/>
    <w:rsid w:val="00E34C53"/>
    <w:rsid w:val="00E3731D"/>
    <w:rsid w:val="00E406DD"/>
    <w:rsid w:val="00E4145E"/>
    <w:rsid w:val="00E41512"/>
    <w:rsid w:val="00E41766"/>
    <w:rsid w:val="00E435C5"/>
    <w:rsid w:val="00E438A7"/>
    <w:rsid w:val="00E4468D"/>
    <w:rsid w:val="00E456B9"/>
    <w:rsid w:val="00E5038C"/>
    <w:rsid w:val="00E519BE"/>
    <w:rsid w:val="00E523BA"/>
    <w:rsid w:val="00E52F08"/>
    <w:rsid w:val="00E52F15"/>
    <w:rsid w:val="00E531B3"/>
    <w:rsid w:val="00E5390D"/>
    <w:rsid w:val="00E53B25"/>
    <w:rsid w:val="00E54729"/>
    <w:rsid w:val="00E55E32"/>
    <w:rsid w:val="00E55FA7"/>
    <w:rsid w:val="00E562D5"/>
    <w:rsid w:val="00E57977"/>
    <w:rsid w:val="00E641FC"/>
    <w:rsid w:val="00E6560D"/>
    <w:rsid w:val="00E657E0"/>
    <w:rsid w:val="00E65BC3"/>
    <w:rsid w:val="00E6620B"/>
    <w:rsid w:val="00E678D6"/>
    <w:rsid w:val="00E67FFA"/>
    <w:rsid w:val="00E70010"/>
    <w:rsid w:val="00E71FDE"/>
    <w:rsid w:val="00E73C1C"/>
    <w:rsid w:val="00E75F97"/>
    <w:rsid w:val="00E75F9E"/>
    <w:rsid w:val="00E77BC5"/>
    <w:rsid w:val="00E873B3"/>
    <w:rsid w:val="00E87D5A"/>
    <w:rsid w:val="00E9054B"/>
    <w:rsid w:val="00E90BB2"/>
    <w:rsid w:val="00E90DB6"/>
    <w:rsid w:val="00E913F4"/>
    <w:rsid w:val="00E91CA4"/>
    <w:rsid w:val="00E93D20"/>
    <w:rsid w:val="00E93FF2"/>
    <w:rsid w:val="00E94FFC"/>
    <w:rsid w:val="00E95155"/>
    <w:rsid w:val="00E956F1"/>
    <w:rsid w:val="00E96F81"/>
    <w:rsid w:val="00EA0531"/>
    <w:rsid w:val="00EA322D"/>
    <w:rsid w:val="00EA3651"/>
    <w:rsid w:val="00EA3F7B"/>
    <w:rsid w:val="00EA61EA"/>
    <w:rsid w:val="00EA6B7B"/>
    <w:rsid w:val="00EA76CB"/>
    <w:rsid w:val="00EA7ABC"/>
    <w:rsid w:val="00EA7DC4"/>
    <w:rsid w:val="00EA7EFB"/>
    <w:rsid w:val="00EB0D3C"/>
    <w:rsid w:val="00EB1863"/>
    <w:rsid w:val="00EB1903"/>
    <w:rsid w:val="00EB1E4A"/>
    <w:rsid w:val="00EB2666"/>
    <w:rsid w:val="00EB2758"/>
    <w:rsid w:val="00EB29C5"/>
    <w:rsid w:val="00EB2E80"/>
    <w:rsid w:val="00EB35FA"/>
    <w:rsid w:val="00EB39FF"/>
    <w:rsid w:val="00EB3D0C"/>
    <w:rsid w:val="00EB4065"/>
    <w:rsid w:val="00EB4BC8"/>
    <w:rsid w:val="00EB5B88"/>
    <w:rsid w:val="00EB75C2"/>
    <w:rsid w:val="00EB7CE2"/>
    <w:rsid w:val="00EC1A50"/>
    <w:rsid w:val="00EC1FFD"/>
    <w:rsid w:val="00EC248A"/>
    <w:rsid w:val="00EC49A6"/>
    <w:rsid w:val="00EC67B5"/>
    <w:rsid w:val="00EC7917"/>
    <w:rsid w:val="00ED1A0D"/>
    <w:rsid w:val="00ED2352"/>
    <w:rsid w:val="00ED356F"/>
    <w:rsid w:val="00ED5F47"/>
    <w:rsid w:val="00ED6040"/>
    <w:rsid w:val="00EE2789"/>
    <w:rsid w:val="00EE382B"/>
    <w:rsid w:val="00EE3E06"/>
    <w:rsid w:val="00EE3E9D"/>
    <w:rsid w:val="00EE43FE"/>
    <w:rsid w:val="00EE5C11"/>
    <w:rsid w:val="00EE62AD"/>
    <w:rsid w:val="00EE6301"/>
    <w:rsid w:val="00EE738F"/>
    <w:rsid w:val="00EE760E"/>
    <w:rsid w:val="00EE7CFC"/>
    <w:rsid w:val="00EF06AB"/>
    <w:rsid w:val="00EF0BB2"/>
    <w:rsid w:val="00EF1A14"/>
    <w:rsid w:val="00EF1D61"/>
    <w:rsid w:val="00EF2251"/>
    <w:rsid w:val="00EF2C36"/>
    <w:rsid w:val="00EF36B3"/>
    <w:rsid w:val="00EF48DA"/>
    <w:rsid w:val="00EF7169"/>
    <w:rsid w:val="00EF76F7"/>
    <w:rsid w:val="00F00406"/>
    <w:rsid w:val="00F00B0F"/>
    <w:rsid w:val="00F00D92"/>
    <w:rsid w:val="00F03333"/>
    <w:rsid w:val="00F03BA9"/>
    <w:rsid w:val="00F04053"/>
    <w:rsid w:val="00F053AC"/>
    <w:rsid w:val="00F0548B"/>
    <w:rsid w:val="00F10047"/>
    <w:rsid w:val="00F11F56"/>
    <w:rsid w:val="00F12CDB"/>
    <w:rsid w:val="00F13AD1"/>
    <w:rsid w:val="00F149AD"/>
    <w:rsid w:val="00F15868"/>
    <w:rsid w:val="00F1602A"/>
    <w:rsid w:val="00F2066F"/>
    <w:rsid w:val="00F20ADD"/>
    <w:rsid w:val="00F241CF"/>
    <w:rsid w:val="00F2499E"/>
    <w:rsid w:val="00F25949"/>
    <w:rsid w:val="00F26735"/>
    <w:rsid w:val="00F27A03"/>
    <w:rsid w:val="00F31318"/>
    <w:rsid w:val="00F31A8A"/>
    <w:rsid w:val="00F33BD0"/>
    <w:rsid w:val="00F349D9"/>
    <w:rsid w:val="00F34CFE"/>
    <w:rsid w:val="00F3580B"/>
    <w:rsid w:val="00F35A43"/>
    <w:rsid w:val="00F366A2"/>
    <w:rsid w:val="00F3690F"/>
    <w:rsid w:val="00F36EED"/>
    <w:rsid w:val="00F3732F"/>
    <w:rsid w:val="00F3742D"/>
    <w:rsid w:val="00F37625"/>
    <w:rsid w:val="00F41166"/>
    <w:rsid w:val="00F413B1"/>
    <w:rsid w:val="00F42898"/>
    <w:rsid w:val="00F42B04"/>
    <w:rsid w:val="00F4418D"/>
    <w:rsid w:val="00F4428B"/>
    <w:rsid w:val="00F443E8"/>
    <w:rsid w:val="00F445A1"/>
    <w:rsid w:val="00F44E0D"/>
    <w:rsid w:val="00F4611C"/>
    <w:rsid w:val="00F472E1"/>
    <w:rsid w:val="00F47C50"/>
    <w:rsid w:val="00F47DA9"/>
    <w:rsid w:val="00F508CD"/>
    <w:rsid w:val="00F5143B"/>
    <w:rsid w:val="00F51980"/>
    <w:rsid w:val="00F52D97"/>
    <w:rsid w:val="00F5338A"/>
    <w:rsid w:val="00F55824"/>
    <w:rsid w:val="00F57907"/>
    <w:rsid w:val="00F604FC"/>
    <w:rsid w:val="00F60529"/>
    <w:rsid w:val="00F61C24"/>
    <w:rsid w:val="00F622E8"/>
    <w:rsid w:val="00F64E3D"/>
    <w:rsid w:val="00F6527C"/>
    <w:rsid w:val="00F65686"/>
    <w:rsid w:val="00F66C3D"/>
    <w:rsid w:val="00F66F61"/>
    <w:rsid w:val="00F70106"/>
    <w:rsid w:val="00F7097E"/>
    <w:rsid w:val="00F71AF4"/>
    <w:rsid w:val="00F74DF9"/>
    <w:rsid w:val="00F75D66"/>
    <w:rsid w:val="00F77B02"/>
    <w:rsid w:val="00F804BC"/>
    <w:rsid w:val="00F81234"/>
    <w:rsid w:val="00F81F37"/>
    <w:rsid w:val="00F821C9"/>
    <w:rsid w:val="00F82427"/>
    <w:rsid w:val="00F82F81"/>
    <w:rsid w:val="00F85491"/>
    <w:rsid w:val="00F90AC2"/>
    <w:rsid w:val="00F9152C"/>
    <w:rsid w:val="00F919E0"/>
    <w:rsid w:val="00F91C7C"/>
    <w:rsid w:val="00F93095"/>
    <w:rsid w:val="00F94872"/>
    <w:rsid w:val="00F954B0"/>
    <w:rsid w:val="00F9562C"/>
    <w:rsid w:val="00F95718"/>
    <w:rsid w:val="00F9571B"/>
    <w:rsid w:val="00F96261"/>
    <w:rsid w:val="00F9663B"/>
    <w:rsid w:val="00F9696C"/>
    <w:rsid w:val="00F97A50"/>
    <w:rsid w:val="00F97B0B"/>
    <w:rsid w:val="00FA0C17"/>
    <w:rsid w:val="00FA0CD6"/>
    <w:rsid w:val="00FA0EB0"/>
    <w:rsid w:val="00FA1049"/>
    <w:rsid w:val="00FA39A1"/>
    <w:rsid w:val="00FA41F2"/>
    <w:rsid w:val="00FA4443"/>
    <w:rsid w:val="00FA5F48"/>
    <w:rsid w:val="00FA6568"/>
    <w:rsid w:val="00FA6BCF"/>
    <w:rsid w:val="00FA6ED6"/>
    <w:rsid w:val="00FB012D"/>
    <w:rsid w:val="00FB01F7"/>
    <w:rsid w:val="00FB0DE2"/>
    <w:rsid w:val="00FB131F"/>
    <w:rsid w:val="00FB14A7"/>
    <w:rsid w:val="00FB427D"/>
    <w:rsid w:val="00FB50B6"/>
    <w:rsid w:val="00FB5EA0"/>
    <w:rsid w:val="00FB6BCD"/>
    <w:rsid w:val="00FB796B"/>
    <w:rsid w:val="00FC05B2"/>
    <w:rsid w:val="00FC11E5"/>
    <w:rsid w:val="00FC21C2"/>
    <w:rsid w:val="00FC45D1"/>
    <w:rsid w:val="00FC46C6"/>
    <w:rsid w:val="00FC5261"/>
    <w:rsid w:val="00FC7D03"/>
    <w:rsid w:val="00FD15E6"/>
    <w:rsid w:val="00FD2A31"/>
    <w:rsid w:val="00FD7C65"/>
    <w:rsid w:val="00FE0579"/>
    <w:rsid w:val="00FE173C"/>
    <w:rsid w:val="00FE2149"/>
    <w:rsid w:val="00FE2218"/>
    <w:rsid w:val="00FE3D7E"/>
    <w:rsid w:val="00FE40A6"/>
    <w:rsid w:val="00FE434E"/>
    <w:rsid w:val="00FE6C6D"/>
    <w:rsid w:val="00FE7B36"/>
    <w:rsid w:val="00FF1856"/>
    <w:rsid w:val="00FF5531"/>
    <w:rsid w:val="00FF5BCA"/>
    <w:rsid w:val="00FF6184"/>
    <w:rsid w:val="00FF69A0"/>
    <w:rsid w:val="00FF7ABE"/>
    <w:rsid w:val="010C2DE4"/>
    <w:rsid w:val="01BA1AB6"/>
    <w:rsid w:val="025764C8"/>
    <w:rsid w:val="02AF2F35"/>
    <w:rsid w:val="0349745F"/>
    <w:rsid w:val="03795916"/>
    <w:rsid w:val="051949B2"/>
    <w:rsid w:val="05FC256F"/>
    <w:rsid w:val="07D51E1A"/>
    <w:rsid w:val="07EE6065"/>
    <w:rsid w:val="097F4A02"/>
    <w:rsid w:val="09B229D9"/>
    <w:rsid w:val="0D0548D6"/>
    <w:rsid w:val="0E1E288D"/>
    <w:rsid w:val="0E4076C2"/>
    <w:rsid w:val="103A48EF"/>
    <w:rsid w:val="12424DDA"/>
    <w:rsid w:val="127F5ACD"/>
    <w:rsid w:val="12BB16A9"/>
    <w:rsid w:val="12EB0AF6"/>
    <w:rsid w:val="138372D1"/>
    <w:rsid w:val="13957B3C"/>
    <w:rsid w:val="14942E70"/>
    <w:rsid w:val="17F461E0"/>
    <w:rsid w:val="19601F57"/>
    <w:rsid w:val="19AB6E1B"/>
    <w:rsid w:val="19FA6459"/>
    <w:rsid w:val="1B5A3DB1"/>
    <w:rsid w:val="1BD40AE7"/>
    <w:rsid w:val="1E076784"/>
    <w:rsid w:val="1E1B36AD"/>
    <w:rsid w:val="1E511231"/>
    <w:rsid w:val="1EFB3D80"/>
    <w:rsid w:val="213B05BD"/>
    <w:rsid w:val="22BF7ED6"/>
    <w:rsid w:val="244350EC"/>
    <w:rsid w:val="2466360E"/>
    <w:rsid w:val="248C1492"/>
    <w:rsid w:val="24C7389A"/>
    <w:rsid w:val="256850B9"/>
    <w:rsid w:val="25EE7F06"/>
    <w:rsid w:val="267071E1"/>
    <w:rsid w:val="274C542A"/>
    <w:rsid w:val="279B5320"/>
    <w:rsid w:val="28074B35"/>
    <w:rsid w:val="2877541C"/>
    <w:rsid w:val="29581AC8"/>
    <w:rsid w:val="295977AD"/>
    <w:rsid w:val="2D451278"/>
    <w:rsid w:val="2E2727A6"/>
    <w:rsid w:val="2E6C7A6B"/>
    <w:rsid w:val="32456F9A"/>
    <w:rsid w:val="32BF1FDA"/>
    <w:rsid w:val="3511337B"/>
    <w:rsid w:val="361B0D65"/>
    <w:rsid w:val="362B4593"/>
    <w:rsid w:val="37AC468C"/>
    <w:rsid w:val="381E3072"/>
    <w:rsid w:val="386E52BB"/>
    <w:rsid w:val="38F53FB9"/>
    <w:rsid w:val="3AAA3890"/>
    <w:rsid w:val="3BCC2087"/>
    <w:rsid w:val="3C222F0F"/>
    <w:rsid w:val="3D153E5F"/>
    <w:rsid w:val="41D9610F"/>
    <w:rsid w:val="4214088D"/>
    <w:rsid w:val="42D67BE8"/>
    <w:rsid w:val="438B0F6C"/>
    <w:rsid w:val="44094370"/>
    <w:rsid w:val="458A619F"/>
    <w:rsid w:val="45CE0900"/>
    <w:rsid w:val="45E97F18"/>
    <w:rsid w:val="460C3E97"/>
    <w:rsid w:val="46D80B47"/>
    <w:rsid w:val="47F57822"/>
    <w:rsid w:val="486A778C"/>
    <w:rsid w:val="48A50D13"/>
    <w:rsid w:val="48D02170"/>
    <w:rsid w:val="4A6F262F"/>
    <w:rsid w:val="4C7A3D6D"/>
    <w:rsid w:val="4DA15E57"/>
    <w:rsid w:val="4F3D6781"/>
    <w:rsid w:val="524348C8"/>
    <w:rsid w:val="544A3068"/>
    <w:rsid w:val="565C147F"/>
    <w:rsid w:val="572A5602"/>
    <w:rsid w:val="57B21A59"/>
    <w:rsid w:val="58846C4F"/>
    <w:rsid w:val="5BF065BE"/>
    <w:rsid w:val="5C240DF0"/>
    <w:rsid w:val="5CBC37CD"/>
    <w:rsid w:val="5D07149A"/>
    <w:rsid w:val="5DE4227C"/>
    <w:rsid w:val="5E18086D"/>
    <w:rsid w:val="5E6B0223"/>
    <w:rsid w:val="5FEB7E2B"/>
    <w:rsid w:val="6307772D"/>
    <w:rsid w:val="63CA03F0"/>
    <w:rsid w:val="643B7F4E"/>
    <w:rsid w:val="64D97062"/>
    <w:rsid w:val="684528DD"/>
    <w:rsid w:val="6969627A"/>
    <w:rsid w:val="6A5A3407"/>
    <w:rsid w:val="6B753EE2"/>
    <w:rsid w:val="6BA02A3F"/>
    <w:rsid w:val="6C0D6635"/>
    <w:rsid w:val="6C142992"/>
    <w:rsid w:val="6CEB0D0E"/>
    <w:rsid w:val="709B444E"/>
    <w:rsid w:val="710312F5"/>
    <w:rsid w:val="73FC6B21"/>
    <w:rsid w:val="74C2209D"/>
    <w:rsid w:val="75CB5C1F"/>
    <w:rsid w:val="761E707A"/>
    <w:rsid w:val="76B93427"/>
    <w:rsid w:val="773107CF"/>
    <w:rsid w:val="794451A1"/>
    <w:rsid w:val="79DF5B6A"/>
    <w:rsid w:val="7A001FB6"/>
    <w:rsid w:val="7AE644A2"/>
    <w:rsid w:val="7AFA55B6"/>
    <w:rsid w:val="7B1944C4"/>
    <w:rsid w:val="7C86387E"/>
    <w:rsid w:val="7D2706A1"/>
    <w:rsid w:val="7E74588B"/>
    <w:rsid w:val="7F3462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uiPriority="99" w:name="HTML Code"/>
    <w:lsdException w:qFormat="1" w:unhideWhenUsed="0" w:uiPriority="0" w:semiHidden="0"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keepLines/>
      <w:spacing w:before="340" w:after="330" w:line="578" w:lineRule="atLeast"/>
      <w:jc w:val="left"/>
      <w:outlineLvl w:val="0"/>
    </w:pPr>
    <w:rPr>
      <w:b/>
      <w:kern w:val="44"/>
      <w:sz w:val="36"/>
      <w:szCs w:val="20"/>
    </w:rPr>
  </w:style>
  <w:style w:type="paragraph" w:styleId="3">
    <w:name w:val="heading 2"/>
    <w:basedOn w:val="1"/>
    <w:next w:val="1"/>
    <w:link w:val="58"/>
    <w:qFormat/>
    <w:uiPriority w:val="0"/>
    <w:pPr>
      <w:keepNext/>
      <w:keepLines/>
      <w:spacing w:before="260" w:after="260" w:line="416" w:lineRule="auto"/>
      <w:outlineLvl w:val="1"/>
    </w:pPr>
    <w:rPr>
      <w:b/>
      <w:sz w:val="32"/>
      <w:szCs w:val="20"/>
    </w:rPr>
  </w:style>
  <w:style w:type="paragraph" w:styleId="4">
    <w:name w:val="heading 3"/>
    <w:basedOn w:val="1"/>
    <w:next w:val="1"/>
    <w:link w:val="59"/>
    <w:qFormat/>
    <w:uiPriority w:val="0"/>
    <w:pPr>
      <w:keepNext/>
      <w:keepLines/>
      <w:spacing w:before="260" w:after="260" w:line="416" w:lineRule="atLeast"/>
      <w:outlineLvl w:val="2"/>
    </w:pPr>
    <w:rPr>
      <w:b/>
      <w:sz w:val="28"/>
      <w:szCs w:val="20"/>
    </w:rPr>
  </w:style>
  <w:style w:type="paragraph" w:styleId="5">
    <w:name w:val="heading 4"/>
    <w:basedOn w:val="1"/>
    <w:next w:val="1"/>
    <w:link w:val="60"/>
    <w:qFormat/>
    <w:uiPriority w:val="0"/>
    <w:pPr>
      <w:keepNext/>
      <w:widowControl/>
      <w:tabs>
        <w:tab w:val="left" w:pos="2356"/>
      </w:tabs>
      <w:spacing w:before="240" w:after="60" w:line="360" w:lineRule="auto"/>
      <w:outlineLvl w:val="3"/>
    </w:pPr>
    <w:rPr>
      <w:rFonts w:ascii="宋体" w:hAnsi="Arial"/>
      <w:b/>
      <w:kern w:val="0"/>
      <w:sz w:val="24"/>
      <w:szCs w:val="20"/>
    </w:rPr>
  </w:style>
  <w:style w:type="paragraph" w:styleId="6">
    <w:name w:val="heading 5"/>
    <w:basedOn w:val="1"/>
    <w:next w:val="1"/>
    <w:link w:val="61"/>
    <w:qFormat/>
    <w:uiPriority w:val="0"/>
    <w:pPr>
      <w:keepNext/>
      <w:keepLines/>
      <w:numPr>
        <w:ilvl w:val="4"/>
        <w:numId w:val="1"/>
      </w:numPr>
      <w:tabs>
        <w:tab w:val="clear" w:pos="3141"/>
      </w:tabs>
      <w:adjustRightInd w:val="0"/>
      <w:spacing w:before="280" w:after="290" w:line="376" w:lineRule="atLeast"/>
      <w:ind w:left="0" w:firstLine="0"/>
      <w:textAlignment w:val="baseline"/>
      <w:outlineLvl w:val="4"/>
    </w:pPr>
    <w:rPr>
      <w:rFonts w:ascii="宋体" w:eastAsia="仿宋_GB2312"/>
      <w:b/>
      <w:kern w:val="0"/>
      <w:sz w:val="28"/>
      <w:szCs w:val="20"/>
    </w:rPr>
  </w:style>
  <w:style w:type="paragraph" w:styleId="7">
    <w:name w:val="heading 6"/>
    <w:basedOn w:val="1"/>
    <w:next w:val="1"/>
    <w:link w:val="62"/>
    <w:qFormat/>
    <w:uiPriority w:val="0"/>
    <w:pPr>
      <w:keepNext/>
      <w:keepLines/>
      <w:numPr>
        <w:ilvl w:val="5"/>
        <w:numId w:val="1"/>
      </w:numPr>
      <w:tabs>
        <w:tab w:val="clear" w:pos="3926"/>
      </w:tabs>
      <w:adjustRightInd w:val="0"/>
      <w:spacing w:before="240" w:after="64" w:line="320" w:lineRule="atLeast"/>
      <w:ind w:left="0" w:firstLine="0"/>
      <w:textAlignment w:val="baseline"/>
      <w:outlineLvl w:val="5"/>
    </w:pPr>
    <w:rPr>
      <w:rFonts w:ascii="Arial" w:hAnsi="Arial" w:eastAsia="黑体"/>
      <w:b/>
      <w:kern w:val="0"/>
      <w:sz w:val="24"/>
      <w:szCs w:val="20"/>
    </w:rPr>
  </w:style>
  <w:style w:type="paragraph" w:styleId="8">
    <w:name w:val="heading 7"/>
    <w:basedOn w:val="1"/>
    <w:next w:val="1"/>
    <w:link w:val="63"/>
    <w:qFormat/>
    <w:uiPriority w:val="0"/>
    <w:pPr>
      <w:keepNext/>
      <w:keepLines/>
      <w:numPr>
        <w:ilvl w:val="6"/>
        <w:numId w:val="1"/>
      </w:numPr>
      <w:tabs>
        <w:tab w:val="clear" w:pos="4711"/>
      </w:tabs>
      <w:adjustRightInd w:val="0"/>
      <w:spacing w:before="240" w:after="64" w:line="320" w:lineRule="atLeast"/>
      <w:ind w:left="0" w:firstLine="0"/>
      <w:textAlignment w:val="baseline"/>
      <w:outlineLvl w:val="6"/>
    </w:pPr>
    <w:rPr>
      <w:rFonts w:ascii="宋体" w:eastAsia="仿宋_GB2312"/>
      <w:b/>
      <w:kern w:val="0"/>
      <w:sz w:val="24"/>
      <w:szCs w:val="20"/>
    </w:rPr>
  </w:style>
  <w:style w:type="paragraph" w:styleId="9">
    <w:name w:val="heading 8"/>
    <w:basedOn w:val="1"/>
    <w:next w:val="1"/>
    <w:link w:val="64"/>
    <w:qFormat/>
    <w:uiPriority w:val="0"/>
    <w:pPr>
      <w:keepNext/>
      <w:keepLines/>
      <w:numPr>
        <w:ilvl w:val="7"/>
        <w:numId w:val="1"/>
      </w:numPr>
      <w:tabs>
        <w:tab w:val="clear" w:pos="5136"/>
      </w:tabs>
      <w:adjustRightInd w:val="0"/>
      <w:spacing w:before="240" w:after="64" w:line="320" w:lineRule="atLeast"/>
      <w:ind w:left="0" w:firstLine="0"/>
      <w:textAlignment w:val="baseline"/>
      <w:outlineLvl w:val="7"/>
    </w:pPr>
    <w:rPr>
      <w:rFonts w:ascii="Arial" w:hAnsi="Arial" w:eastAsia="黑体"/>
      <w:kern w:val="0"/>
      <w:sz w:val="24"/>
      <w:szCs w:val="20"/>
    </w:rPr>
  </w:style>
  <w:style w:type="paragraph" w:styleId="10">
    <w:name w:val="heading 9"/>
    <w:basedOn w:val="1"/>
    <w:next w:val="1"/>
    <w:link w:val="65"/>
    <w:qFormat/>
    <w:uiPriority w:val="0"/>
    <w:pPr>
      <w:keepNext/>
      <w:keepLines/>
      <w:numPr>
        <w:ilvl w:val="8"/>
        <w:numId w:val="1"/>
      </w:numPr>
      <w:tabs>
        <w:tab w:val="clear" w:pos="5922"/>
      </w:tabs>
      <w:adjustRightInd w:val="0"/>
      <w:spacing w:before="240" w:after="64" w:line="320" w:lineRule="atLeast"/>
      <w:ind w:left="0" w:firstLine="0"/>
      <w:textAlignment w:val="baseline"/>
      <w:outlineLvl w:val="8"/>
    </w:pPr>
    <w:rPr>
      <w:rFonts w:ascii="Arial" w:hAnsi="Arial" w:eastAsia="黑体"/>
      <w:kern w:val="0"/>
      <w:sz w:val="28"/>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0"/>
    <w:pPr>
      <w:adjustRightInd w:val="0"/>
      <w:spacing w:line="360" w:lineRule="atLeast"/>
      <w:ind w:left="2520" w:leftChars="1200"/>
      <w:jc w:val="left"/>
      <w:textAlignment w:val="baseline"/>
    </w:pPr>
    <w:rPr>
      <w:kern w:val="0"/>
      <w:sz w:val="24"/>
      <w:szCs w:val="20"/>
    </w:rPr>
  </w:style>
  <w:style w:type="paragraph" w:styleId="12">
    <w:name w:val="Normal Indent"/>
    <w:basedOn w:val="1"/>
    <w:link w:val="178"/>
    <w:qFormat/>
    <w:uiPriority w:val="0"/>
    <w:pPr>
      <w:ind w:firstLine="425"/>
    </w:pPr>
    <w:rPr>
      <w:szCs w:val="20"/>
    </w:rPr>
  </w:style>
  <w:style w:type="paragraph" w:styleId="13">
    <w:name w:val="Document Map"/>
    <w:basedOn w:val="1"/>
    <w:link w:val="155"/>
    <w:semiHidden/>
    <w:qFormat/>
    <w:uiPriority w:val="0"/>
    <w:pPr>
      <w:shd w:val="clear" w:color="auto" w:fill="000080"/>
    </w:pPr>
  </w:style>
  <w:style w:type="paragraph" w:styleId="14">
    <w:name w:val="annotation text"/>
    <w:basedOn w:val="1"/>
    <w:link w:val="157"/>
    <w:unhideWhenUsed/>
    <w:qFormat/>
    <w:uiPriority w:val="99"/>
    <w:pPr>
      <w:jc w:val="left"/>
    </w:pPr>
    <w:rPr>
      <w:rFonts w:asciiTheme="minorHAnsi" w:hAnsiTheme="minorHAnsi" w:eastAsiaTheme="minorEastAsia" w:cstheme="minorBidi"/>
    </w:rPr>
  </w:style>
  <w:style w:type="paragraph" w:styleId="15">
    <w:name w:val="Salutation"/>
    <w:basedOn w:val="1"/>
    <w:next w:val="1"/>
    <w:link w:val="243"/>
    <w:qFormat/>
    <w:uiPriority w:val="0"/>
    <w:pPr>
      <w:spacing w:line="300" w:lineRule="auto"/>
    </w:pPr>
    <w:rPr>
      <w:rFonts w:ascii="宋体" w:hAnsi="宋体"/>
      <w:sz w:val="24"/>
      <w:szCs w:val="20"/>
    </w:rPr>
  </w:style>
  <w:style w:type="paragraph" w:styleId="16">
    <w:name w:val="Body Text 3"/>
    <w:basedOn w:val="1"/>
    <w:link w:val="148"/>
    <w:qFormat/>
    <w:uiPriority w:val="0"/>
    <w:pPr>
      <w:spacing w:after="120"/>
    </w:pPr>
    <w:rPr>
      <w:sz w:val="16"/>
      <w:szCs w:val="16"/>
    </w:rPr>
  </w:style>
  <w:style w:type="paragraph" w:styleId="17">
    <w:name w:val="Body Text"/>
    <w:basedOn w:val="1"/>
    <w:link w:val="66"/>
    <w:qFormat/>
    <w:uiPriority w:val="99"/>
    <w:pPr>
      <w:widowControl/>
      <w:spacing w:line="320" w:lineRule="atLeast"/>
    </w:pPr>
    <w:rPr>
      <w:rFonts w:eastAsia="隶书"/>
      <w:b/>
      <w:kern w:val="0"/>
      <w:sz w:val="44"/>
      <w:szCs w:val="20"/>
    </w:rPr>
  </w:style>
  <w:style w:type="paragraph" w:styleId="18">
    <w:name w:val="Body Text Indent"/>
    <w:basedOn w:val="1"/>
    <w:link w:val="67"/>
    <w:qFormat/>
    <w:uiPriority w:val="0"/>
    <w:pPr>
      <w:ind w:firstLine="570"/>
    </w:pPr>
    <w:rPr>
      <w:rFonts w:ascii="宋体"/>
      <w:sz w:val="28"/>
      <w:szCs w:val="20"/>
    </w:rPr>
  </w:style>
  <w:style w:type="paragraph" w:styleId="19">
    <w:name w:val="List 2"/>
    <w:basedOn w:val="1"/>
    <w:qFormat/>
    <w:uiPriority w:val="0"/>
    <w:pPr>
      <w:ind w:left="100" w:leftChars="200" w:hanging="200" w:hangingChars="200"/>
    </w:pPr>
    <w:rPr>
      <w:sz w:val="28"/>
    </w:rPr>
  </w:style>
  <w:style w:type="paragraph" w:styleId="20">
    <w:name w:val="Block Text"/>
    <w:basedOn w:val="1"/>
    <w:qFormat/>
    <w:uiPriority w:val="0"/>
    <w:pPr>
      <w:spacing w:line="360" w:lineRule="auto"/>
      <w:ind w:left="-105" w:leftChars="-50" w:right="-407" w:rightChars="-194"/>
    </w:pPr>
    <w:rPr>
      <w:rFonts w:ascii="宋体"/>
      <w:sz w:val="24"/>
    </w:rPr>
  </w:style>
  <w:style w:type="paragraph" w:styleId="21">
    <w:name w:val="toc 5"/>
    <w:basedOn w:val="1"/>
    <w:next w:val="1"/>
    <w:semiHidden/>
    <w:qFormat/>
    <w:uiPriority w:val="0"/>
    <w:pPr>
      <w:adjustRightInd w:val="0"/>
      <w:spacing w:line="360" w:lineRule="atLeast"/>
      <w:ind w:left="1680" w:leftChars="800"/>
      <w:jc w:val="left"/>
      <w:textAlignment w:val="baseline"/>
    </w:pPr>
    <w:rPr>
      <w:kern w:val="0"/>
      <w:sz w:val="24"/>
      <w:szCs w:val="20"/>
    </w:rPr>
  </w:style>
  <w:style w:type="paragraph" w:styleId="22">
    <w:name w:val="toc 3"/>
    <w:basedOn w:val="1"/>
    <w:next w:val="1"/>
    <w:qFormat/>
    <w:uiPriority w:val="39"/>
    <w:pPr>
      <w:adjustRightInd w:val="0"/>
      <w:spacing w:line="360" w:lineRule="atLeast"/>
      <w:ind w:left="840" w:leftChars="400"/>
      <w:jc w:val="left"/>
      <w:textAlignment w:val="baseline"/>
    </w:pPr>
    <w:rPr>
      <w:kern w:val="0"/>
      <w:sz w:val="24"/>
      <w:szCs w:val="20"/>
    </w:rPr>
  </w:style>
  <w:style w:type="paragraph" w:styleId="23">
    <w:name w:val="Plain Text"/>
    <w:basedOn w:val="1"/>
    <w:link w:val="143"/>
    <w:qFormat/>
    <w:uiPriority w:val="0"/>
    <w:rPr>
      <w:rFonts w:ascii="宋体" w:hAnsi="Courier New"/>
      <w:szCs w:val="20"/>
    </w:rPr>
  </w:style>
  <w:style w:type="paragraph" w:styleId="24">
    <w:name w:val="toc 8"/>
    <w:basedOn w:val="1"/>
    <w:next w:val="1"/>
    <w:semiHidden/>
    <w:qFormat/>
    <w:uiPriority w:val="0"/>
    <w:pPr>
      <w:adjustRightInd w:val="0"/>
      <w:spacing w:line="360" w:lineRule="atLeast"/>
      <w:ind w:left="2940" w:leftChars="1400"/>
      <w:jc w:val="left"/>
      <w:textAlignment w:val="baseline"/>
    </w:pPr>
    <w:rPr>
      <w:kern w:val="0"/>
      <w:sz w:val="24"/>
      <w:szCs w:val="20"/>
    </w:rPr>
  </w:style>
  <w:style w:type="paragraph" w:styleId="25">
    <w:name w:val="Date"/>
    <w:basedOn w:val="1"/>
    <w:next w:val="1"/>
    <w:link w:val="141"/>
    <w:qFormat/>
    <w:uiPriority w:val="0"/>
    <w:rPr>
      <w:szCs w:val="20"/>
    </w:rPr>
  </w:style>
  <w:style w:type="paragraph" w:styleId="26">
    <w:name w:val="Body Text Indent 2"/>
    <w:basedOn w:val="1"/>
    <w:link w:val="150"/>
    <w:qFormat/>
    <w:uiPriority w:val="0"/>
    <w:pPr>
      <w:spacing w:after="120" w:line="480" w:lineRule="auto"/>
      <w:ind w:left="420" w:leftChars="200"/>
    </w:pPr>
  </w:style>
  <w:style w:type="paragraph" w:styleId="27">
    <w:name w:val="Balloon Text"/>
    <w:basedOn w:val="1"/>
    <w:link w:val="156"/>
    <w:semiHidden/>
    <w:qFormat/>
    <w:uiPriority w:val="0"/>
    <w:rPr>
      <w:sz w:val="18"/>
      <w:szCs w:val="18"/>
    </w:rPr>
  </w:style>
  <w:style w:type="paragraph" w:styleId="28">
    <w:name w:val="footer"/>
    <w:basedOn w:val="1"/>
    <w:link w:val="140"/>
    <w:qFormat/>
    <w:uiPriority w:val="99"/>
    <w:pPr>
      <w:tabs>
        <w:tab w:val="center" w:pos="4153"/>
        <w:tab w:val="right" w:pos="8306"/>
      </w:tabs>
      <w:snapToGrid w:val="0"/>
      <w:jc w:val="left"/>
    </w:pPr>
    <w:rPr>
      <w:sz w:val="18"/>
      <w:szCs w:val="18"/>
    </w:rPr>
  </w:style>
  <w:style w:type="paragraph" w:styleId="29">
    <w:name w:val="header"/>
    <w:basedOn w:val="1"/>
    <w:link w:val="139"/>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unhideWhenUsed/>
    <w:qFormat/>
    <w:uiPriority w:val="39"/>
  </w:style>
  <w:style w:type="paragraph" w:styleId="31">
    <w:name w:val="toc 4"/>
    <w:basedOn w:val="1"/>
    <w:next w:val="1"/>
    <w:semiHidden/>
    <w:qFormat/>
    <w:uiPriority w:val="0"/>
    <w:pPr>
      <w:adjustRightInd w:val="0"/>
      <w:spacing w:line="360" w:lineRule="atLeast"/>
      <w:ind w:left="1260" w:leftChars="600"/>
      <w:jc w:val="left"/>
      <w:textAlignment w:val="baseline"/>
    </w:pPr>
    <w:rPr>
      <w:kern w:val="0"/>
      <w:sz w:val="24"/>
      <w:szCs w:val="20"/>
    </w:rPr>
  </w:style>
  <w:style w:type="paragraph" w:styleId="32">
    <w:name w:val="Subtitle"/>
    <w:basedOn w:val="1"/>
    <w:next w:val="1"/>
    <w:link w:val="161"/>
    <w:qFormat/>
    <w:uiPriority w:val="0"/>
    <w:pPr>
      <w:spacing w:before="240" w:after="60" w:line="312" w:lineRule="auto"/>
      <w:jc w:val="center"/>
      <w:outlineLvl w:val="1"/>
    </w:pPr>
    <w:rPr>
      <w:rFonts w:ascii="黑体" w:hAnsi="黑体" w:eastAsia="黑体" w:cstheme="minorBidi"/>
      <w:bCs/>
      <w:kern w:val="28"/>
      <w:sz w:val="24"/>
      <w:szCs w:val="32"/>
    </w:rPr>
  </w:style>
  <w:style w:type="paragraph" w:styleId="33">
    <w:name w:val="List"/>
    <w:basedOn w:val="1"/>
    <w:qFormat/>
    <w:uiPriority w:val="0"/>
    <w:pPr>
      <w:ind w:left="200" w:hanging="200" w:hangingChars="200"/>
    </w:pPr>
  </w:style>
  <w:style w:type="paragraph" w:styleId="34">
    <w:name w:val="toc 6"/>
    <w:basedOn w:val="1"/>
    <w:next w:val="1"/>
    <w:semiHidden/>
    <w:qFormat/>
    <w:uiPriority w:val="0"/>
    <w:pPr>
      <w:adjustRightInd w:val="0"/>
      <w:spacing w:line="360" w:lineRule="atLeast"/>
      <w:ind w:left="2100" w:leftChars="1000"/>
      <w:jc w:val="left"/>
      <w:textAlignment w:val="baseline"/>
    </w:pPr>
    <w:rPr>
      <w:kern w:val="0"/>
      <w:sz w:val="24"/>
      <w:szCs w:val="20"/>
    </w:rPr>
  </w:style>
  <w:style w:type="paragraph" w:styleId="35">
    <w:name w:val="Body Text Indent 3"/>
    <w:basedOn w:val="1"/>
    <w:link w:val="163"/>
    <w:unhideWhenUsed/>
    <w:qFormat/>
    <w:uiPriority w:val="0"/>
    <w:pPr>
      <w:spacing w:after="120"/>
      <w:ind w:left="420" w:leftChars="200"/>
    </w:pPr>
    <w:rPr>
      <w:rFonts w:ascii="宋体" w:hAnsi="宋体" w:eastAsiaTheme="minorEastAsia" w:cstheme="minorBidi"/>
      <w:sz w:val="24"/>
      <w:szCs w:val="22"/>
    </w:rPr>
  </w:style>
  <w:style w:type="paragraph" w:styleId="36">
    <w:name w:val="toc 2"/>
    <w:basedOn w:val="1"/>
    <w:next w:val="1"/>
    <w:qFormat/>
    <w:uiPriority w:val="39"/>
    <w:pPr>
      <w:tabs>
        <w:tab w:val="left" w:pos="1260"/>
        <w:tab w:val="right" w:leader="dot" w:pos="8890"/>
      </w:tabs>
      <w:adjustRightInd w:val="0"/>
      <w:spacing w:line="480" w:lineRule="auto"/>
      <w:ind w:left="480" w:leftChars="200"/>
      <w:textAlignment w:val="baseline"/>
    </w:pPr>
    <w:rPr>
      <w:rFonts w:ascii="宋体" w:hAnsi="宋体" w:cs="宋体"/>
      <w:color w:val="000000"/>
      <w:kern w:val="0"/>
      <w:sz w:val="24"/>
      <w:szCs w:val="20"/>
    </w:rPr>
  </w:style>
  <w:style w:type="paragraph" w:styleId="37">
    <w:name w:val="toc 9"/>
    <w:basedOn w:val="1"/>
    <w:next w:val="1"/>
    <w:semiHidden/>
    <w:qFormat/>
    <w:uiPriority w:val="0"/>
    <w:pPr>
      <w:adjustRightInd w:val="0"/>
      <w:spacing w:line="360" w:lineRule="atLeast"/>
      <w:ind w:left="3360" w:leftChars="1600"/>
      <w:jc w:val="left"/>
      <w:textAlignment w:val="baseline"/>
    </w:pPr>
    <w:rPr>
      <w:kern w:val="0"/>
      <w:sz w:val="24"/>
      <w:szCs w:val="20"/>
    </w:rPr>
  </w:style>
  <w:style w:type="paragraph" w:styleId="38">
    <w:name w:val="Body Text 2"/>
    <w:basedOn w:val="1"/>
    <w:link w:val="238"/>
    <w:qFormat/>
    <w:uiPriority w:val="0"/>
    <w:pPr>
      <w:ind w:right="-512" w:rightChars="-244"/>
    </w:pPr>
    <w:rPr>
      <w:rFonts w:ascii="宋体"/>
      <w:sz w:val="24"/>
    </w:rPr>
  </w:style>
  <w:style w:type="paragraph" w:styleId="39">
    <w:name w:val="HTML Preformatted"/>
    <w:basedOn w:val="1"/>
    <w:link w:val="14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40">
    <w:name w:val="Normal (Web)"/>
    <w:basedOn w:val="1"/>
    <w:qFormat/>
    <w:uiPriority w:val="0"/>
    <w:pPr>
      <w:widowControl/>
      <w:spacing w:before="100" w:beforeAutospacing="1" w:after="100" w:afterAutospacing="1"/>
      <w:jc w:val="left"/>
    </w:pPr>
    <w:rPr>
      <w:rFonts w:ascii="宋体" w:hAnsi="宋体"/>
      <w:kern w:val="0"/>
      <w:sz w:val="24"/>
    </w:rPr>
  </w:style>
  <w:style w:type="paragraph" w:styleId="41">
    <w:name w:val="index 1"/>
    <w:basedOn w:val="1"/>
    <w:next w:val="1"/>
    <w:qFormat/>
    <w:uiPriority w:val="0"/>
    <w:pPr>
      <w:spacing w:line="360" w:lineRule="auto"/>
    </w:pPr>
    <w:rPr>
      <w:rFonts w:ascii="仿宋_GB2312" w:eastAsia="仿宋_GB2312"/>
      <w:sz w:val="24"/>
      <w:szCs w:val="20"/>
    </w:rPr>
  </w:style>
  <w:style w:type="paragraph" w:styleId="42">
    <w:name w:val="Title"/>
    <w:basedOn w:val="1"/>
    <w:next w:val="1"/>
    <w:link w:val="159"/>
    <w:qFormat/>
    <w:uiPriority w:val="0"/>
    <w:pPr>
      <w:spacing w:before="240" w:after="60"/>
      <w:jc w:val="center"/>
      <w:outlineLvl w:val="0"/>
    </w:pPr>
    <w:rPr>
      <w:rFonts w:ascii="Cambria" w:hAnsi="Cambria" w:eastAsiaTheme="minorEastAsia" w:cstheme="minorBidi"/>
      <w:b/>
      <w:bCs/>
      <w:sz w:val="32"/>
      <w:szCs w:val="32"/>
    </w:rPr>
  </w:style>
  <w:style w:type="paragraph" w:styleId="43">
    <w:name w:val="annotation subject"/>
    <w:basedOn w:val="14"/>
    <w:next w:val="14"/>
    <w:link w:val="165"/>
    <w:unhideWhenUsed/>
    <w:qFormat/>
    <w:uiPriority w:val="0"/>
    <w:rPr>
      <w:b/>
      <w:bCs/>
    </w:rPr>
  </w:style>
  <w:style w:type="paragraph" w:styleId="44">
    <w:name w:val="Body Text First Indent"/>
    <w:basedOn w:val="17"/>
    <w:link w:val="255"/>
    <w:qFormat/>
    <w:uiPriority w:val="0"/>
    <w:pPr>
      <w:widowControl w:val="0"/>
      <w:spacing w:after="120" w:line="240" w:lineRule="auto"/>
      <w:ind w:firstLine="420" w:firstLineChars="100"/>
    </w:pPr>
    <w:rPr>
      <w:rFonts w:eastAsia="宋体"/>
      <w:b w:val="0"/>
      <w:kern w:val="2"/>
      <w:sz w:val="21"/>
      <w:szCs w:val="24"/>
      <w:lang w:val="zh-CN"/>
    </w:rPr>
  </w:style>
  <w:style w:type="paragraph" w:styleId="45">
    <w:name w:val="Body Text First Indent 2"/>
    <w:basedOn w:val="18"/>
    <w:link w:val="247"/>
    <w:qFormat/>
    <w:uiPriority w:val="0"/>
    <w:pPr>
      <w:spacing w:after="120"/>
      <w:ind w:left="420" w:leftChars="200" w:firstLine="420" w:firstLineChars="200"/>
    </w:pPr>
    <w:rPr>
      <w:rFonts w:ascii="Times New Roman"/>
      <w:sz w:val="21"/>
      <w:szCs w:val="24"/>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basedOn w:val="48"/>
    <w:unhideWhenUsed/>
    <w:qFormat/>
    <w:uiPriority w:val="99"/>
    <w:rPr>
      <w:color w:val="954F72" w:themeColor="followedHyperlink"/>
      <w:u w:val="single"/>
      <w14:textFill>
        <w14:solidFill>
          <w14:schemeClr w14:val="folHlink"/>
        </w14:solidFill>
      </w14:textFill>
    </w:rPr>
  </w:style>
  <w:style w:type="character" w:styleId="52">
    <w:name w:val="Emphasis"/>
    <w:qFormat/>
    <w:uiPriority w:val="0"/>
    <w:rPr>
      <w:color w:val="CC0033"/>
    </w:rPr>
  </w:style>
  <w:style w:type="character" w:styleId="53">
    <w:name w:val="HTML Definition"/>
    <w:qFormat/>
    <w:uiPriority w:val="0"/>
    <w:rPr>
      <w:i/>
      <w:iCs/>
    </w:rPr>
  </w:style>
  <w:style w:type="character" w:styleId="54">
    <w:name w:val="Hyperlink"/>
    <w:qFormat/>
    <w:uiPriority w:val="99"/>
    <w:rPr>
      <w:color w:val="0000FF"/>
      <w:u w:val="single"/>
    </w:rPr>
  </w:style>
  <w:style w:type="character" w:styleId="55">
    <w:name w:val="annotation reference"/>
    <w:unhideWhenUsed/>
    <w:qFormat/>
    <w:uiPriority w:val="99"/>
    <w:rPr>
      <w:sz w:val="21"/>
      <w:szCs w:val="21"/>
    </w:rPr>
  </w:style>
  <w:style w:type="character" w:styleId="56">
    <w:name w:val="HTML Cite"/>
    <w:semiHidden/>
    <w:unhideWhenUsed/>
    <w:qFormat/>
    <w:uiPriority w:val="99"/>
  </w:style>
  <w:style w:type="character" w:customStyle="1" w:styleId="57">
    <w:name w:val="标题 1 字符"/>
    <w:basedOn w:val="48"/>
    <w:link w:val="2"/>
    <w:qFormat/>
    <w:uiPriority w:val="0"/>
    <w:rPr>
      <w:rFonts w:ascii="Times New Roman" w:hAnsi="Times New Roman" w:eastAsia="宋体" w:cs="Times New Roman"/>
      <w:b/>
      <w:kern w:val="44"/>
      <w:sz w:val="36"/>
      <w:szCs w:val="20"/>
    </w:rPr>
  </w:style>
  <w:style w:type="character" w:customStyle="1" w:styleId="58">
    <w:name w:val="标题 2 字符"/>
    <w:basedOn w:val="48"/>
    <w:link w:val="3"/>
    <w:qFormat/>
    <w:uiPriority w:val="0"/>
    <w:rPr>
      <w:rFonts w:ascii="Times New Roman" w:hAnsi="Times New Roman" w:eastAsia="宋体" w:cs="Times New Roman"/>
      <w:b/>
      <w:sz w:val="32"/>
      <w:szCs w:val="20"/>
    </w:rPr>
  </w:style>
  <w:style w:type="character" w:customStyle="1" w:styleId="59">
    <w:name w:val="标题 3 字符"/>
    <w:basedOn w:val="48"/>
    <w:link w:val="4"/>
    <w:qFormat/>
    <w:uiPriority w:val="0"/>
    <w:rPr>
      <w:rFonts w:ascii="Times New Roman" w:hAnsi="Times New Roman" w:eastAsia="宋体" w:cs="Times New Roman"/>
      <w:b/>
      <w:sz w:val="28"/>
      <w:szCs w:val="20"/>
    </w:rPr>
  </w:style>
  <w:style w:type="character" w:customStyle="1" w:styleId="60">
    <w:name w:val="标题 4 字符"/>
    <w:basedOn w:val="48"/>
    <w:link w:val="5"/>
    <w:qFormat/>
    <w:uiPriority w:val="0"/>
    <w:rPr>
      <w:rFonts w:ascii="宋体" w:hAnsi="Arial" w:eastAsia="宋体" w:cs="Times New Roman"/>
      <w:b/>
      <w:kern w:val="0"/>
      <w:sz w:val="24"/>
      <w:szCs w:val="20"/>
    </w:rPr>
  </w:style>
  <w:style w:type="character" w:customStyle="1" w:styleId="61">
    <w:name w:val="标题 5 字符"/>
    <w:basedOn w:val="48"/>
    <w:link w:val="6"/>
    <w:qFormat/>
    <w:uiPriority w:val="0"/>
    <w:rPr>
      <w:rFonts w:ascii="宋体" w:hAnsi="Times New Roman" w:eastAsia="仿宋_GB2312" w:cs="Times New Roman"/>
      <w:b/>
      <w:sz w:val="28"/>
    </w:rPr>
  </w:style>
  <w:style w:type="character" w:customStyle="1" w:styleId="62">
    <w:name w:val="标题 6 字符"/>
    <w:basedOn w:val="48"/>
    <w:link w:val="7"/>
    <w:qFormat/>
    <w:uiPriority w:val="0"/>
    <w:rPr>
      <w:rFonts w:ascii="Arial" w:hAnsi="Arial" w:eastAsia="黑体" w:cs="Times New Roman"/>
      <w:b/>
      <w:sz w:val="24"/>
    </w:rPr>
  </w:style>
  <w:style w:type="character" w:customStyle="1" w:styleId="63">
    <w:name w:val="标题 7 字符"/>
    <w:basedOn w:val="48"/>
    <w:link w:val="8"/>
    <w:qFormat/>
    <w:uiPriority w:val="0"/>
    <w:rPr>
      <w:rFonts w:ascii="宋体" w:hAnsi="Times New Roman" w:eastAsia="仿宋_GB2312" w:cs="Times New Roman"/>
      <w:b/>
      <w:sz w:val="24"/>
    </w:rPr>
  </w:style>
  <w:style w:type="character" w:customStyle="1" w:styleId="64">
    <w:name w:val="标题 8 字符"/>
    <w:basedOn w:val="48"/>
    <w:link w:val="9"/>
    <w:qFormat/>
    <w:uiPriority w:val="0"/>
    <w:rPr>
      <w:rFonts w:ascii="Arial" w:hAnsi="Arial" w:eastAsia="黑体" w:cs="Times New Roman"/>
      <w:sz w:val="24"/>
    </w:rPr>
  </w:style>
  <w:style w:type="character" w:customStyle="1" w:styleId="65">
    <w:name w:val="标题 9 字符"/>
    <w:basedOn w:val="48"/>
    <w:link w:val="10"/>
    <w:qFormat/>
    <w:uiPriority w:val="0"/>
    <w:rPr>
      <w:rFonts w:ascii="Arial" w:hAnsi="Arial" w:eastAsia="黑体" w:cs="Times New Roman"/>
      <w:sz w:val="28"/>
    </w:rPr>
  </w:style>
  <w:style w:type="character" w:customStyle="1" w:styleId="66">
    <w:name w:val="正文文本 字符"/>
    <w:basedOn w:val="48"/>
    <w:link w:val="17"/>
    <w:qFormat/>
    <w:uiPriority w:val="0"/>
    <w:rPr>
      <w:rFonts w:ascii="Times New Roman" w:hAnsi="Times New Roman" w:eastAsia="隶书" w:cs="Times New Roman"/>
      <w:b/>
      <w:kern w:val="0"/>
      <w:sz w:val="44"/>
      <w:szCs w:val="20"/>
    </w:rPr>
  </w:style>
  <w:style w:type="character" w:customStyle="1" w:styleId="67">
    <w:name w:val="正文文本缩进 字符"/>
    <w:basedOn w:val="48"/>
    <w:link w:val="18"/>
    <w:qFormat/>
    <w:uiPriority w:val="0"/>
    <w:rPr>
      <w:rFonts w:ascii="宋体" w:hAnsi="Times New Roman" w:eastAsia="宋体" w:cs="Times New Roman"/>
      <w:sz w:val="28"/>
      <w:szCs w:val="20"/>
    </w:rPr>
  </w:style>
  <w:style w:type="paragraph" w:customStyle="1" w:styleId="68">
    <w:name w:val="一级条标题"/>
    <w:basedOn w:val="1"/>
    <w:next w:val="1"/>
    <w:qFormat/>
    <w:uiPriority w:val="0"/>
    <w:pPr>
      <w:widowControl/>
      <w:numPr>
        <w:ilvl w:val="2"/>
        <w:numId w:val="2"/>
      </w:numPr>
      <w:outlineLvl w:val="2"/>
    </w:pPr>
    <w:rPr>
      <w:rFonts w:ascii="黑体" w:eastAsia="黑体"/>
      <w:kern w:val="0"/>
      <w:sz w:val="24"/>
      <w:szCs w:val="20"/>
    </w:rPr>
  </w:style>
  <w:style w:type="paragraph" w:customStyle="1" w:styleId="69">
    <w:name w:val="二级条标题"/>
    <w:basedOn w:val="68"/>
    <w:next w:val="1"/>
    <w:qFormat/>
    <w:uiPriority w:val="0"/>
    <w:pPr>
      <w:numPr>
        <w:ilvl w:val="3"/>
      </w:numPr>
      <w:tabs>
        <w:tab w:val="left" w:pos="1290"/>
      </w:tabs>
      <w:ind w:left="1290" w:hanging="720"/>
      <w:outlineLvl w:val="3"/>
    </w:pPr>
  </w:style>
  <w:style w:type="paragraph" w:customStyle="1" w:styleId="70">
    <w:name w:val="样式 宋体 小四 首行缩进:  1.11 厘米 行距: 1.5 倍行距"/>
    <w:basedOn w:val="1"/>
    <w:qFormat/>
    <w:uiPriority w:val="0"/>
    <w:pPr>
      <w:spacing w:line="360" w:lineRule="auto"/>
      <w:ind w:left="708" w:leftChars="337" w:firstLine="1"/>
    </w:pPr>
    <w:rPr>
      <w:rFonts w:ascii="宋体"/>
      <w:sz w:val="24"/>
      <w:szCs w:val="20"/>
    </w:rPr>
  </w:style>
  <w:style w:type="paragraph" w:customStyle="1" w:styleId="71">
    <w:name w:val="样式 标题 2 + 小二 段前: 0.5 行 段后: 0.5 行"/>
    <w:basedOn w:val="3"/>
    <w:qFormat/>
    <w:uiPriority w:val="0"/>
    <w:pPr>
      <w:keepLines w:val="0"/>
      <w:spacing w:beforeLines="50" w:afterLines="50" w:line="360" w:lineRule="auto"/>
    </w:pPr>
    <w:rPr>
      <w:rFonts w:ascii="宋体"/>
      <w:bCs/>
      <w:sz w:val="30"/>
      <w:szCs w:val="30"/>
    </w:rPr>
  </w:style>
  <w:style w:type="paragraph" w:customStyle="1" w:styleId="72">
    <w:name w:val="样式 标题 4 + 左侧:  0 厘米 悬挂缩进: 8.64 字符 行距: 最小值 18.8 磅"/>
    <w:basedOn w:val="5"/>
    <w:qFormat/>
    <w:uiPriority w:val="0"/>
    <w:pPr>
      <w:keepLines/>
      <w:widowControl w:val="0"/>
      <w:tabs>
        <w:tab w:val="clear" w:pos="2356"/>
      </w:tabs>
      <w:spacing w:before="120" w:after="120"/>
      <w:ind w:left="862" w:hanging="862"/>
    </w:pPr>
    <w:rPr>
      <w:rFonts w:ascii="Arial"/>
      <w:bCs/>
      <w:kern w:val="2"/>
      <w:szCs w:val="24"/>
    </w:rPr>
  </w:style>
  <w:style w:type="paragraph" w:customStyle="1" w:styleId="73">
    <w:name w:val="规范正文 Char Char Char"/>
    <w:basedOn w:val="1"/>
    <w:qFormat/>
    <w:uiPriority w:val="0"/>
    <w:pPr>
      <w:adjustRightInd w:val="0"/>
      <w:spacing w:line="360" w:lineRule="auto"/>
      <w:ind w:left="227" w:firstLine="454"/>
      <w:textAlignment w:val="baseline"/>
    </w:pPr>
    <w:rPr>
      <w:sz w:val="24"/>
    </w:rPr>
  </w:style>
  <w:style w:type="paragraph" w:customStyle="1" w:styleId="74">
    <w:name w:val="样式 首行缩进:  2 字符"/>
    <w:basedOn w:val="1"/>
    <w:qFormat/>
    <w:uiPriority w:val="0"/>
    <w:pPr>
      <w:spacing w:line="360" w:lineRule="auto"/>
      <w:ind w:firstLine="200" w:firstLineChars="200"/>
    </w:pPr>
    <w:rPr>
      <w:sz w:val="24"/>
    </w:rPr>
  </w:style>
  <w:style w:type="character" w:customStyle="1" w:styleId="75">
    <w:name w:val="规范正文 Char Char Char Char"/>
    <w:qFormat/>
    <w:uiPriority w:val="0"/>
    <w:rPr>
      <w:rFonts w:eastAsia="宋体"/>
      <w:kern w:val="2"/>
      <w:sz w:val="24"/>
      <w:szCs w:val="24"/>
      <w:lang w:val="en-US" w:eastAsia="zh-CN" w:bidi="ar-SA"/>
    </w:rPr>
  </w:style>
  <w:style w:type="paragraph" w:customStyle="1" w:styleId="76">
    <w:name w:val="规范正文 Char Char"/>
    <w:basedOn w:val="1"/>
    <w:qFormat/>
    <w:uiPriority w:val="0"/>
    <w:pPr>
      <w:adjustRightInd w:val="0"/>
      <w:spacing w:line="360" w:lineRule="auto"/>
      <w:ind w:left="227" w:firstLine="454"/>
      <w:textAlignment w:val="baseline"/>
    </w:pPr>
    <w:rPr>
      <w:kern w:val="0"/>
      <w:sz w:val="24"/>
      <w:szCs w:val="20"/>
    </w:rPr>
  </w:style>
  <w:style w:type="paragraph" w:customStyle="1" w:styleId="77">
    <w:name w:val="样式 标题 2 + 左侧:  0 厘米 首行缩进:  0 厘米 右侧:  2 字符"/>
    <w:basedOn w:val="3"/>
    <w:qFormat/>
    <w:uiPriority w:val="0"/>
    <w:pPr>
      <w:spacing w:before="120" w:after="120" w:line="360" w:lineRule="auto"/>
      <w:ind w:right="420" w:rightChars="200"/>
    </w:pPr>
    <w:rPr>
      <w:rFonts w:ascii="Arial" w:hAnsi="Arial" w:eastAsia="黑体"/>
      <w:bCs/>
      <w:sz w:val="24"/>
    </w:rPr>
  </w:style>
  <w:style w:type="paragraph" w:customStyle="1" w:styleId="78">
    <w:name w:val="Default Text"/>
    <w:basedOn w:val="1"/>
    <w:qFormat/>
    <w:uiPriority w:val="0"/>
    <w:pPr>
      <w:widowControl/>
      <w:overflowPunct w:val="0"/>
      <w:autoSpaceDE w:val="0"/>
      <w:autoSpaceDN w:val="0"/>
      <w:adjustRightInd w:val="0"/>
      <w:jc w:val="left"/>
      <w:textAlignment w:val="baseline"/>
    </w:pPr>
    <w:rPr>
      <w:rFonts w:eastAsia="仿宋_GB2312"/>
      <w:kern w:val="0"/>
      <w:sz w:val="24"/>
      <w:szCs w:val="20"/>
      <w:lang w:val="en-GB"/>
    </w:rPr>
  </w:style>
  <w:style w:type="paragraph" w:customStyle="1" w:styleId="79">
    <w:name w:val="缺省文本"/>
    <w:basedOn w:val="1"/>
    <w:qFormat/>
    <w:uiPriority w:val="0"/>
    <w:pPr>
      <w:widowControl/>
      <w:overflowPunct w:val="0"/>
      <w:autoSpaceDE w:val="0"/>
      <w:autoSpaceDN w:val="0"/>
      <w:adjustRightInd w:val="0"/>
      <w:spacing w:line="360" w:lineRule="auto"/>
      <w:ind w:firstLine="720"/>
      <w:textAlignment w:val="baseline"/>
    </w:pPr>
    <w:rPr>
      <w:rFonts w:ascii="宋体" w:eastAsia="仿宋_GB2312"/>
      <w:kern w:val="0"/>
      <w:sz w:val="28"/>
      <w:szCs w:val="20"/>
    </w:rPr>
  </w:style>
  <w:style w:type="paragraph" w:customStyle="1" w:styleId="80">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81">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82">
    <w:name w:val="font7"/>
    <w:basedOn w:val="1"/>
    <w:qFormat/>
    <w:uiPriority w:val="0"/>
    <w:pPr>
      <w:widowControl/>
      <w:spacing w:before="100" w:beforeAutospacing="1" w:after="100" w:afterAutospacing="1"/>
      <w:jc w:val="left"/>
    </w:pPr>
    <w:rPr>
      <w:kern w:val="0"/>
      <w:sz w:val="20"/>
      <w:szCs w:val="20"/>
    </w:rPr>
  </w:style>
  <w:style w:type="paragraph" w:customStyle="1" w:styleId="83">
    <w:name w:val="font8"/>
    <w:basedOn w:val="1"/>
    <w:qFormat/>
    <w:uiPriority w:val="0"/>
    <w:pPr>
      <w:widowControl/>
      <w:spacing w:before="100" w:beforeAutospacing="1" w:after="100" w:afterAutospacing="1"/>
      <w:jc w:val="left"/>
    </w:pPr>
    <w:rPr>
      <w:rFonts w:hint="eastAsia" w:ascii="宋体" w:hAnsi="宋体"/>
      <w:b/>
      <w:bCs/>
      <w:kern w:val="0"/>
      <w:sz w:val="20"/>
      <w:szCs w:val="20"/>
    </w:rPr>
  </w:style>
  <w:style w:type="paragraph" w:customStyle="1" w:styleId="84">
    <w:name w:val="font9"/>
    <w:basedOn w:val="1"/>
    <w:qFormat/>
    <w:uiPriority w:val="0"/>
    <w:pPr>
      <w:widowControl/>
      <w:spacing w:before="100" w:beforeAutospacing="1" w:after="100" w:afterAutospacing="1"/>
      <w:jc w:val="left"/>
    </w:pPr>
    <w:rPr>
      <w:b/>
      <w:bCs/>
      <w:kern w:val="0"/>
      <w:sz w:val="20"/>
      <w:szCs w:val="20"/>
    </w:rPr>
  </w:style>
  <w:style w:type="paragraph" w:customStyle="1" w:styleId="85">
    <w:name w:val="font10"/>
    <w:basedOn w:val="1"/>
    <w:qFormat/>
    <w:uiPriority w:val="0"/>
    <w:pPr>
      <w:widowControl/>
      <w:spacing w:before="100" w:beforeAutospacing="1" w:after="100" w:afterAutospacing="1"/>
      <w:jc w:val="left"/>
    </w:pPr>
    <w:rPr>
      <w:rFonts w:ascii="Arial Narrow" w:hAnsi="Arial Narrow"/>
      <w:kern w:val="0"/>
      <w:sz w:val="20"/>
      <w:szCs w:val="20"/>
    </w:rPr>
  </w:style>
  <w:style w:type="paragraph" w:customStyle="1" w:styleId="86">
    <w:name w:val="font11"/>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87">
    <w:name w:val="font12"/>
    <w:basedOn w:val="1"/>
    <w:qFormat/>
    <w:uiPriority w:val="0"/>
    <w:pPr>
      <w:widowControl/>
      <w:spacing w:before="100" w:beforeAutospacing="1" w:after="100" w:afterAutospacing="1"/>
      <w:jc w:val="left"/>
    </w:pPr>
    <w:rPr>
      <w:kern w:val="0"/>
      <w:sz w:val="20"/>
      <w:szCs w:val="20"/>
    </w:rPr>
  </w:style>
  <w:style w:type="paragraph" w:customStyle="1" w:styleId="8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8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0"/>
      <w:szCs w:val="20"/>
    </w:rPr>
  </w:style>
  <w:style w:type="paragraph" w:customStyle="1" w:styleId="9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9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kern w:val="0"/>
      <w:sz w:val="20"/>
      <w:szCs w:val="20"/>
    </w:rPr>
  </w:style>
  <w:style w:type="paragraph" w:customStyle="1" w:styleId="9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9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Narrow" w:hAnsi="Arial Narrow"/>
      <w:kern w:val="0"/>
      <w:sz w:val="20"/>
      <w:szCs w:val="20"/>
    </w:rPr>
  </w:style>
  <w:style w:type="paragraph" w:customStyle="1" w:styleId="9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0"/>
      <w:szCs w:val="20"/>
    </w:rPr>
  </w:style>
  <w:style w:type="paragraph" w:customStyle="1" w:styleId="9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9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0"/>
      <w:szCs w:val="20"/>
    </w:rPr>
  </w:style>
  <w:style w:type="paragraph" w:customStyle="1" w:styleId="9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9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00">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101">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kern w:val="0"/>
      <w:sz w:val="20"/>
      <w:szCs w:val="20"/>
    </w:rPr>
  </w:style>
  <w:style w:type="paragraph" w:customStyle="1" w:styleId="10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kern w:val="0"/>
      <w:sz w:val="20"/>
      <w:szCs w:val="20"/>
    </w:rPr>
  </w:style>
  <w:style w:type="paragraph" w:customStyle="1" w:styleId="10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106">
    <w:name w:val="xl4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07">
    <w:name w:val="xl4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0"/>
      <w:szCs w:val="20"/>
    </w:rPr>
  </w:style>
  <w:style w:type="paragraph" w:customStyle="1" w:styleId="108">
    <w:name w:val="xl4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09">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10">
    <w:name w:val="xl4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0"/>
      <w:szCs w:val="20"/>
    </w:rPr>
  </w:style>
  <w:style w:type="paragraph" w:customStyle="1" w:styleId="111">
    <w:name w:val="xl47"/>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12">
    <w:name w:val="xl4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0"/>
      <w:szCs w:val="20"/>
    </w:rPr>
  </w:style>
  <w:style w:type="paragraph" w:customStyle="1" w:styleId="113">
    <w:name w:val="xl4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kern w:val="0"/>
      <w:sz w:val="20"/>
      <w:szCs w:val="20"/>
    </w:rPr>
  </w:style>
  <w:style w:type="paragraph" w:customStyle="1" w:styleId="114">
    <w:name w:val="xl5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15">
    <w:name w:val="xl5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16">
    <w:name w:val="xl52"/>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宋体" w:hAnsi="宋体"/>
      <w:kern w:val="0"/>
      <w:sz w:val="20"/>
      <w:szCs w:val="20"/>
    </w:rPr>
  </w:style>
  <w:style w:type="paragraph" w:customStyle="1" w:styleId="117">
    <w:name w:val="xl5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18">
    <w:name w:val="xl54"/>
    <w:basedOn w:val="1"/>
    <w:qFormat/>
    <w:uiPriority w:val="0"/>
    <w:pPr>
      <w:widowControl/>
      <w:spacing w:before="100" w:beforeAutospacing="1" w:after="100" w:afterAutospacing="1"/>
      <w:jc w:val="left"/>
      <w:textAlignment w:val="center"/>
    </w:pPr>
    <w:rPr>
      <w:rFonts w:ascii="宋体" w:hAnsi="宋体"/>
      <w:kern w:val="0"/>
      <w:sz w:val="20"/>
      <w:szCs w:val="20"/>
    </w:rPr>
  </w:style>
  <w:style w:type="paragraph" w:customStyle="1" w:styleId="119">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120">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kern w:val="0"/>
      <w:sz w:val="20"/>
      <w:szCs w:val="20"/>
    </w:rPr>
  </w:style>
  <w:style w:type="paragraph" w:customStyle="1" w:styleId="121">
    <w:name w:val="xl57"/>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22">
    <w:name w:val="xl5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3">
    <w:name w:val="xl5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24">
    <w:name w:val="xl60"/>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25">
    <w:name w:val="xl61"/>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0"/>
      <w:szCs w:val="20"/>
    </w:rPr>
  </w:style>
  <w:style w:type="paragraph" w:customStyle="1" w:styleId="126">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0"/>
      <w:szCs w:val="20"/>
    </w:rPr>
  </w:style>
  <w:style w:type="paragraph" w:customStyle="1" w:styleId="12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128">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2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13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3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0"/>
      <w:szCs w:val="20"/>
    </w:rPr>
  </w:style>
  <w:style w:type="paragraph" w:customStyle="1" w:styleId="13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3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34">
    <w:name w:val="xl7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kern w:val="0"/>
      <w:sz w:val="20"/>
      <w:szCs w:val="20"/>
    </w:rPr>
  </w:style>
  <w:style w:type="paragraph" w:customStyle="1" w:styleId="13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13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37">
    <w:name w:val="xl7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138">
    <w:name w:val="IBM 正文"/>
    <w:basedOn w:val="1"/>
    <w:qFormat/>
    <w:uiPriority w:val="0"/>
    <w:pPr>
      <w:spacing w:line="400" w:lineRule="exact"/>
    </w:pPr>
    <w:rPr>
      <w:spacing w:val="20"/>
      <w:sz w:val="24"/>
    </w:rPr>
  </w:style>
  <w:style w:type="character" w:customStyle="1" w:styleId="139">
    <w:name w:val="页眉 字符"/>
    <w:basedOn w:val="48"/>
    <w:link w:val="29"/>
    <w:qFormat/>
    <w:uiPriority w:val="0"/>
    <w:rPr>
      <w:rFonts w:ascii="Times New Roman" w:hAnsi="Times New Roman" w:eastAsia="宋体" w:cs="Times New Roman"/>
      <w:sz w:val="18"/>
      <w:szCs w:val="18"/>
    </w:rPr>
  </w:style>
  <w:style w:type="character" w:customStyle="1" w:styleId="140">
    <w:name w:val="页脚 字符"/>
    <w:basedOn w:val="48"/>
    <w:link w:val="28"/>
    <w:qFormat/>
    <w:uiPriority w:val="99"/>
    <w:rPr>
      <w:rFonts w:ascii="Times New Roman" w:hAnsi="Times New Roman" w:eastAsia="宋体" w:cs="Times New Roman"/>
      <w:sz w:val="18"/>
      <w:szCs w:val="18"/>
    </w:rPr>
  </w:style>
  <w:style w:type="character" w:customStyle="1" w:styleId="141">
    <w:name w:val="日期 字符"/>
    <w:basedOn w:val="48"/>
    <w:link w:val="25"/>
    <w:qFormat/>
    <w:uiPriority w:val="0"/>
    <w:rPr>
      <w:rFonts w:ascii="Times New Roman" w:hAnsi="Times New Roman" w:eastAsia="宋体" w:cs="Times New Roman"/>
      <w:szCs w:val="20"/>
    </w:rPr>
  </w:style>
  <w:style w:type="character" w:customStyle="1" w:styleId="142">
    <w:name w:val="纯文本 Char"/>
    <w:basedOn w:val="48"/>
    <w:semiHidden/>
    <w:qFormat/>
    <w:uiPriority w:val="99"/>
    <w:rPr>
      <w:rFonts w:ascii="宋体" w:hAnsi="Courier New" w:eastAsia="宋体" w:cs="Courier New"/>
      <w:szCs w:val="21"/>
    </w:rPr>
  </w:style>
  <w:style w:type="character" w:customStyle="1" w:styleId="143">
    <w:name w:val="纯文本 字符"/>
    <w:link w:val="23"/>
    <w:qFormat/>
    <w:locked/>
    <w:uiPriority w:val="0"/>
    <w:rPr>
      <w:rFonts w:ascii="宋体" w:hAnsi="Courier New" w:eastAsia="宋体" w:cs="Times New Roman"/>
      <w:szCs w:val="20"/>
    </w:rPr>
  </w:style>
  <w:style w:type="paragraph" w:customStyle="1" w:styleId="144">
    <w:name w:val="样式 标题 3 + (中文) 黑体 小四 非加粗 段前: 7.8 磅 段后: 0 磅 行距: 固定值 20 磅"/>
    <w:basedOn w:val="4"/>
    <w:qFormat/>
    <w:uiPriority w:val="0"/>
    <w:pPr>
      <w:spacing w:before="0" w:after="0" w:line="400" w:lineRule="exact"/>
    </w:pPr>
    <w:rPr>
      <w:rFonts w:eastAsia="黑体" w:cs="宋体"/>
      <w:b w:val="0"/>
      <w:sz w:val="24"/>
    </w:rPr>
  </w:style>
  <w:style w:type="paragraph" w:customStyle="1" w:styleId="145">
    <w:name w:val="样式 标题 2 + Times New Roman 四号 非加粗 段前: 5 磅 段后: 0 磅 行距: 固定值 20..."/>
    <w:basedOn w:val="3"/>
    <w:qFormat/>
    <w:uiPriority w:val="0"/>
    <w:pPr>
      <w:spacing w:before="100" w:after="0" w:line="400" w:lineRule="exact"/>
    </w:pPr>
    <w:rPr>
      <w:rFonts w:eastAsia="黑体" w:cs="宋体"/>
      <w:b w:val="0"/>
      <w:sz w:val="28"/>
    </w:rPr>
  </w:style>
  <w:style w:type="character" w:customStyle="1" w:styleId="146">
    <w:name w:val="msoins"/>
    <w:basedOn w:val="48"/>
    <w:qFormat/>
    <w:uiPriority w:val="0"/>
  </w:style>
  <w:style w:type="character" w:customStyle="1" w:styleId="147">
    <w:name w:val="HTML 预设格式 字符"/>
    <w:basedOn w:val="48"/>
    <w:link w:val="39"/>
    <w:qFormat/>
    <w:uiPriority w:val="0"/>
    <w:rPr>
      <w:rFonts w:ascii="Arial" w:hAnsi="Arial" w:eastAsia="宋体" w:cs="Arial"/>
      <w:kern w:val="0"/>
      <w:szCs w:val="21"/>
    </w:rPr>
  </w:style>
  <w:style w:type="character" w:customStyle="1" w:styleId="148">
    <w:name w:val="正文文本 3 字符"/>
    <w:basedOn w:val="48"/>
    <w:link w:val="16"/>
    <w:qFormat/>
    <w:uiPriority w:val="0"/>
    <w:rPr>
      <w:rFonts w:ascii="Times New Roman" w:hAnsi="Times New Roman" w:eastAsia="宋体" w:cs="Times New Roman"/>
      <w:sz w:val="16"/>
      <w:szCs w:val="16"/>
    </w:rPr>
  </w:style>
  <w:style w:type="paragraph" w:customStyle="1" w:styleId="149">
    <w:name w:val="默认段落字体 Para Char Char Char Char Char Char Char Char Char1 Char Char Char Char"/>
    <w:basedOn w:val="1"/>
    <w:qFormat/>
    <w:uiPriority w:val="0"/>
    <w:rPr>
      <w:rFonts w:ascii="Tahoma" w:hAnsi="Tahoma"/>
      <w:sz w:val="24"/>
      <w:szCs w:val="20"/>
    </w:rPr>
  </w:style>
  <w:style w:type="character" w:customStyle="1" w:styleId="150">
    <w:name w:val="正文文本缩进 2 字符"/>
    <w:basedOn w:val="48"/>
    <w:link w:val="26"/>
    <w:qFormat/>
    <w:uiPriority w:val="0"/>
    <w:rPr>
      <w:rFonts w:ascii="Times New Roman" w:hAnsi="Times New Roman" w:eastAsia="宋体" w:cs="Times New Roman"/>
      <w:szCs w:val="24"/>
    </w:rPr>
  </w:style>
  <w:style w:type="paragraph" w:customStyle="1" w:styleId="151">
    <w:name w:val="_Style 1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2">
    <w:name w:val="列出段落1"/>
    <w:basedOn w:val="1"/>
    <w:qFormat/>
    <w:uiPriority w:val="34"/>
    <w:pPr>
      <w:ind w:firstLine="420" w:firstLineChars="200"/>
    </w:pPr>
    <w:rPr>
      <w:rFonts w:ascii="Calibri" w:hAnsi="Calibri"/>
      <w:szCs w:val="22"/>
    </w:rPr>
  </w:style>
  <w:style w:type="paragraph" w:customStyle="1" w:styleId="153">
    <w:name w:val="Char"/>
    <w:basedOn w:val="1"/>
    <w:next w:val="1"/>
    <w:qFormat/>
    <w:uiPriority w:val="0"/>
    <w:pPr>
      <w:widowControl/>
      <w:spacing w:after="160" w:line="240" w:lineRule="exact"/>
      <w:jc w:val="left"/>
    </w:pPr>
    <w:rPr>
      <w:rFonts w:ascii="Verdana" w:hAnsi="Verdana"/>
      <w:kern w:val="0"/>
      <w:sz w:val="20"/>
      <w:szCs w:val="20"/>
      <w:lang w:eastAsia="en-US"/>
    </w:rPr>
  </w:style>
  <w:style w:type="paragraph" w:customStyle="1" w:styleId="154">
    <w:name w:val="Char Char1 Char Char Char Char Char1 Char Char Char Char"/>
    <w:basedOn w:val="13"/>
    <w:qFormat/>
    <w:uiPriority w:val="0"/>
    <w:rPr>
      <w:rFonts w:ascii="Tahoma" w:hAnsi="Tahoma" w:eastAsia="仿宋_GB2312"/>
      <w:sz w:val="30"/>
      <w:szCs w:val="30"/>
    </w:rPr>
  </w:style>
  <w:style w:type="character" w:customStyle="1" w:styleId="155">
    <w:name w:val="文档结构图 字符"/>
    <w:basedOn w:val="48"/>
    <w:link w:val="13"/>
    <w:semiHidden/>
    <w:qFormat/>
    <w:uiPriority w:val="0"/>
    <w:rPr>
      <w:rFonts w:ascii="Times New Roman" w:hAnsi="Times New Roman" w:eastAsia="宋体" w:cs="Times New Roman"/>
      <w:szCs w:val="24"/>
      <w:shd w:val="clear" w:color="auto" w:fill="000080"/>
    </w:rPr>
  </w:style>
  <w:style w:type="character" w:customStyle="1" w:styleId="156">
    <w:name w:val="批注框文本 字符"/>
    <w:basedOn w:val="48"/>
    <w:link w:val="27"/>
    <w:semiHidden/>
    <w:qFormat/>
    <w:uiPriority w:val="0"/>
    <w:rPr>
      <w:rFonts w:ascii="Times New Roman" w:hAnsi="Times New Roman" w:eastAsia="宋体" w:cs="Times New Roman"/>
      <w:sz w:val="18"/>
      <w:szCs w:val="18"/>
    </w:rPr>
  </w:style>
  <w:style w:type="character" w:customStyle="1" w:styleId="157">
    <w:name w:val="批注文字 字符"/>
    <w:link w:val="14"/>
    <w:qFormat/>
    <w:locked/>
    <w:uiPriority w:val="0"/>
    <w:rPr>
      <w:szCs w:val="24"/>
    </w:rPr>
  </w:style>
  <w:style w:type="character" w:customStyle="1" w:styleId="158">
    <w:name w:val="批注文字 Char1"/>
    <w:basedOn w:val="48"/>
    <w:qFormat/>
    <w:uiPriority w:val="0"/>
    <w:rPr>
      <w:rFonts w:ascii="Times New Roman" w:hAnsi="Times New Roman" w:eastAsia="宋体" w:cs="Times New Roman"/>
      <w:szCs w:val="24"/>
    </w:rPr>
  </w:style>
  <w:style w:type="character" w:customStyle="1" w:styleId="159">
    <w:name w:val="标题 字符"/>
    <w:link w:val="42"/>
    <w:qFormat/>
    <w:locked/>
    <w:uiPriority w:val="0"/>
    <w:rPr>
      <w:rFonts w:ascii="Cambria" w:hAnsi="Cambria"/>
      <w:b/>
      <w:bCs/>
      <w:sz w:val="32"/>
      <w:szCs w:val="32"/>
    </w:rPr>
  </w:style>
  <w:style w:type="character" w:customStyle="1" w:styleId="160">
    <w:name w:val="标题 Char1"/>
    <w:basedOn w:val="48"/>
    <w:qFormat/>
    <w:uiPriority w:val="0"/>
    <w:rPr>
      <w:rFonts w:eastAsia="宋体" w:asciiTheme="majorHAnsi" w:hAnsiTheme="majorHAnsi" w:cstheme="majorBidi"/>
      <w:b/>
      <w:bCs/>
      <w:sz w:val="32"/>
      <w:szCs w:val="32"/>
    </w:rPr>
  </w:style>
  <w:style w:type="character" w:customStyle="1" w:styleId="161">
    <w:name w:val="副标题 字符"/>
    <w:link w:val="32"/>
    <w:qFormat/>
    <w:locked/>
    <w:uiPriority w:val="0"/>
    <w:rPr>
      <w:rFonts w:ascii="黑体" w:hAnsi="黑体" w:eastAsia="黑体"/>
      <w:bCs/>
      <w:kern w:val="28"/>
      <w:sz w:val="24"/>
      <w:szCs w:val="32"/>
    </w:rPr>
  </w:style>
  <w:style w:type="character" w:customStyle="1" w:styleId="162">
    <w:name w:val="副标题 Char1"/>
    <w:basedOn w:val="48"/>
    <w:qFormat/>
    <w:uiPriority w:val="0"/>
    <w:rPr>
      <w:rFonts w:eastAsia="宋体" w:asciiTheme="majorHAnsi" w:hAnsiTheme="majorHAnsi" w:cstheme="majorBidi"/>
      <w:b/>
      <w:bCs/>
      <w:kern w:val="28"/>
      <w:sz w:val="32"/>
      <w:szCs w:val="32"/>
    </w:rPr>
  </w:style>
  <w:style w:type="character" w:customStyle="1" w:styleId="163">
    <w:name w:val="正文文本缩进 3 字符"/>
    <w:link w:val="35"/>
    <w:qFormat/>
    <w:locked/>
    <w:uiPriority w:val="0"/>
    <w:rPr>
      <w:rFonts w:ascii="宋体" w:hAnsi="宋体"/>
      <w:sz w:val="24"/>
    </w:rPr>
  </w:style>
  <w:style w:type="character" w:customStyle="1" w:styleId="164">
    <w:name w:val="正文文本缩进 3 Char1"/>
    <w:basedOn w:val="48"/>
    <w:qFormat/>
    <w:uiPriority w:val="0"/>
    <w:rPr>
      <w:rFonts w:ascii="Times New Roman" w:hAnsi="Times New Roman" w:eastAsia="宋体" w:cs="Times New Roman"/>
      <w:sz w:val="16"/>
      <w:szCs w:val="16"/>
    </w:rPr>
  </w:style>
  <w:style w:type="character" w:customStyle="1" w:styleId="165">
    <w:name w:val="批注主题 字符"/>
    <w:link w:val="43"/>
    <w:qFormat/>
    <w:locked/>
    <w:uiPriority w:val="0"/>
    <w:rPr>
      <w:b/>
      <w:bCs/>
      <w:szCs w:val="24"/>
    </w:rPr>
  </w:style>
  <w:style w:type="character" w:customStyle="1" w:styleId="166">
    <w:name w:val="批注主题 Char1"/>
    <w:basedOn w:val="158"/>
    <w:qFormat/>
    <w:uiPriority w:val="0"/>
    <w:rPr>
      <w:rFonts w:ascii="Times New Roman" w:hAnsi="Times New Roman" w:eastAsia="宋体" w:cs="Times New Roman"/>
      <w:b/>
      <w:bCs/>
      <w:szCs w:val="24"/>
    </w:rPr>
  </w:style>
  <w:style w:type="paragraph" w:customStyle="1" w:styleId="167">
    <w:name w:val="Char Char Char Char"/>
    <w:basedOn w:val="1"/>
    <w:next w:val="1"/>
    <w:qFormat/>
    <w:uiPriority w:val="0"/>
    <w:pPr>
      <w:widowControl/>
      <w:spacing w:after="160" w:line="240" w:lineRule="exact"/>
      <w:jc w:val="left"/>
    </w:pPr>
    <w:rPr>
      <w:rFonts w:ascii="Verdana" w:hAnsi="Verdana"/>
      <w:kern w:val="0"/>
      <w:sz w:val="20"/>
      <w:szCs w:val="20"/>
      <w:lang w:eastAsia="en-US"/>
    </w:rPr>
  </w:style>
  <w:style w:type="paragraph" w:customStyle="1" w:styleId="168">
    <w:name w:val="表格文字"/>
    <w:basedOn w:val="1"/>
    <w:qFormat/>
    <w:uiPriority w:val="0"/>
    <w:pPr>
      <w:adjustRightInd w:val="0"/>
      <w:spacing w:line="420" w:lineRule="atLeast"/>
      <w:jc w:val="left"/>
    </w:pPr>
    <w:rPr>
      <w:kern w:val="0"/>
      <w:szCs w:val="20"/>
    </w:rPr>
  </w:style>
  <w:style w:type="paragraph" w:customStyle="1" w:styleId="169">
    <w:name w:val="bb"/>
    <w:basedOn w:val="1"/>
    <w:qFormat/>
    <w:uiPriority w:val="0"/>
    <w:pPr>
      <w:widowControl/>
      <w:spacing w:before="100" w:beforeAutospacing="1" w:after="100" w:afterAutospacing="1"/>
      <w:jc w:val="left"/>
    </w:pPr>
    <w:rPr>
      <w:rFonts w:ascii="宋体" w:hAnsi="宋体" w:cs="宋体"/>
      <w:b/>
      <w:bCs/>
      <w:color w:val="990000"/>
      <w:kern w:val="0"/>
      <w:szCs w:val="21"/>
    </w:rPr>
  </w:style>
  <w:style w:type="paragraph" w:customStyle="1" w:styleId="170">
    <w:name w:val="样式7"/>
    <w:basedOn w:val="1"/>
    <w:qFormat/>
    <w:uiPriority w:val="0"/>
    <w:pPr>
      <w:spacing w:line="500" w:lineRule="exact"/>
      <w:jc w:val="center"/>
    </w:pPr>
    <w:rPr>
      <w:rFonts w:ascii="宋体"/>
      <w:b/>
      <w:sz w:val="32"/>
      <w:szCs w:val="20"/>
    </w:rPr>
  </w:style>
  <w:style w:type="paragraph" w:customStyle="1" w:styleId="171">
    <w:name w:val="Char2"/>
    <w:basedOn w:val="1"/>
    <w:qFormat/>
    <w:uiPriority w:val="0"/>
    <w:pPr>
      <w:spacing w:line="400" w:lineRule="exact"/>
    </w:pPr>
    <w:rPr>
      <w:rFonts w:ascii="Tahoma" w:hAnsi="Tahoma"/>
      <w:sz w:val="24"/>
      <w:szCs w:val="20"/>
    </w:rPr>
  </w:style>
  <w:style w:type="paragraph" w:customStyle="1" w:styleId="172">
    <w:name w:val="Char1 Char Char Char Char Char Char"/>
    <w:basedOn w:val="1"/>
    <w:qFormat/>
    <w:uiPriority w:val="0"/>
    <w:pPr>
      <w:ind w:firstLine="360" w:firstLineChars="150"/>
    </w:pPr>
    <w:rPr>
      <w:rFonts w:ascii="Tahoma" w:hAnsi="Tahoma"/>
      <w:sz w:val="24"/>
      <w:szCs w:val="20"/>
    </w:rPr>
  </w:style>
  <w:style w:type="character" w:customStyle="1" w:styleId="173">
    <w:name w:val="style18"/>
    <w:basedOn w:val="48"/>
    <w:qFormat/>
    <w:uiPriority w:val="0"/>
  </w:style>
  <w:style w:type="character" w:customStyle="1" w:styleId="174">
    <w:name w:val="普通文字 Char Char2"/>
    <w:qFormat/>
    <w:locked/>
    <w:uiPriority w:val="0"/>
    <w:rPr>
      <w:rFonts w:ascii="宋体" w:hAnsi="Courier New" w:eastAsia="宋体"/>
    </w:rPr>
  </w:style>
  <w:style w:type="paragraph" w:customStyle="1" w:styleId="175">
    <w:name w:val="列出段落11"/>
    <w:basedOn w:val="1"/>
    <w:qFormat/>
    <w:uiPriority w:val="99"/>
    <w:pPr>
      <w:ind w:firstLine="420" w:firstLineChars="200"/>
    </w:pPr>
    <w:rPr>
      <w:rFonts w:ascii="Calibri" w:hAnsi="Calibri"/>
      <w:szCs w:val="22"/>
    </w:rPr>
  </w:style>
  <w:style w:type="paragraph" w:customStyle="1" w:styleId="176">
    <w:name w:val="正文缩进1"/>
    <w:basedOn w:val="1"/>
    <w:next w:val="18"/>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177">
    <w:name w:val="正文2"/>
    <w:basedOn w:val="1"/>
    <w:qFormat/>
    <w:uiPriority w:val="0"/>
    <w:pPr>
      <w:spacing w:before="156" w:line="360" w:lineRule="auto"/>
      <w:ind w:firstLine="510" w:firstLineChars="200"/>
    </w:pPr>
    <w:rPr>
      <w:rFonts w:ascii="Calibri" w:hAnsi="Calibri"/>
      <w:sz w:val="24"/>
      <w:szCs w:val="20"/>
    </w:rPr>
  </w:style>
  <w:style w:type="character" w:customStyle="1" w:styleId="178">
    <w:name w:val="正文缩进 字符"/>
    <w:link w:val="12"/>
    <w:qFormat/>
    <w:uiPriority w:val="0"/>
    <w:rPr>
      <w:rFonts w:ascii="Times New Roman" w:hAnsi="Times New Roman" w:eastAsia="宋体" w:cs="Times New Roman"/>
      <w:szCs w:val="20"/>
    </w:rPr>
  </w:style>
  <w:style w:type="paragraph" w:customStyle="1" w:styleId="179">
    <w:name w:val="Char Char Char"/>
    <w:basedOn w:val="1"/>
    <w:qFormat/>
    <w:uiPriority w:val="0"/>
    <w:rPr>
      <w:kern w:val="0"/>
      <w:sz w:val="24"/>
      <w:szCs w:val="20"/>
    </w:rPr>
  </w:style>
  <w:style w:type="paragraph" w:customStyle="1" w:styleId="180">
    <w:name w:val="TOC 标题1"/>
    <w:basedOn w:val="2"/>
    <w:next w:val="1"/>
    <w:unhideWhenUsed/>
    <w:qFormat/>
    <w:uiPriority w:val="39"/>
    <w:pPr>
      <w:widowControl/>
      <w:spacing w:before="240" w:after="0" w:line="259" w:lineRule="auto"/>
      <w:outlineLvl w:val="9"/>
    </w:pPr>
    <w:rPr>
      <w:rFonts w:asciiTheme="majorHAnsi" w:hAnsiTheme="majorHAnsi" w:eastAsiaTheme="majorEastAsia" w:cstheme="majorBidi"/>
      <w:b w:val="0"/>
      <w:color w:val="2E75B6" w:themeColor="accent1" w:themeShade="BF"/>
      <w:kern w:val="0"/>
      <w:sz w:val="32"/>
      <w:szCs w:val="32"/>
    </w:rPr>
  </w:style>
  <w:style w:type="paragraph" w:customStyle="1" w:styleId="181">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82">
    <w:name w:val="flName"/>
    <w:basedOn w:val="181"/>
    <w:qFormat/>
    <w:uiPriority w:val="0"/>
    <w:rPr>
      <w:sz w:val="32"/>
    </w:rPr>
  </w:style>
  <w:style w:type="paragraph" w:styleId="183">
    <w:name w:val="List Paragraph"/>
    <w:basedOn w:val="1"/>
    <w:qFormat/>
    <w:uiPriority w:val="34"/>
    <w:pPr>
      <w:ind w:firstLine="420" w:firstLineChars="200"/>
    </w:pPr>
  </w:style>
  <w:style w:type="character" w:customStyle="1" w:styleId="184">
    <w:name w:val="标题 1 Char"/>
    <w:qFormat/>
    <w:uiPriority w:val="0"/>
    <w:rPr>
      <w:b/>
      <w:bCs/>
      <w:kern w:val="44"/>
      <w:sz w:val="44"/>
      <w:szCs w:val="44"/>
    </w:rPr>
  </w:style>
  <w:style w:type="character" w:customStyle="1" w:styleId="185">
    <w:name w:val="标题 2 Char"/>
    <w:qFormat/>
    <w:uiPriority w:val="0"/>
    <w:rPr>
      <w:rFonts w:ascii="Arial" w:hAnsi="Arial" w:eastAsia="黑体"/>
      <w:b/>
      <w:bCs/>
      <w:sz w:val="32"/>
      <w:szCs w:val="32"/>
    </w:rPr>
  </w:style>
  <w:style w:type="character" w:customStyle="1" w:styleId="186">
    <w:name w:val="标题 3 Char"/>
    <w:qFormat/>
    <w:uiPriority w:val="0"/>
    <w:rPr>
      <w:b/>
      <w:bCs/>
      <w:sz w:val="32"/>
      <w:szCs w:val="32"/>
    </w:rPr>
  </w:style>
  <w:style w:type="character" w:customStyle="1" w:styleId="187">
    <w:name w:val="标题 5 Char"/>
    <w:qFormat/>
    <w:uiPriority w:val="0"/>
    <w:rPr>
      <w:b/>
      <w:bCs/>
      <w:sz w:val="28"/>
      <w:szCs w:val="28"/>
    </w:rPr>
  </w:style>
  <w:style w:type="character" w:customStyle="1" w:styleId="188">
    <w:name w:val="页眉 Char"/>
    <w:qFormat/>
    <w:uiPriority w:val="0"/>
    <w:rPr>
      <w:rFonts w:eastAsia="宋体"/>
      <w:sz w:val="18"/>
      <w:lang w:val="en-US" w:eastAsia="zh-CN" w:bidi="ar-SA"/>
    </w:rPr>
  </w:style>
  <w:style w:type="character" w:customStyle="1" w:styleId="189">
    <w:name w:val="页脚 Char"/>
    <w:qFormat/>
    <w:uiPriority w:val="0"/>
    <w:rPr>
      <w:sz w:val="18"/>
    </w:rPr>
  </w:style>
  <w:style w:type="paragraph" w:customStyle="1" w:styleId="190">
    <w:name w:val="样式 标题 1 + 四号 居中 段前: 12 磅 段后: 12 磅 行距: 单倍行距"/>
    <w:basedOn w:val="2"/>
    <w:qFormat/>
    <w:uiPriority w:val="0"/>
    <w:pPr>
      <w:adjustRightInd w:val="0"/>
      <w:spacing w:before="240" w:after="240" w:line="240" w:lineRule="auto"/>
      <w:ind w:left="-288" w:firstLine="288"/>
      <w:jc w:val="center"/>
      <w:textAlignment w:val="baseline"/>
    </w:pPr>
    <w:rPr>
      <w:bCs/>
      <w:sz w:val="28"/>
    </w:rPr>
  </w:style>
  <w:style w:type="paragraph" w:customStyle="1" w:styleId="191">
    <w:name w:val="样式 标题 2 + 宋体 五号 非加粗 黑色"/>
    <w:basedOn w:val="3"/>
    <w:qFormat/>
    <w:uiPriority w:val="0"/>
    <w:pPr>
      <w:tabs>
        <w:tab w:val="left" w:pos="1140"/>
      </w:tabs>
      <w:adjustRightInd w:val="0"/>
      <w:spacing w:line="416" w:lineRule="atLeast"/>
      <w:ind w:left="1140" w:hanging="720"/>
      <w:jc w:val="left"/>
      <w:textAlignment w:val="baseline"/>
    </w:pPr>
    <w:rPr>
      <w:rFonts w:ascii="宋体" w:hAnsi="宋体"/>
      <w:b w:val="0"/>
      <w:color w:val="000000"/>
      <w:kern w:val="0"/>
      <w:sz w:val="21"/>
      <w:szCs w:val="32"/>
    </w:rPr>
  </w:style>
  <w:style w:type="character" w:customStyle="1" w:styleId="192">
    <w:name w:val="纯文本 Char1"/>
    <w:qFormat/>
    <w:locked/>
    <w:uiPriority w:val="0"/>
    <w:rPr>
      <w:rFonts w:ascii="宋体" w:hAnsi="Courier New"/>
      <w:kern w:val="2"/>
      <w:sz w:val="21"/>
      <w:szCs w:val="21"/>
    </w:rPr>
  </w:style>
  <w:style w:type="paragraph" w:customStyle="1" w:styleId="193">
    <w:name w:val="样式1"/>
    <w:basedOn w:val="1"/>
    <w:qFormat/>
    <w:uiPriority w:val="0"/>
    <w:pPr>
      <w:numPr>
        <w:ilvl w:val="0"/>
        <w:numId w:val="3"/>
      </w:numPr>
      <w:adjustRightInd w:val="0"/>
      <w:textAlignment w:val="baseline"/>
    </w:pPr>
    <w:rPr>
      <w:rFonts w:ascii="宋体" w:hAnsi="宋体"/>
      <w:kern w:val="0"/>
      <w:szCs w:val="21"/>
    </w:rPr>
  </w:style>
  <w:style w:type="paragraph" w:customStyle="1" w:styleId="194">
    <w:name w:val="样式 标题 3h3H3sect1.2.3 + 五号 段前: 6 磅 段后: 6 磅 行距: 单倍行距"/>
    <w:basedOn w:val="4"/>
    <w:qFormat/>
    <w:uiPriority w:val="0"/>
    <w:pPr>
      <w:tabs>
        <w:tab w:val="left" w:pos="1260"/>
      </w:tabs>
      <w:adjustRightInd w:val="0"/>
      <w:spacing w:before="120" w:after="120" w:line="240" w:lineRule="auto"/>
      <w:ind w:left="1260" w:hanging="420"/>
      <w:jc w:val="left"/>
      <w:textAlignment w:val="baseline"/>
    </w:pPr>
    <w:rPr>
      <w:bCs/>
      <w:kern w:val="0"/>
      <w:sz w:val="21"/>
    </w:rPr>
  </w:style>
  <w:style w:type="paragraph" w:customStyle="1" w:styleId="195">
    <w:name w:val="样式 标题 4 + 段前: 5 磅 段后: 5 磅 行距: 单倍行距"/>
    <w:basedOn w:val="5"/>
    <w:qFormat/>
    <w:uiPriority w:val="0"/>
    <w:pPr>
      <w:keepLines/>
      <w:widowControl w:val="0"/>
      <w:tabs>
        <w:tab w:val="left" w:pos="1680"/>
        <w:tab w:val="clear" w:pos="2356"/>
      </w:tabs>
      <w:adjustRightInd w:val="0"/>
      <w:spacing w:before="100" w:after="100" w:line="240" w:lineRule="auto"/>
      <w:ind w:left="1680" w:hanging="420"/>
      <w:jc w:val="left"/>
      <w:textAlignment w:val="baseline"/>
    </w:pPr>
    <w:rPr>
      <w:rFonts w:ascii="Arial" w:eastAsia="黑体"/>
      <w:bCs/>
      <w:sz w:val="28"/>
    </w:rPr>
  </w:style>
  <w:style w:type="paragraph" w:customStyle="1" w:styleId="196">
    <w:name w:val="样式2"/>
    <w:basedOn w:val="1"/>
    <w:qFormat/>
    <w:uiPriority w:val="0"/>
    <w:pPr>
      <w:tabs>
        <w:tab w:val="left" w:pos="567"/>
      </w:tabs>
      <w:adjustRightInd w:val="0"/>
      <w:ind w:left="567" w:hanging="567"/>
      <w:textAlignment w:val="baseline"/>
    </w:pPr>
    <w:rPr>
      <w:rFonts w:ascii="宋体" w:hAnsi="宋体"/>
      <w:kern w:val="0"/>
      <w:szCs w:val="21"/>
    </w:rPr>
  </w:style>
  <w:style w:type="paragraph" w:customStyle="1" w:styleId="197">
    <w:name w:val="样式 样式 样式 样式 标题 2 + 宋体 五号 非加粗 黑色 + 段前: 6 磅 段后: 0 磅 行距: 单倍行距 + 段前:..."/>
    <w:basedOn w:val="198"/>
    <w:qFormat/>
    <w:uiPriority w:val="0"/>
    <w:pPr>
      <w:tabs>
        <w:tab w:val="left" w:pos="1140"/>
      </w:tabs>
    </w:pPr>
    <w:rPr>
      <w:b/>
      <w:bCs/>
    </w:rPr>
  </w:style>
  <w:style w:type="paragraph" w:customStyle="1" w:styleId="198">
    <w:name w:val="样式 样式 样式 标题 2 + 宋体 五号 非加粗 黑色 + 段前: 6 磅 段后: 0 磅 行距: 单倍行距 + 段前: 12..."/>
    <w:basedOn w:val="199"/>
    <w:qFormat/>
    <w:uiPriority w:val="0"/>
    <w:pPr>
      <w:tabs>
        <w:tab w:val="left" w:pos="1140"/>
      </w:tabs>
      <w:spacing w:before="240"/>
    </w:pPr>
  </w:style>
  <w:style w:type="paragraph" w:customStyle="1" w:styleId="199">
    <w:name w:val="样式 样式 标题 2 + 宋体 五号 非加粗 黑色 + 段前: 6 磅 段后: 0 磅 行距: 单倍行距"/>
    <w:basedOn w:val="191"/>
    <w:qFormat/>
    <w:uiPriority w:val="0"/>
    <w:pPr>
      <w:spacing w:before="120" w:after="0" w:line="240" w:lineRule="auto"/>
    </w:pPr>
    <w:rPr>
      <w:szCs w:val="20"/>
    </w:rPr>
  </w:style>
  <w:style w:type="paragraph" w:customStyle="1" w:styleId="200">
    <w:name w:val="样式 宋体 五号 两端对齐 行距: 单倍行距"/>
    <w:basedOn w:val="1"/>
    <w:qFormat/>
    <w:uiPriority w:val="0"/>
    <w:pPr>
      <w:adjustRightInd w:val="0"/>
      <w:textAlignment w:val="baseline"/>
    </w:pPr>
    <w:rPr>
      <w:rFonts w:ascii="宋体" w:hAnsi="宋体"/>
      <w:kern w:val="0"/>
      <w:szCs w:val="20"/>
    </w:rPr>
  </w:style>
  <w:style w:type="character" w:customStyle="1" w:styleId="201">
    <w:name w:val="样式1 Char"/>
    <w:qFormat/>
    <w:uiPriority w:val="0"/>
    <w:rPr>
      <w:rFonts w:ascii="宋体" w:hAnsi="宋体" w:eastAsia="宋体"/>
      <w:sz w:val="21"/>
      <w:szCs w:val="21"/>
      <w:lang w:val="en-US" w:eastAsia="zh-CN" w:bidi="ar-SA"/>
    </w:rPr>
  </w:style>
  <w:style w:type="paragraph" w:customStyle="1" w:styleId="202">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03">
    <w:name w:val="样式 宋体 五号 两端对齐 行距: 单倍行距1"/>
    <w:basedOn w:val="1"/>
    <w:qFormat/>
    <w:uiPriority w:val="0"/>
    <w:pPr>
      <w:adjustRightInd w:val="0"/>
      <w:textAlignment w:val="baseline"/>
    </w:pPr>
    <w:rPr>
      <w:rFonts w:ascii="宋体" w:hAnsi="宋体"/>
      <w:kern w:val="0"/>
      <w:szCs w:val="20"/>
    </w:rPr>
  </w:style>
  <w:style w:type="paragraph" w:customStyle="1" w:styleId="204">
    <w:name w:val="Body Text 21"/>
    <w:basedOn w:val="1"/>
    <w:qFormat/>
    <w:uiPriority w:val="0"/>
    <w:pPr>
      <w:adjustRightInd w:val="0"/>
      <w:spacing w:before="240" w:line="400" w:lineRule="exact"/>
      <w:ind w:firstLine="357"/>
      <w:textAlignment w:val="baseline"/>
    </w:pPr>
    <w:rPr>
      <w:sz w:val="28"/>
      <w:szCs w:val="20"/>
    </w:rPr>
  </w:style>
  <w:style w:type="paragraph" w:customStyle="1" w:styleId="205">
    <w:name w:val="Body Text Indent 21"/>
    <w:basedOn w:val="1"/>
    <w:qFormat/>
    <w:uiPriority w:val="0"/>
    <w:pPr>
      <w:adjustRightInd w:val="0"/>
      <w:ind w:left="720" w:hanging="720"/>
      <w:textAlignment w:val="baseline"/>
    </w:pPr>
    <w:rPr>
      <w:b/>
      <w:sz w:val="28"/>
      <w:szCs w:val="20"/>
    </w:rPr>
  </w:style>
  <w:style w:type="paragraph" w:customStyle="1" w:styleId="206">
    <w:name w:val="PMletterTextBullet"/>
    <w:basedOn w:val="207"/>
    <w:qFormat/>
    <w:uiPriority w:val="0"/>
    <w:pPr>
      <w:tabs>
        <w:tab w:val="left" w:pos="840"/>
        <w:tab w:val="left" w:pos="1800"/>
      </w:tabs>
      <w:ind w:left="1800" w:hanging="360"/>
    </w:pPr>
  </w:style>
  <w:style w:type="paragraph" w:customStyle="1" w:styleId="207">
    <w:name w:val="PMletterText"/>
    <w:basedOn w:val="208"/>
    <w:qFormat/>
    <w:uiPriority w:val="0"/>
    <w:pPr>
      <w:spacing w:before="240"/>
      <w:ind w:left="720"/>
    </w:pPr>
  </w:style>
  <w:style w:type="paragraph" w:customStyle="1" w:styleId="208">
    <w:name w:val="PMstyle"/>
    <w:qFormat/>
    <w:uiPriority w:val="0"/>
    <w:rPr>
      <w:rFonts w:ascii="Tahoma" w:hAnsi="Tahoma" w:eastAsia="宋体" w:cs="Times New Roman"/>
      <w:sz w:val="22"/>
      <w:lang w:val="en-US" w:eastAsia="zh-CN" w:bidi="ar-SA"/>
    </w:rPr>
  </w:style>
  <w:style w:type="paragraph" w:customStyle="1" w:styleId="209">
    <w:name w:val="PMtextBullet"/>
    <w:basedOn w:val="208"/>
    <w:qFormat/>
    <w:uiPriority w:val="0"/>
    <w:pPr>
      <w:tabs>
        <w:tab w:val="left" w:pos="2520"/>
      </w:tabs>
      <w:spacing w:after="200"/>
      <w:ind w:left="2520" w:firstLine="288"/>
    </w:pPr>
  </w:style>
  <w:style w:type="character" w:customStyle="1" w:styleId="210">
    <w:name w:val="批注框文本 Char"/>
    <w:qFormat/>
    <w:uiPriority w:val="0"/>
    <w:rPr>
      <w:rFonts w:eastAsia="宋体"/>
      <w:sz w:val="18"/>
      <w:szCs w:val="18"/>
      <w:lang w:val="en-US" w:eastAsia="zh-CN" w:bidi="ar-SA"/>
    </w:rPr>
  </w:style>
  <w:style w:type="character" w:customStyle="1" w:styleId="211">
    <w:name w:val="正文缩进 Char1"/>
    <w:qFormat/>
    <w:uiPriority w:val="0"/>
    <w:rPr>
      <w:sz w:val="24"/>
    </w:rPr>
  </w:style>
  <w:style w:type="paragraph" w:customStyle="1" w:styleId="212">
    <w:name w:val="样式 标题 5 + 段前: 5 磅 段后: 5 磅 行距: 单倍行距"/>
    <w:basedOn w:val="6"/>
    <w:qFormat/>
    <w:uiPriority w:val="0"/>
    <w:pPr>
      <w:numPr>
        <w:ilvl w:val="0"/>
        <w:numId w:val="0"/>
      </w:numPr>
      <w:tabs>
        <w:tab w:val="left" w:pos="2100"/>
      </w:tabs>
      <w:spacing w:before="100" w:after="100" w:line="240" w:lineRule="auto"/>
      <w:ind w:left="2100" w:hanging="420"/>
      <w:jc w:val="left"/>
    </w:pPr>
    <w:rPr>
      <w:rFonts w:ascii="Times New Roman" w:eastAsia="宋体"/>
      <w:bCs/>
    </w:rPr>
  </w:style>
  <w:style w:type="paragraph" w:customStyle="1" w:styleId="213">
    <w:name w:val="样式 样式 标题 4 + 段前: 5 磅 段后: 5 磅 行距: 单倍行距 + 五号"/>
    <w:basedOn w:val="195"/>
    <w:qFormat/>
    <w:uiPriority w:val="0"/>
    <w:rPr>
      <w:sz w:val="21"/>
    </w:rPr>
  </w:style>
  <w:style w:type="paragraph" w:customStyle="1" w:styleId="214">
    <w:name w:val="样式 样式 标题 5 + 段前: 5 磅 段后: 5 磅 行距: 单倍行距 + 五号"/>
    <w:basedOn w:val="212"/>
    <w:qFormat/>
    <w:uiPriority w:val="0"/>
    <w:rPr>
      <w:sz w:val="21"/>
    </w:rPr>
  </w:style>
  <w:style w:type="paragraph" w:customStyle="1" w:styleId="215">
    <w:name w:val="样式 标题 2 + 宋体 五号 行距: 单倍行距"/>
    <w:basedOn w:val="3"/>
    <w:qFormat/>
    <w:uiPriority w:val="0"/>
    <w:pPr>
      <w:tabs>
        <w:tab w:val="left" w:pos="1140"/>
      </w:tabs>
      <w:adjustRightInd w:val="0"/>
      <w:spacing w:line="240" w:lineRule="auto"/>
      <w:ind w:left="1140" w:hanging="720"/>
      <w:jc w:val="left"/>
      <w:textAlignment w:val="baseline"/>
    </w:pPr>
    <w:rPr>
      <w:rFonts w:ascii="宋体" w:hAnsi="宋体"/>
      <w:bCs/>
      <w:kern w:val="0"/>
      <w:sz w:val="21"/>
    </w:rPr>
  </w:style>
  <w:style w:type="character" w:customStyle="1" w:styleId="216">
    <w:name w:val="正文文本缩进 Char"/>
    <w:qFormat/>
    <w:uiPriority w:val="0"/>
    <w:rPr>
      <w:rFonts w:ascii="宋体" w:hAnsi="宋体" w:eastAsia="宋体"/>
      <w:sz w:val="24"/>
      <w:szCs w:val="21"/>
      <w:lang w:val="en-US" w:eastAsia="zh-CN" w:bidi="ar-SA"/>
    </w:rPr>
  </w:style>
  <w:style w:type="character" w:customStyle="1" w:styleId="217">
    <w:name w:val="正文文本缩进 3 Char"/>
    <w:qFormat/>
    <w:uiPriority w:val="0"/>
    <w:rPr>
      <w:sz w:val="28"/>
    </w:rPr>
  </w:style>
  <w:style w:type="character" w:customStyle="1" w:styleId="218">
    <w:name w:val="正文文本 Char"/>
    <w:qFormat/>
    <w:locked/>
    <w:uiPriority w:val="99"/>
    <w:rPr>
      <w:kern w:val="2"/>
      <w:sz w:val="28"/>
    </w:rPr>
  </w:style>
  <w:style w:type="paragraph" w:customStyle="1" w:styleId="219">
    <w:name w:val="正文列表"/>
    <w:basedOn w:val="1"/>
    <w:qFormat/>
    <w:uiPriority w:val="0"/>
    <w:pPr>
      <w:numPr>
        <w:ilvl w:val="0"/>
        <w:numId w:val="4"/>
      </w:numPr>
      <w:adjustRightInd w:val="0"/>
      <w:spacing w:after="120" w:line="360" w:lineRule="exact"/>
    </w:pPr>
    <w:rPr>
      <w:rFonts w:ascii="楷体" w:eastAsia="楷体"/>
      <w:sz w:val="24"/>
      <w:szCs w:val="20"/>
    </w:rPr>
  </w:style>
  <w:style w:type="paragraph" w:customStyle="1" w:styleId="220">
    <w:name w:val="标准正文"/>
    <w:basedOn w:val="18"/>
    <w:link w:val="221"/>
    <w:qFormat/>
    <w:uiPriority w:val="0"/>
    <w:pPr>
      <w:spacing w:before="60" w:after="60" w:line="360" w:lineRule="auto"/>
      <w:ind w:firstLine="482"/>
    </w:pPr>
    <w:rPr>
      <w:rFonts w:hAnsi="宋体"/>
      <w:sz w:val="24"/>
      <w:szCs w:val="21"/>
    </w:rPr>
  </w:style>
  <w:style w:type="character" w:customStyle="1" w:styleId="221">
    <w:name w:val="标准正文 Char"/>
    <w:link w:val="220"/>
    <w:qFormat/>
    <w:uiPriority w:val="0"/>
    <w:rPr>
      <w:rFonts w:ascii="宋体" w:hAnsi="宋体" w:eastAsia="宋体" w:cs="Times New Roman"/>
      <w:kern w:val="2"/>
      <w:sz w:val="24"/>
      <w:szCs w:val="21"/>
    </w:rPr>
  </w:style>
  <w:style w:type="paragraph" w:customStyle="1" w:styleId="222">
    <w:name w:val="样式6"/>
    <w:basedOn w:val="1"/>
    <w:qFormat/>
    <w:uiPriority w:val="0"/>
    <w:pPr>
      <w:numPr>
        <w:ilvl w:val="1"/>
        <w:numId w:val="5"/>
      </w:numPr>
      <w:spacing w:line="360" w:lineRule="auto"/>
      <w:jc w:val="left"/>
    </w:pPr>
    <w:rPr>
      <w:sz w:val="24"/>
    </w:rPr>
  </w:style>
  <w:style w:type="paragraph" w:customStyle="1" w:styleId="223">
    <w:name w:val="Char5"/>
    <w:basedOn w:val="1"/>
    <w:qFormat/>
    <w:uiPriority w:val="0"/>
    <w:rPr>
      <w:rFonts w:ascii="Tahoma" w:hAnsi="Tahoma"/>
      <w:sz w:val="24"/>
      <w:szCs w:val="20"/>
    </w:rPr>
  </w:style>
  <w:style w:type="paragraph" w:customStyle="1" w:styleId="224">
    <w:name w:val="Char1 Char Char Char"/>
    <w:basedOn w:val="1"/>
    <w:qFormat/>
    <w:uiPriority w:val="0"/>
    <w:rPr>
      <w:rFonts w:ascii="Tahoma" w:hAnsi="Tahoma"/>
      <w:sz w:val="24"/>
      <w:szCs w:val="20"/>
    </w:rPr>
  </w:style>
  <w:style w:type="paragraph" w:customStyle="1" w:styleId="225">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6">
    <w:name w:val="正  文"/>
    <w:basedOn w:val="1"/>
    <w:qFormat/>
    <w:uiPriority w:val="0"/>
    <w:pPr>
      <w:spacing w:line="350" w:lineRule="exact"/>
      <w:ind w:firstLine="200" w:firstLineChars="200"/>
    </w:pPr>
    <w:rPr>
      <w:rFonts w:ascii="宋体"/>
    </w:rPr>
  </w:style>
  <w:style w:type="paragraph" w:customStyle="1" w:styleId="227">
    <w:name w:val="样式 样式 正文文本 + 黑色 首行缩进:  1.67 字符 + 首行缩进:  1.62 字符"/>
    <w:basedOn w:val="1"/>
    <w:qFormat/>
    <w:uiPriority w:val="0"/>
    <w:pPr>
      <w:spacing w:line="350" w:lineRule="exact"/>
      <w:ind w:firstLine="200" w:firstLineChars="200"/>
    </w:pPr>
    <w:rPr>
      <w:rFonts w:ascii="宋体" w:hAnsi="宋体" w:cs="宋体"/>
      <w:color w:val="000000"/>
      <w:szCs w:val="20"/>
    </w:rPr>
  </w:style>
  <w:style w:type="paragraph" w:customStyle="1" w:styleId="228">
    <w:name w:val="样式 标题 3标题4标题 3 CharH3l3CTBOD 0h3sect1.2.33rd level3Le..."/>
    <w:basedOn w:val="4"/>
    <w:qFormat/>
    <w:uiPriority w:val="0"/>
    <w:pPr>
      <w:spacing w:beforeLines="20" w:afterLines="20" w:line="240" w:lineRule="auto"/>
      <w:jc w:val="left"/>
    </w:pPr>
    <w:rPr>
      <w:rFonts w:ascii="宋体" w:hAnsi="宋体" w:eastAsia="黑体" w:cs="宋体"/>
      <w:bCs/>
      <w:color w:val="000000"/>
      <w:sz w:val="21"/>
      <w:szCs w:val="21"/>
    </w:rPr>
  </w:style>
  <w:style w:type="character" w:customStyle="1" w:styleId="229">
    <w:name w:val="批注文字 Char"/>
    <w:semiHidden/>
    <w:qFormat/>
    <w:uiPriority w:val="99"/>
    <w:rPr>
      <w:kern w:val="2"/>
      <w:sz w:val="21"/>
    </w:rPr>
  </w:style>
  <w:style w:type="paragraph" w:customStyle="1" w:styleId="230">
    <w:name w:val="Char1"/>
    <w:basedOn w:val="1"/>
    <w:qFormat/>
    <w:uiPriority w:val="0"/>
    <w:pPr>
      <w:ind w:firstLine="200" w:firstLineChars="200"/>
      <w:jc w:val="left"/>
    </w:pPr>
    <w:rPr>
      <w:rFonts w:ascii="宋体" w:hAnsi="宋体" w:cs="Courier New"/>
      <w:bCs/>
      <w:color w:val="000000"/>
      <w:sz w:val="32"/>
      <w:szCs w:val="32"/>
    </w:rPr>
  </w:style>
  <w:style w:type="paragraph" w:customStyle="1" w:styleId="231">
    <w:name w:val="普通文字"/>
    <w:basedOn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232">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233">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character" w:customStyle="1" w:styleId="234">
    <w:name w:val="日期 Char"/>
    <w:qFormat/>
    <w:uiPriority w:val="0"/>
    <w:rPr>
      <w:kern w:val="2"/>
      <w:sz w:val="21"/>
      <w:szCs w:val="24"/>
    </w:rPr>
  </w:style>
  <w:style w:type="paragraph" w:customStyle="1" w:styleId="235">
    <w:name w:val="Main_heading"/>
    <w:basedOn w:val="1"/>
    <w:next w:val="1"/>
    <w:qFormat/>
    <w:uiPriority w:val="0"/>
    <w:pPr>
      <w:widowControl/>
      <w:spacing w:before="240" w:after="240" w:line="240" w:lineRule="atLeast"/>
      <w:jc w:val="left"/>
    </w:pPr>
    <w:rPr>
      <w:rFonts w:eastAsia="MS Mincho"/>
      <w:b/>
      <w:kern w:val="0"/>
      <w:sz w:val="28"/>
      <w:szCs w:val="20"/>
      <w:lang w:eastAsia="ja-JP"/>
    </w:rPr>
  </w:style>
  <w:style w:type="character" w:customStyle="1" w:styleId="236">
    <w:name w:val="Char Char3"/>
    <w:qFormat/>
    <w:uiPriority w:val="0"/>
    <w:rPr>
      <w:kern w:val="2"/>
      <w:sz w:val="18"/>
      <w:szCs w:val="18"/>
    </w:rPr>
  </w:style>
  <w:style w:type="paragraph" w:customStyle="1" w:styleId="237">
    <w:name w:val="日期1"/>
    <w:basedOn w:val="1"/>
    <w:next w:val="1"/>
    <w:qFormat/>
    <w:uiPriority w:val="0"/>
    <w:pPr>
      <w:adjustRightInd w:val="0"/>
      <w:spacing w:line="312" w:lineRule="atLeast"/>
      <w:jc w:val="right"/>
      <w:textAlignment w:val="baseline"/>
    </w:pPr>
    <w:rPr>
      <w:b/>
      <w:kern w:val="0"/>
      <w:sz w:val="36"/>
      <w:szCs w:val="20"/>
    </w:rPr>
  </w:style>
  <w:style w:type="character" w:customStyle="1" w:styleId="238">
    <w:name w:val="正文文本 2 字符"/>
    <w:basedOn w:val="48"/>
    <w:link w:val="38"/>
    <w:qFormat/>
    <w:uiPriority w:val="0"/>
    <w:rPr>
      <w:rFonts w:ascii="宋体" w:hAnsi="Times New Roman" w:eastAsia="宋体" w:cs="Times New Roman"/>
      <w:kern w:val="2"/>
      <w:sz w:val="24"/>
      <w:szCs w:val="24"/>
    </w:rPr>
  </w:style>
  <w:style w:type="paragraph" w:customStyle="1" w:styleId="239">
    <w:name w:val="INGLESE GB"/>
    <w:basedOn w:val="1"/>
    <w:qFormat/>
    <w:uiPriority w:val="0"/>
    <w:pPr>
      <w:widowControl/>
      <w:jc w:val="left"/>
    </w:pPr>
    <w:rPr>
      <w:rFonts w:ascii="Arial" w:hAnsi="Arial"/>
      <w:kern w:val="0"/>
      <w:sz w:val="24"/>
      <w:szCs w:val="20"/>
      <w:lang w:val="en-GB" w:eastAsia="it-IT"/>
    </w:rPr>
  </w:style>
  <w:style w:type="character" w:customStyle="1" w:styleId="240">
    <w:name w:val="ITA_10"/>
    <w:qFormat/>
    <w:uiPriority w:val="0"/>
    <w:rPr>
      <w:rFonts w:ascii="Arial" w:hAnsi="Arial"/>
      <w:sz w:val="20"/>
      <w:vertAlign w:val="baseline"/>
      <w:lang w:val="it-IT"/>
    </w:rPr>
  </w:style>
  <w:style w:type="character" w:customStyle="1" w:styleId="241">
    <w:name w:val="ING_10"/>
    <w:qFormat/>
    <w:uiPriority w:val="0"/>
    <w:rPr>
      <w:rFonts w:ascii="Arial" w:hAnsi="Arial"/>
      <w:sz w:val="20"/>
      <w:vertAlign w:val="baseline"/>
      <w:lang w:val="en-GB"/>
    </w:rPr>
  </w:style>
  <w:style w:type="paragraph" w:customStyle="1" w:styleId="242">
    <w:name w:val="段落正文"/>
    <w:basedOn w:val="1"/>
    <w:qFormat/>
    <w:uiPriority w:val="0"/>
    <w:pPr>
      <w:suppressAutoHyphens/>
      <w:spacing w:after="120" w:line="420" w:lineRule="exact"/>
      <w:ind w:left="-2" w:leftChars="-1"/>
    </w:pPr>
    <w:rPr>
      <w:rFonts w:ascii="宋体" w:hAnsi="宋体"/>
      <w:kern w:val="1"/>
      <w:szCs w:val="21"/>
    </w:rPr>
  </w:style>
  <w:style w:type="character" w:customStyle="1" w:styleId="243">
    <w:name w:val="称呼 字符"/>
    <w:basedOn w:val="48"/>
    <w:link w:val="15"/>
    <w:qFormat/>
    <w:uiPriority w:val="0"/>
    <w:rPr>
      <w:rFonts w:ascii="宋体" w:hAnsi="宋体" w:eastAsia="宋体" w:cs="Times New Roman"/>
      <w:kern w:val="2"/>
      <w:sz w:val="24"/>
    </w:rPr>
  </w:style>
  <w:style w:type="character" w:customStyle="1" w:styleId="244">
    <w:name w:val="textfont1"/>
    <w:qFormat/>
    <w:uiPriority w:val="0"/>
    <w:rPr>
      <w:sz w:val="22"/>
      <w:szCs w:val="22"/>
    </w:rPr>
  </w:style>
  <w:style w:type="character" w:customStyle="1" w:styleId="245">
    <w:name w:val="style81"/>
    <w:qFormat/>
    <w:uiPriority w:val="0"/>
    <w:rPr>
      <w:color w:val="FF0000"/>
    </w:rPr>
  </w:style>
  <w:style w:type="paragraph" w:customStyle="1" w:styleId="246">
    <w:name w:val="Char Char Char Char Char Char1 Char"/>
    <w:basedOn w:val="1"/>
    <w:qFormat/>
    <w:uiPriority w:val="0"/>
    <w:pPr>
      <w:widowControl/>
      <w:spacing w:after="160" w:line="240" w:lineRule="exact"/>
      <w:jc w:val="left"/>
    </w:pPr>
    <w:rPr>
      <w:rFonts w:ascii="Verdana" w:hAnsi="Verdana" w:cs="Verdana"/>
      <w:kern w:val="0"/>
      <w:szCs w:val="21"/>
      <w:lang w:eastAsia="en-US"/>
    </w:rPr>
  </w:style>
  <w:style w:type="character" w:customStyle="1" w:styleId="247">
    <w:name w:val="正文首行缩进 2 字符"/>
    <w:basedOn w:val="67"/>
    <w:link w:val="45"/>
    <w:qFormat/>
    <w:uiPriority w:val="0"/>
    <w:rPr>
      <w:rFonts w:ascii="Times New Roman" w:hAnsi="Times New Roman" w:eastAsia="宋体" w:cs="Times New Roman"/>
      <w:kern w:val="2"/>
      <w:sz w:val="21"/>
      <w:szCs w:val="24"/>
    </w:rPr>
  </w:style>
  <w:style w:type="paragraph" w:customStyle="1" w:styleId="248">
    <w:name w:val="Spec Bullet"/>
    <w:basedOn w:val="1"/>
    <w:qFormat/>
    <w:uiPriority w:val="0"/>
    <w:pPr>
      <w:keepLines/>
      <w:widowControl/>
      <w:tabs>
        <w:tab w:val="left" w:pos="720"/>
      </w:tabs>
      <w:ind w:left="170" w:hanging="170"/>
      <w:jc w:val="left"/>
    </w:pPr>
    <w:rPr>
      <w:rFonts w:ascii="Arial" w:hAnsi="Arial"/>
      <w:kern w:val="0"/>
      <w:sz w:val="16"/>
      <w:szCs w:val="20"/>
      <w:lang w:val="en-GB" w:eastAsia="en-US"/>
    </w:rPr>
  </w:style>
  <w:style w:type="paragraph" w:customStyle="1" w:styleId="249">
    <w:name w:val="标题1"/>
    <w:basedOn w:val="42"/>
    <w:qFormat/>
    <w:uiPriority w:val="0"/>
    <w:pPr>
      <w:spacing w:after="240"/>
    </w:pPr>
    <w:rPr>
      <w:rFonts w:ascii="Arial" w:hAnsi="Arial" w:eastAsia="宋体" w:cs="Arial"/>
      <w:spacing w:val="2"/>
      <w:sz w:val="44"/>
      <w:szCs w:val="44"/>
    </w:rPr>
  </w:style>
  <w:style w:type="paragraph" w:customStyle="1" w:styleId="250">
    <w:name w:val="附录标题3"/>
    <w:basedOn w:val="1"/>
    <w:next w:val="12"/>
    <w:qFormat/>
    <w:uiPriority w:val="0"/>
    <w:pPr>
      <w:tabs>
        <w:tab w:val="left" w:pos="426"/>
        <w:tab w:val="left" w:pos="1080"/>
      </w:tabs>
      <w:ind w:left="426" w:hanging="851"/>
      <w:outlineLvl w:val="0"/>
    </w:pPr>
    <w:rPr>
      <w:rFonts w:ascii="Arial" w:hAnsi="Arial" w:cs="Arial"/>
      <w:sz w:val="24"/>
    </w:rPr>
  </w:style>
  <w:style w:type="paragraph" w:customStyle="1" w:styleId="251">
    <w:name w:val="样式"/>
    <w:basedOn w:val="1"/>
    <w:next w:val="23"/>
    <w:qFormat/>
    <w:uiPriority w:val="0"/>
    <w:rPr>
      <w:rFonts w:ascii="宋体" w:hAnsi="Courier New" w:cs="宋体"/>
      <w:szCs w:val="21"/>
    </w:rPr>
  </w:style>
  <w:style w:type="paragraph" w:customStyle="1" w:styleId="252">
    <w:name w:val="Char Char Char Char Char Char1 Char1"/>
    <w:basedOn w:val="1"/>
    <w:qFormat/>
    <w:uiPriority w:val="0"/>
    <w:pPr>
      <w:widowControl/>
      <w:spacing w:after="160" w:line="240" w:lineRule="exact"/>
      <w:jc w:val="left"/>
    </w:pPr>
    <w:rPr>
      <w:rFonts w:ascii="Verdana" w:hAnsi="Verdana" w:cs="Verdana"/>
      <w:kern w:val="0"/>
      <w:szCs w:val="21"/>
      <w:lang w:eastAsia="en-US"/>
    </w:rPr>
  </w:style>
  <w:style w:type="paragraph" w:customStyle="1" w:styleId="253">
    <w:name w:val="标头1"/>
    <w:basedOn w:val="4"/>
    <w:qFormat/>
    <w:uiPriority w:val="0"/>
    <w:pPr>
      <w:spacing w:before="120" w:after="120" w:line="240" w:lineRule="auto"/>
    </w:pPr>
  </w:style>
  <w:style w:type="character" w:customStyle="1" w:styleId="254">
    <w:name w:val="style11"/>
    <w:qFormat/>
    <w:uiPriority w:val="0"/>
    <w:rPr>
      <w:color w:val="0000FF"/>
      <w:sz w:val="17"/>
      <w:szCs w:val="17"/>
      <w:u w:val="single"/>
    </w:rPr>
  </w:style>
  <w:style w:type="character" w:customStyle="1" w:styleId="255">
    <w:name w:val="正文首行缩进 字符"/>
    <w:basedOn w:val="66"/>
    <w:link w:val="44"/>
    <w:qFormat/>
    <w:uiPriority w:val="0"/>
    <w:rPr>
      <w:rFonts w:ascii="Times New Roman" w:hAnsi="Times New Roman" w:eastAsia="宋体" w:cs="Times New Roman"/>
      <w:b w:val="0"/>
      <w:kern w:val="2"/>
      <w:sz w:val="21"/>
      <w:szCs w:val="24"/>
      <w:lang w:val="zh-CN" w:eastAsia="zh-CN"/>
    </w:rPr>
  </w:style>
  <w:style w:type="paragraph" w:customStyle="1" w:styleId="256">
    <w:name w:val="样式 标题 5 + 小四"/>
    <w:basedOn w:val="6"/>
    <w:link w:val="257"/>
    <w:qFormat/>
    <w:uiPriority w:val="0"/>
    <w:pPr>
      <w:numPr>
        <w:ilvl w:val="0"/>
        <w:numId w:val="0"/>
      </w:numPr>
      <w:tabs>
        <w:tab w:val="left" w:pos="1260"/>
      </w:tabs>
      <w:adjustRightInd/>
      <w:spacing w:before="240" w:after="120" w:line="240" w:lineRule="auto"/>
      <w:ind w:left="1260" w:hanging="420"/>
      <w:textAlignment w:val="auto"/>
    </w:pPr>
    <w:rPr>
      <w:rFonts w:ascii="Times New Roman" w:eastAsia="宋体"/>
      <w:bCs/>
      <w:kern w:val="2"/>
      <w:sz w:val="24"/>
      <w:szCs w:val="28"/>
    </w:rPr>
  </w:style>
  <w:style w:type="character" w:customStyle="1" w:styleId="257">
    <w:name w:val="样式 标题 5 + 小四 Char"/>
    <w:link w:val="256"/>
    <w:qFormat/>
    <w:uiPriority w:val="0"/>
    <w:rPr>
      <w:rFonts w:ascii="Times New Roman" w:hAnsi="Times New Roman" w:eastAsia="宋体" w:cs="Times New Roman"/>
      <w:b/>
      <w:bCs/>
      <w:kern w:val="2"/>
      <w:sz w:val="24"/>
      <w:szCs w:val="28"/>
    </w:rPr>
  </w:style>
  <w:style w:type="paragraph" w:customStyle="1" w:styleId="25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9">
    <w:name w:val="彩色列表 - 强调文字颜色 11"/>
    <w:basedOn w:val="1"/>
    <w:qFormat/>
    <w:uiPriority w:val="34"/>
    <w:pPr>
      <w:ind w:firstLine="420" w:firstLineChars="200"/>
    </w:pPr>
    <w:rPr>
      <w:rFonts w:ascii="Calibri" w:hAnsi="Calibri"/>
      <w:szCs w:val="22"/>
    </w:rPr>
  </w:style>
  <w:style w:type="paragraph" w:customStyle="1" w:styleId="260">
    <w:name w:val="Char Char Char Char Char Char Char"/>
    <w:basedOn w:val="1"/>
    <w:qFormat/>
    <w:uiPriority w:val="0"/>
  </w:style>
  <w:style w:type="paragraph" w:customStyle="1" w:styleId="261">
    <w:name w:val="Teksti2"/>
    <w:basedOn w:val="1"/>
    <w:qFormat/>
    <w:uiPriority w:val="0"/>
    <w:pPr>
      <w:widowControl/>
      <w:tabs>
        <w:tab w:val="right" w:pos="8370"/>
      </w:tabs>
      <w:jc w:val="left"/>
    </w:pPr>
    <w:rPr>
      <w:kern w:val="0"/>
      <w:sz w:val="20"/>
      <w:szCs w:val="20"/>
      <w:lang w:eastAsia="fi-FI"/>
    </w:rPr>
  </w:style>
  <w:style w:type="paragraph" w:customStyle="1" w:styleId="26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263">
    <w:name w:val="SC.4.3318"/>
    <w:qFormat/>
    <w:uiPriority w:val="0"/>
    <w:rPr>
      <w:rFonts w:cs="ANOLP H+ Helvetica"/>
      <w:color w:val="000000"/>
      <w:sz w:val="20"/>
      <w:szCs w:val="20"/>
    </w:rPr>
  </w:style>
  <w:style w:type="character" w:customStyle="1" w:styleId="264">
    <w:name w:val="样式 小四"/>
    <w:qFormat/>
    <w:uiPriority w:val="0"/>
    <w:rPr>
      <w:rFonts w:ascii="Times New Roman" w:hAnsi="Times New Roman" w:eastAsia="宋体"/>
      <w:sz w:val="24"/>
    </w:rPr>
  </w:style>
  <w:style w:type="character" w:customStyle="1" w:styleId="265">
    <w:name w:val="apple-style-span"/>
    <w:basedOn w:val="48"/>
    <w:qFormat/>
    <w:uiPriority w:val="0"/>
  </w:style>
  <w:style w:type="character" w:customStyle="1" w:styleId="266">
    <w:name w:val="apple-converted-space"/>
    <w:basedOn w:val="48"/>
    <w:qFormat/>
    <w:uiPriority w:val="0"/>
  </w:style>
  <w:style w:type="paragraph" w:customStyle="1" w:styleId="267">
    <w:name w:val="Char Char1 Char Char Char Char Char Char1 Char Char Char Char"/>
    <w:basedOn w:val="1"/>
    <w:qFormat/>
    <w:uiPriority w:val="0"/>
    <w:pPr>
      <w:tabs>
        <w:tab w:val="left" w:pos="360"/>
      </w:tabs>
      <w:ind w:firstLine="420" w:firstLineChars="150"/>
    </w:pPr>
    <w:rPr>
      <w:rFonts w:ascii="Arial" w:hAnsi="Arial" w:cs="Arial"/>
      <w:sz w:val="20"/>
      <w:szCs w:val="20"/>
    </w:rPr>
  </w:style>
  <w:style w:type="paragraph" w:customStyle="1" w:styleId="268">
    <w:name w:val="Char Char1 Char Char Char Char"/>
    <w:basedOn w:val="1"/>
    <w:qFormat/>
    <w:uiPriority w:val="0"/>
    <w:pPr>
      <w:tabs>
        <w:tab w:val="left" w:pos="360"/>
      </w:tabs>
      <w:ind w:firstLine="420" w:firstLineChars="150"/>
    </w:pPr>
    <w:rPr>
      <w:rFonts w:ascii="Arial" w:hAnsi="Arial" w:cs="Arial"/>
      <w:sz w:val="20"/>
      <w:szCs w:val="20"/>
    </w:rPr>
  </w:style>
  <w:style w:type="paragraph" w:customStyle="1" w:styleId="269">
    <w:name w:val="中等深浅网格 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0">
    <w:name w:val="纯文本1"/>
    <w:basedOn w:val="1"/>
    <w:qFormat/>
    <w:uiPriority w:val="0"/>
    <w:rPr>
      <w:rFonts w:ascii="宋体" w:hAnsi="Courier New"/>
      <w:kern w:val="0"/>
      <w:sz w:val="24"/>
      <w:szCs w:val="21"/>
    </w:rPr>
  </w:style>
  <w:style w:type="paragraph" w:customStyle="1" w:styleId="271">
    <w:name w:val="列出段落2"/>
    <w:basedOn w:val="1"/>
    <w:qFormat/>
    <w:uiPriority w:val="0"/>
    <w:pPr>
      <w:ind w:firstLine="420" w:firstLineChars="200"/>
    </w:pPr>
    <w:rPr>
      <w:rFonts w:ascii="Calibri" w:hAnsi="Calibri"/>
      <w:szCs w:val="22"/>
    </w:rPr>
  </w:style>
  <w:style w:type="paragraph" w:customStyle="1" w:styleId="272">
    <w:name w:val="列出段落3"/>
    <w:basedOn w:val="1"/>
    <w:qFormat/>
    <w:uiPriority w:val="0"/>
    <w:pPr>
      <w:ind w:firstLine="420" w:firstLineChars="200"/>
    </w:pPr>
  </w:style>
  <w:style w:type="paragraph" w:customStyle="1" w:styleId="273">
    <w:name w:val="列出段落4"/>
    <w:basedOn w:val="1"/>
    <w:qFormat/>
    <w:uiPriority w:val="0"/>
    <w:pPr>
      <w:ind w:firstLine="420" w:firstLineChars="200"/>
    </w:pPr>
  </w:style>
  <w:style w:type="paragraph" w:customStyle="1" w:styleId="274">
    <w:name w:val="正文文本缩进 21"/>
    <w:basedOn w:val="1"/>
    <w:qFormat/>
    <w:uiPriority w:val="0"/>
    <w:pPr>
      <w:spacing w:line="500" w:lineRule="exact"/>
      <w:ind w:firstLine="570"/>
    </w:pPr>
    <w:rPr>
      <w:sz w:val="24"/>
    </w:rPr>
  </w:style>
  <w:style w:type="paragraph" w:customStyle="1" w:styleId="27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76">
    <w:name w:val="修订1"/>
    <w:hidden/>
    <w:unhideWhenUsed/>
    <w:qFormat/>
    <w:uiPriority w:val="71"/>
    <w:rPr>
      <w:rFonts w:ascii="Times New Roman" w:hAnsi="Times New Roman" w:eastAsia="宋体" w:cs="Times New Roman"/>
      <w:sz w:val="24"/>
      <w:lang w:val="en-US" w:eastAsia="zh-CN" w:bidi="ar-SA"/>
    </w:rPr>
  </w:style>
  <w:style w:type="character" w:customStyle="1" w:styleId="277">
    <w:name w:val="副标题 Char"/>
    <w:qFormat/>
    <w:uiPriority w:val="0"/>
    <w:rPr>
      <w:rFonts w:ascii="Calibri" w:hAnsi="Calibri" w:cs="Times New Roman"/>
      <w:b/>
      <w:bCs/>
      <w:kern w:val="28"/>
      <w:sz w:val="32"/>
      <w:szCs w:val="32"/>
    </w:rPr>
  </w:style>
  <w:style w:type="character" w:customStyle="1" w:styleId="278">
    <w:name w:val="不明显强调1"/>
    <w:qFormat/>
    <w:uiPriority w:val="19"/>
    <w:rPr>
      <w:i/>
      <w:iCs/>
      <w:color w:val="808080"/>
    </w:rPr>
  </w:style>
  <w:style w:type="character" w:customStyle="1" w:styleId="279">
    <w:name w:val="明显强调1"/>
    <w:qFormat/>
    <w:uiPriority w:val="21"/>
    <w:rPr>
      <w:b/>
      <w:bCs/>
      <w:i/>
      <w:iCs/>
      <w:color w:val="4F81BD"/>
    </w:rPr>
  </w:style>
  <w:style w:type="character" w:customStyle="1" w:styleId="280">
    <w:name w:val="Table"/>
    <w:qFormat/>
    <w:uiPriority w:val="0"/>
    <w:rPr>
      <w:rFonts w:ascii="Arial" w:hAnsi="Arial"/>
      <w:sz w:val="20"/>
    </w:rPr>
  </w:style>
  <w:style w:type="paragraph" w:customStyle="1" w:styleId="28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28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28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28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28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28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C00000"/>
      <w:kern w:val="0"/>
      <w:sz w:val="20"/>
      <w:szCs w:val="20"/>
    </w:rPr>
  </w:style>
  <w:style w:type="paragraph" w:customStyle="1" w:styleId="28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C00000"/>
      <w:kern w:val="0"/>
      <w:sz w:val="20"/>
      <w:szCs w:val="20"/>
    </w:rPr>
  </w:style>
  <w:style w:type="paragraph" w:customStyle="1" w:styleId="28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C00000"/>
      <w:kern w:val="0"/>
      <w:sz w:val="20"/>
      <w:szCs w:val="20"/>
    </w:rPr>
  </w:style>
  <w:style w:type="paragraph" w:customStyle="1" w:styleId="28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C00000"/>
      <w:kern w:val="0"/>
      <w:sz w:val="20"/>
      <w:szCs w:val="20"/>
    </w:rPr>
  </w:style>
  <w:style w:type="paragraph" w:customStyle="1" w:styleId="29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1">
    <w:name w:val="xl84"/>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292">
    <w:name w:val="xl85"/>
    <w:basedOn w:val="1"/>
    <w:qFormat/>
    <w:uiPriority w:val="0"/>
    <w:pPr>
      <w:widowControl/>
      <w:spacing w:before="100" w:beforeAutospacing="1" w:after="100" w:afterAutospacing="1"/>
      <w:jc w:val="center"/>
      <w:textAlignment w:val="center"/>
    </w:pPr>
    <w:rPr>
      <w:rFonts w:ascii="宋体" w:hAnsi="宋体" w:cs="宋体"/>
      <w:color w:val="FF0000"/>
      <w:kern w:val="0"/>
      <w:sz w:val="24"/>
    </w:rPr>
  </w:style>
  <w:style w:type="paragraph" w:customStyle="1" w:styleId="293">
    <w:name w:val="xl86"/>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294">
    <w:name w:val="xl87"/>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29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6">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7">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9">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00">
    <w:name w:val="xl9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1">
    <w:name w:val="xl9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2">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3">
    <w:name w:val="xl9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0"/>
      <w:szCs w:val="20"/>
    </w:rPr>
  </w:style>
  <w:style w:type="paragraph" w:customStyle="1" w:styleId="304">
    <w:name w:val="xl97"/>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0"/>
      <w:szCs w:val="20"/>
    </w:rPr>
  </w:style>
  <w:style w:type="paragraph" w:customStyle="1" w:styleId="305">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30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307">
    <w:name w:val="xl10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0"/>
      <w:szCs w:val="20"/>
    </w:rPr>
  </w:style>
  <w:style w:type="paragraph" w:customStyle="1" w:styleId="308">
    <w:name w:val="xl101"/>
    <w:basedOn w:val="1"/>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30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1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11">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12">
    <w:name w:val="xl105"/>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0"/>
      <w:szCs w:val="20"/>
    </w:rPr>
  </w:style>
  <w:style w:type="paragraph" w:customStyle="1" w:styleId="313">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76933C"/>
      <w:spacing w:before="100" w:beforeAutospacing="1" w:after="100" w:afterAutospacing="1"/>
      <w:jc w:val="center"/>
      <w:textAlignment w:val="center"/>
    </w:pPr>
    <w:rPr>
      <w:rFonts w:ascii="宋体" w:hAnsi="宋体" w:cs="宋体"/>
      <w:kern w:val="0"/>
      <w:sz w:val="20"/>
      <w:szCs w:val="20"/>
    </w:rPr>
  </w:style>
  <w:style w:type="paragraph" w:customStyle="1" w:styleId="314">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76933C"/>
      <w:spacing w:before="100" w:beforeAutospacing="1" w:after="100" w:afterAutospacing="1"/>
      <w:jc w:val="center"/>
      <w:textAlignment w:val="center"/>
    </w:pPr>
    <w:rPr>
      <w:rFonts w:ascii="宋体" w:hAnsi="宋体" w:cs="宋体"/>
      <w:kern w:val="0"/>
      <w:sz w:val="20"/>
      <w:szCs w:val="20"/>
    </w:rPr>
  </w:style>
  <w:style w:type="paragraph" w:customStyle="1" w:styleId="315">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76933C"/>
      <w:spacing w:before="100" w:beforeAutospacing="1" w:after="100" w:afterAutospacing="1"/>
      <w:jc w:val="center"/>
      <w:textAlignment w:val="center"/>
    </w:pPr>
    <w:rPr>
      <w:rFonts w:ascii="宋体" w:hAnsi="宋体" w:cs="宋体"/>
      <w:color w:val="FF0000"/>
      <w:kern w:val="0"/>
      <w:sz w:val="20"/>
      <w:szCs w:val="20"/>
    </w:rPr>
  </w:style>
  <w:style w:type="paragraph" w:customStyle="1" w:styleId="316">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17">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18">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19">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20">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21">
    <w:name w:val="xl11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0"/>
      <w:szCs w:val="20"/>
    </w:rPr>
  </w:style>
  <w:style w:type="paragraph" w:customStyle="1" w:styleId="322">
    <w:name w:val="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323">
    <w:name w:val="NormalCharacter"/>
    <w:qFormat/>
    <w:uiPriority w:val="0"/>
  </w:style>
  <w:style w:type="paragraph" w:customStyle="1" w:styleId="324">
    <w:name w:val="BodyText1I2"/>
    <w:basedOn w:val="1"/>
    <w:qFormat/>
    <w:uiPriority w:val="0"/>
    <w:pPr>
      <w:widowControl/>
      <w:ind w:firstLine="420" w:firstLineChars="200"/>
      <w:textAlignment w:val="baseline"/>
    </w:pPr>
    <w:rPr>
      <w:sz w:val="24"/>
    </w:rPr>
  </w:style>
  <w:style w:type="table" w:customStyle="1" w:styleId="325">
    <w:name w:val="网格表 4 - 着色 52"/>
    <w:basedOn w:val="46"/>
    <w:qFormat/>
    <w:uiPriority w:val="49"/>
    <w:rPr>
      <w:rFonts w:ascii="Calibri" w:hAnsi="Calibri"/>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paragraph" w:customStyle="1" w:styleId="326">
    <w:name w:val="正文文字3"/>
    <w:basedOn w:val="17"/>
    <w:qFormat/>
    <w:uiPriority w:val="0"/>
    <w:pPr>
      <w:widowControl w:val="0"/>
      <w:adjustRightInd w:val="0"/>
      <w:spacing w:line="360" w:lineRule="atLeast"/>
      <w:ind w:left="72" w:leftChars="30" w:right="72" w:rightChars="30"/>
      <w:textAlignment w:val="baseline"/>
    </w:pPr>
    <w:rPr>
      <w:rFonts w:eastAsia="宋体"/>
      <w:b w:val="0"/>
      <w:sz w:val="21"/>
    </w:rPr>
  </w:style>
  <w:style w:type="paragraph" w:customStyle="1" w:styleId="327">
    <w:name w:val="样式 样式2 + 右侧:  1 字符"/>
    <w:basedOn w:val="1"/>
    <w:qFormat/>
    <w:uiPriority w:val="0"/>
    <w:pPr>
      <w:numPr>
        <w:ilvl w:val="0"/>
        <w:numId w:val="6"/>
      </w:numPr>
      <w:ind w:right="210" w:rightChars="100"/>
    </w:pPr>
    <w:rPr>
      <w:rFonts w:ascii="宋体" w:hAnsi="宋体" w:cs="宋体"/>
      <w:sz w:val="18"/>
      <w:szCs w:val="20"/>
    </w:rPr>
  </w:style>
  <w:style w:type="paragraph" w:styleId="32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29">
    <w:name w:val="招标文件正文 Char Char"/>
    <w:link w:val="330"/>
    <w:qFormat/>
    <w:locked/>
    <w:uiPriority w:val="99"/>
    <w:rPr>
      <w:rFonts w:ascii="Calibri" w:hAnsi="Calibri" w:cs="Calibri"/>
      <w:kern w:val="0"/>
      <w:sz w:val="32"/>
      <w:szCs w:val="32"/>
    </w:rPr>
  </w:style>
  <w:style w:type="paragraph" w:customStyle="1" w:styleId="330">
    <w:name w:val="招标文件正文"/>
    <w:basedOn w:val="1"/>
    <w:link w:val="329"/>
    <w:qFormat/>
    <w:uiPriority w:val="99"/>
    <w:pPr>
      <w:spacing w:line="300" w:lineRule="auto"/>
      <w:ind w:firstLine="200" w:firstLineChars="200"/>
      <w:jc w:val="left"/>
    </w:pPr>
    <w:rPr>
      <w:rFonts w:ascii="Calibri" w:hAnsi="Calibri" w:cs="Calibri"/>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7149DF-1E52-4A26-A7B3-853AAFA94D2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3270</Words>
  <Characters>18639</Characters>
  <Lines>155</Lines>
  <Paragraphs>43</Paragraphs>
  <TotalTime>46</TotalTime>
  <ScaleCrop>false</ScaleCrop>
  <LinksUpToDate>false</LinksUpToDate>
  <CharactersWithSpaces>21866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2021-12-27T05:28:00Z</dcterms:created>
  <dc:creator>sxy</dc:creator>
  <cp:lastModifiedBy>仲杰</cp:lastModifiedBy>
  <cp:lastPrinted>2021-08-25T00:09:00Z</cp:lastPrinted>
  <dcterms:modified xsi:type="dcterms:W3CDTF">2022-01-11T01:42:03Z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D1DCB7E5A0BA4747AFF17D67A2058BD9</vt:lpwstr>
  </property>
</Properties>
</file>