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rPr>
      </w:pPr>
      <w:r>
        <w:rPr>
          <w:rFonts w:hint="eastAsia"/>
          <w:b/>
          <w:sz w:val="32"/>
        </w:rPr>
        <w:t>关键水域船舶尾气分析系统技术规格及要求</w:t>
      </w:r>
    </w:p>
    <w:p>
      <w:pPr>
        <w:rPr>
          <w:rFonts w:ascii="宋体" w:hAnsi="宋体"/>
          <w:sz w:val="24"/>
          <w:szCs w:val="24"/>
        </w:rPr>
      </w:pPr>
    </w:p>
    <w:p>
      <w:pPr>
        <w:autoSpaceDE w:val="0"/>
        <w:autoSpaceDN w:val="0"/>
        <w:adjustRightInd w:val="0"/>
        <w:jc w:val="left"/>
        <w:outlineLvl w:val="0"/>
        <w:rPr>
          <w:rFonts w:ascii="宋体" w:hAnsi="宋体"/>
          <w:b/>
          <w:bCs/>
          <w:sz w:val="24"/>
          <w:szCs w:val="24"/>
          <w:lang w:val="zh-CN"/>
        </w:rPr>
      </w:pPr>
      <w:r>
        <w:rPr>
          <w:rFonts w:hint="eastAsia" w:ascii="宋体" w:hAnsi="宋体"/>
          <w:b/>
          <w:bCs/>
          <w:sz w:val="24"/>
          <w:szCs w:val="24"/>
          <w:lang w:val="zh-CN"/>
        </w:rPr>
        <w:t>货物和服务需求一览表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3826"/>
        <w:gridCol w:w="1525"/>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2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序号</w:t>
            </w:r>
          </w:p>
        </w:tc>
        <w:tc>
          <w:tcPr>
            <w:tcW w:w="22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设备名称</w:t>
            </w:r>
          </w:p>
        </w:tc>
        <w:tc>
          <w:tcPr>
            <w:tcW w:w="89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数量</w:t>
            </w:r>
          </w:p>
        </w:tc>
        <w:tc>
          <w:tcPr>
            <w:tcW w:w="153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32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1</w:t>
            </w:r>
          </w:p>
        </w:tc>
        <w:tc>
          <w:tcPr>
            <w:tcW w:w="2245" w:type="pct"/>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宋体" w:hAnsi="宋体"/>
                <w:sz w:val="24"/>
                <w:szCs w:val="24"/>
              </w:rPr>
            </w:pPr>
            <w:r>
              <w:rPr>
                <w:rFonts w:hint="eastAsia" w:ascii="宋体" w:hAnsi="宋体"/>
                <w:bCs/>
                <w:sz w:val="24"/>
                <w:szCs w:val="24"/>
              </w:rPr>
              <w:t>关键水域船舶尾气分析系统</w:t>
            </w:r>
          </w:p>
        </w:tc>
        <w:tc>
          <w:tcPr>
            <w:tcW w:w="89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Cs/>
                <w:sz w:val="24"/>
                <w:szCs w:val="24"/>
              </w:rPr>
            </w:pPr>
            <w:r>
              <w:rPr>
                <w:rFonts w:hint="eastAsia" w:ascii="宋体" w:hAnsi="宋体"/>
                <w:bCs/>
                <w:sz w:val="24"/>
                <w:szCs w:val="24"/>
              </w:rPr>
              <w:t>1套</w:t>
            </w:r>
          </w:p>
        </w:tc>
        <w:tc>
          <w:tcPr>
            <w:tcW w:w="153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bCs/>
                <w:sz w:val="24"/>
                <w:szCs w:val="24"/>
              </w:rPr>
            </w:pPr>
          </w:p>
        </w:tc>
      </w:tr>
    </w:tbl>
    <w:p>
      <w:pPr>
        <w:numPr>
          <w:ilvl w:val="0"/>
          <w:numId w:val="1"/>
        </w:numPr>
        <w:spacing w:line="480" w:lineRule="exact"/>
        <w:rPr>
          <w:rFonts w:ascii="宋体" w:hAnsi="宋体"/>
          <w:b/>
          <w:sz w:val="24"/>
          <w:szCs w:val="24"/>
        </w:rPr>
      </w:pPr>
      <w:r>
        <w:rPr>
          <w:rFonts w:hint="eastAsia" w:ascii="宋体" w:hAnsi="宋体"/>
          <w:b/>
          <w:sz w:val="24"/>
          <w:szCs w:val="24"/>
        </w:rPr>
        <w:t>建设目的及内容</w:t>
      </w:r>
    </w:p>
    <w:p>
      <w:pPr>
        <w:spacing w:line="480" w:lineRule="exact"/>
        <w:ind w:left="360" w:hanging="360" w:hangingChars="150"/>
        <w:rPr>
          <w:rFonts w:ascii="宋体" w:hAnsi="宋体"/>
          <w:sz w:val="24"/>
          <w:szCs w:val="24"/>
        </w:rPr>
      </w:pPr>
      <w:r>
        <w:rPr>
          <w:rFonts w:hint="eastAsia" w:ascii="宋体" w:hAnsi="宋体"/>
          <w:sz w:val="24"/>
          <w:szCs w:val="24"/>
        </w:rPr>
        <w:t>1.1建设目的：</w:t>
      </w:r>
    </w:p>
    <w:p>
      <w:pPr>
        <w:spacing w:line="480" w:lineRule="exact"/>
        <w:ind w:left="359" w:leftChars="171"/>
        <w:rPr>
          <w:rFonts w:ascii="宋体" w:hAnsi="宋体"/>
          <w:sz w:val="24"/>
          <w:szCs w:val="24"/>
        </w:rPr>
      </w:pPr>
      <w:r>
        <w:rPr>
          <w:rFonts w:hint="eastAsia" w:ascii="宋体" w:hAnsi="宋体"/>
          <w:sz w:val="24"/>
          <w:szCs w:val="24"/>
        </w:rPr>
        <w:t>根据船舶尾气排放监测监控研究项目的需求，通过在船舶靠泊和作业的</w:t>
      </w:r>
      <w:r>
        <w:rPr>
          <w:rFonts w:hint="eastAsia" w:ascii="宋体" w:hAnsi="宋体"/>
          <w:bCs/>
          <w:sz w:val="24"/>
          <w:szCs w:val="24"/>
        </w:rPr>
        <w:t>航道</w:t>
      </w:r>
      <w:r>
        <w:rPr>
          <w:rFonts w:hint="eastAsia" w:ascii="宋体" w:hAnsi="宋体"/>
          <w:sz w:val="24"/>
          <w:szCs w:val="24"/>
        </w:rPr>
        <w:t>区域建立移动式</w:t>
      </w:r>
      <w:r>
        <w:rPr>
          <w:rFonts w:hint="eastAsia" w:ascii="宋体" w:hAnsi="宋体"/>
          <w:bCs/>
          <w:sz w:val="24"/>
          <w:szCs w:val="24"/>
        </w:rPr>
        <w:t>船舶尾气监测的监测平台</w:t>
      </w:r>
      <w:r>
        <w:rPr>
          <w:rFonts w:hint="eastAsia" w:ascii="宋体" w:hAnsi="宋体"/>
          <w:sz w:val="24"/>
          <w:szCs w:val="24"/>
        </w:rPr>
        <w:t>，弥补航道区域排放监控盲区，实现系统、全面地监测、监控船舶尾气排放及船舶燃油含硫量等。采用紫外差分吸收光谱分析法(DOAS)可现场直接检测船舶尾气中的S02气体的成分浓度。基于紫外差分吸收光谱分析法的船舶在线监测系统与传统电化学检测方法比较，具有测量精度高、检测速度快、抗交又干扰能力强，传感聚寿命长，维护方便等显著优点。</w:t>
      </w:r>
    </w:p>
    <w:p>
      <w:pPr>
        <w:spacing w:line="480" w:lineRule="exact"/>
        <w:ind w:left="360" w:hanging="360" w:hangingChars="150"/>
        <w:rPr>
          <w:rFonts w:ascii="宋体" w:hAnsi="宋体"/>
          <w:sz w:val="24"/>
          <w:szCs w:val="24"/>
        </w:rPr>
      </w:pPr>
      <w:r>
        <w:rPr>
          <w:rFonts w:hint="eastAsia" w:ascii="宋体" w:hAnsi="宋体"/>
          <w:sz w:val="24"/>
          <w:szCs w:val="24"/>
        </w:rPr>
        <w:t>1.2建设内容：</w:t>
      </w:r>
    </w:p>
    <w:p>
      <w:pPr>
        <w:spacing w:line="480" w:lineRule="exact"/>
        <w:ind w:left="359" w:leftChars="171"/>
        <w:rPr>
          <w:sz w:val="24"/>
          <w:szCs w:val="24"/>
        </w:rPr>
      </w:pPr>
      <w:r>
        <w:rPr>
          <w:sz w:val="24"/>
          <w:szCs w:val="24"/>
        </w:rPr>
        <w:t>（1）能够</w:t>
      </w:r>
      <w:r>
        <w:rPr>
          <w:rFonts w:hint="eastAsia"/>
          <w:sz w:val="24"/>
          <w:szCs w:val="24"/>
        </w:rPr>
        <w:t>移动式地</w:t>
      </w:r>
      <w:r>
        <w:rPr>
          <w:sz w:val="24"/>
          <w:szCs w:val="24"/>
        </w:rPr>
        <w:t>对港口船舶尾气排放SO</w:t>
      </w:r>
      <w:r>
        <w:rPr>
          <w:sz w:val="24"/>
          <w:szCs w:val="24"/>
          <w:vertAlign w:val="subscript"/>
        </w:rPr>
        <w:t>2</w:t>
      </w:r>
      <w:r>
        <w:rPr>
          <w:rFonts w:hint="eastAsia"/>
          <w:sz w:val="24"/>
          <w:szCs w:val="24"/>
        </w:rPr>
        <w:t>气体</w:t>
      </w:r>
      <w:r>
        <w:rPr>
          <w:sz w:val="24"/>
          <w:szCs w:val="24"/>
        </w:rPr>
        <w:t>进行采集、传输、处理及显示的船舶尾气监测</w:t>
      </w:r>
      <w:r>
        <w:rPr>
          <w:rFonts w:hint="eastAsia" w:ascii="宋体" w:hAnsi="宋体"/>
          <w:bCs/>
          <w:sz w:val="24"/>
          <w:szCs w:val="24"/>
        </w:rPr>
        <w:t>系统</w:t>
      </w:r>
      <w:r>
        <w:rPr>
          <w:sz w:val="24"/>
          <w:szCs w:val="24"/>
        </w:rPr>
        <w:t>，并且上述所有信息结合地理信息、船舶自动识别系统信息进行网络发布。</w:t>
      </w:r>
    </w:p>
    <w:p>
      <w:pPr>
        <w:spacing w:line="480" w:lineRule="exact"/>
        <w:rPr>
          <w:rFonts w:ascii="宋体" w:hAnsi="宋体" w:cs="宋体"/>
          <w:kern w:val="0"/>
          <w:sz w:val="24"/>
          <w:szCs w:val="24"/>
        </w:rPr>
      </w:pPr>
      <w:r>
        <w:rPr>
          <w:rFonts w:hint="eastAsia" w:ascii="宋体" w:hAnsi="宋体"/>
          <w:b/>
          <w:sz w:val="24"/>
          <w:szCs w:val="24"/>
        </w:rPr>
        <w:t>二、</w:t>
      </w:r>
      <w:r>
        <w:rPr>
          <w:rFonts w:hint="eastAsia" w:ascii="宋体" w:hAnsi="宋体"/>
          <w:b/>
          <w:bCs/>
          <w:sz w:val="24"/>
          <w:szCs w:val="24"/>
        </w:rPr>
        <w:t>船舶尾气监测系统参数</w:t>
      </w:r>
    </w:p>
    <w:p>
      <w:pPr>
        <w:spacing w:line="480" w:lineRule="exact"/>
        <w:rPr>
          <w:sz w:val="24"/>
          <w:szCs w:val="24"/>
        </w:rPr>
      </w:pPr>
      <w:r>
        <w:rPr>
          <w:sz w:val="24"/>
          <w:szCs w:val="24"/>
        </w:rPr>
        <w:t xml:space="preserve">2.1 </w:t>
      </w:r>
      <w:r>
        <w:rPr>
          <w:rFonts w:hint="eastAsia"/>
          <w:sz w:val="24"/>
          <w:szCs w:val="24"/>
        </w:rPr>
        <w:t>设备技术指标</w:t>
      </w:r>
    </w:p>
    <w:p>
      <w:pPr>
        <w:pStyle w:val="8"/>
        <w:numPr>
          <w:ilvl w:val="0"/>
          <w:numId w:val="2"/>
        </w:numPr>
        <w:spacing w:line="480" w:lineRule="exact"/>
        <w:ind w:firstLineChars="0"/>
        <w:rPr>
          <w:rFonts w:ascii="Times New Roman" w:hAnsi="Times New Roman"/>
          <w:sz w:val="24"/>
          <w:szCs w:val="24"/>
        </w:rPr>
      </w:pPr>
      <w:r>
        <w:rPr>
          <w:rFonts w:hint="eastAsia" w:ascii="Times New Roman" w:hAnsi="Times New Roman"/>
          <w:sz w:val="24"/>
          <w:szCs w:val="24"/>
        </w:rPr>
        <w:t>检测气体种类：</w:t>
      </w:r>
      <w:r>
        <w:rPr>
          <w:rFonts w:ascii="Times New Roman" w:hAnsi="Times New Roman"/>
          <w:sz w:val="24"/>
          <w:szCs w:val="24"/>
        </w:rPr>
        <w:t>SO</w:t>
      </w:r>
      <w:r>
        <w:rPr>
          <w:rFonts w:ascii="Times New Roman" w:hAnsi="Times New Roman"/>
          <w:sz w:val="24"/>
          <w:szCs w:val="24"/>
          <w:vertAlign w:val="subscript"/>
        </w:rPr>
        <w:t>2</w:t>
      </w:r>
    </w:p>
    <w:p>
      <w:pPr>
        <w:pStyle w:val="8"/>
        <w:numPr>
          <w:ilvl w:val="0"/>
          <w:numId w:val="2"/>
        </w:numPr>
        <w:spacing w:line="480" w:lineRule="exact"/>
        <w:ind w:firstLineChars="0"/>
        <w:rPr>
          <w:rFonts w:ascii="Times New Roman" w:hAnsi="Times New Roman"/>
          <w:sz w:val="24"/>
          <w:szCs w:val="24"/>
        </w:rPr>
      </w:pPr>
      <w:r>
        <w:rPr>
          <w:rFonts w:hint="eastAsia" w:ascii="Times New Roman" w:hAnsi="Times New Roman"/>
          <w:sz w:val="24"/>
          <w:szCs w:val="24"/>
        </w:rPr>
        <w:t>检测原理：紫外差分吸收光谱分析(DOAS)</w:t>
      </w:r>
      <w:r>
        <w:rPr>
          <w:rFonts w:ascii="Times New Roman" w:hAnsi="Times New Roman"/>
          <w:sz w:val="24"/>
          <w:szCs w:val="24"/>
        </w:rPr>
        <w:t>；测量范围：0-10ppm；</w:t>
      </w:r>
    </w:p>
    <w:p>
      <w:pPr>
        <w:pStyle w:val="8"/>
        <w:numPr>
          <w:ilvl w:val="0"/>
          <w:numId w:val="2"/>
        </w:numPr>
        <w:spacing w:line="480" w:lineRule="exact"/>
        <w:ind w:firstLineChars="0"/>
        <w:rPr>
          <w:rFonts w:ascii="Times New Roman" w:hAnsi="Times New Roman"/>
          <w:sz w:val="24"/>
          <w:szCs w:val="24"/>
        </w:rPr>
      </w:pPr>
      <w:r>
        <w:rPr>
          <w:rFonts w:ascii="Times New Roman" w:hAnsi="Times New Roman"/>
          <w:sz w:val="24"/>
          <w:szCs w:val="24"/>
        </w:rPr>
        <w:t>精度：±3% FS；示值误差：≤±5%FS； 重复性：≤2%；响应时间：≤60 s；</w:t>
      </w:r>
    </w:p>
    <w:p>
      <w:pPr>
        <w:pStyle w:val="8"/>
        <w:numPr>
          <w:ilvl w:val="0"/>
          <w:numId w:val="2"/>
        </w:numPr>
        <w:spacing w:line="480" w:lineRule="exact"/>
        <w:ind w:firstLineChars="0"/>
        <w:rPr>
          <w:rFonts w:ascii="Times New Roman" w:hAnsi="Times New Roman"/>
          <w:sz w:val="24"/>
          <w:szCs w:val="24"/>
        </w:rPr>
      </w:pPr>
      <w:r>
        <w:rPr>
          <w:rFonts w:ascii="Times New Roman" w:hAnsi="Times New Roman"/>
          <w:sz w:val="24"/>
          <w:szCs w:val="24"/>
        </w:rPr>
        <w:t>零点漂移：1%FS/24 小时；跨度漂移：1%FS/24 小时</w:t>
      </w:r>
    </w:p>
    <w:p>
      <w:pPr>
        <w:pStyle w:val="8"/>
        <w:numPr>
          <w:ilvl w:val="0"/>
          <w:numId w:val="2"/>
        </w:numPr>
        <w:spacing w:line="480" w:lineRule="exact"/>
        <w:ind w:firstLineChars="0"/>
        <w:rPr>
          <w:rFonts w:ascii="Times New Roman" w:hAnsi="Times New Roman"/>
          <w:sz w:val="24"/>
          <w:szCs w:val="24"/>
        </w:rPr>
      </w:pPr>
      <w:r>
        <w:rPr>
          <w:rFonts w:ascii="Times New Roman" w:hAnsi="Times New Roman"/>
          <w:sz w:val="24"/>
          <w:szCs w:val="24"/>
        </w:rPr>
        <w:t>加热温度： 40℃±2℃（可设置）;</w:t>
      </w:r>
    </w:p>
    <w:p>
      <w:pPr>
        <w:pStyle w:val="8"/>
        <w:numPr>
          <w:ilvl w:val="0"/>
          <w:numId w:val="2"/>
        </w:numPr>
        <w:spacing w:line="480" w:lineRule="exact"/>
        <w:ind w:firstLineChars="0"/>
        <w:rPr>
          <w:rFonts w:ascii="Times New Roman" w:hAnsi="Times New Roman"/>
          <w:sz w:val="24"/>
          <w:szCs w:val="24"/>
        </w:rPr>
      </w:pPr>
      <w:r>
        <w:rPr>
          <w:rFonts w:ascii="Times New Roman" w:hAnsi="Times New Roman"/>
          <w:sz w:val="24"/>
          <w:szCs w:val="24"/>
        </w:rPr>
        <w:t>采样湿度：0~99%RH;</w:t>
      </w:r>
    </w:p>
    <w:p>
      <w:pPr>
        <w:pStyle w:val="8"/>
        <w:numPr>
          <w:ilvl w:val="0"/>
          <w:numId w:val="2"/>
        </w:numPr>
        <w:spacing w:line="480" w:lineRule="exact"/>
        <w:ind w:firstLineChars="0"/>
        <w:rPr>
          <w:rFonts w:ascii="Times New Roman" w:hAnsi="Times New Roman"/>
          <w:sz w:val="24"/>
          <w:szCs w:val="24"/>
        </w:rPr>
      </w:pPr>
      <w:r>
        <w:rPr>
          <w:rFonts w:ascii="Times New Roman" w:hAnsi="Times New Roman"/>
          <w:sz w:val="24"/>
          <w:szCs w:val="24"/>
        </w:rPr>
        <w:t>主机工作环境：- 40℃ ~70℃，≤ 95%RH;</w:t>
      </w:r>
    </w:p>
    <w:p>
      <w:pPr>
        <w:pStyle w:val="8"/>
        <w:numPr>
          <w:ilvl w:val="0"/>
          <w:numId w:val="2"/>
        </w:numPr>
        <w:spacing w:line="480" w:lineRule="exact"/>
        <w:ind w:firstLineChars="0"/>
        <w:rPr>
          <w:rFonts w:ascii="Times New Roman" w:hAnsi="Times New Roman"/>
          <w:sz w:val="24"/>
          <w:szCs w:val="24"/>
        </w:rPr>
      </w:pPr>
      <w:r>
        <w:rPr>
          <w:rFonts w:ascii="Times New Roman" w:hAnsi="Times New Roman"/>
          <w:sz w:val="24"/>
          <w:szCs w:val="24"/>
        </w:rPr>
        <w:t>工作方式：在线式连续工作，泵吸抽取式采样;</w:t>
      </w:r>
    </w:p>
    <w:p>
      <w:pPr>
        <w:pStyle w:val="8"/>
        <w:numPr>
          <w:ilvl w:val="0"/>
          <w:numId w:val="2"/>
        </w:numPr>
        <w:spacing w:line="480" w:lineRule="exact"/>
        <w:ind w:firstLineChars="0"/>
        <w:rPr>
          <w:rFonts w:ascii="Times New Roman" w:hAnsi="Times New Roman"/>
          <w:sz w:val="24"/>
          <w:szCs w:val="24"/>
        </w:rPr>
      </w:pPr>
      <w:r>
        <w:rPr>
          <w:rFonts w:ascii="Times New Roman" w:hAnsi="Times New Roman"/>
          <w:sz w:val="24"/>
          <w:szCs w:val="24"/>
        </w:rPr>
        <w:t>采样流量：可调，1升/分钟(标准)，2升/分钟，可选;</w:t>
      </w:r>
    </w:p>
    <w:p>
      <w:pPr>
        <w:pStyle w:val="8"/>
        <w:numPr>
          <w:ilvl w:val="0"/>
          <w:numId w:val="2"/>
        </w:numPr>
        <w:spacing w:line="480" w:lineRule="exact"/>
        <w:ind w:firstLineChars="0"/>
        <w:rPr>
          <w:rFonts w:ascii="Times New Roman" w:hAnsi="Times New Roman"/>
          <w:sz w:val="24"/>
          <w:szCs w:val="24"/>
        </w:rPr>
      </w:pPr>
      <w:r>
        <w:rPr>
          <w:rFonts w:ascii="Times New Roman" w:hAnsi="Times New Roman"/>
          <w:sz w:val="24"/>
          <w:szCs w:val="24"/>
        </w:rPr>
        <w:t>输出信号： RS485、无线4G传输;</w:t>
      </w:r>
    </w:p>
    <w:p>
      <w:pPr>
        <w:pStyle w:val="8"/>
        <w:numPr>
          <w:ilvl w:val="0"/>
          <w:numId w:val="2"/>
        </w:numPr>
        <w:spacing w:line="480" w:lineRule="exact"/>
        <w:ind w:firstLineChars="0"/>
        <w:rPr>
          <w:rFonts w:ascii="Times New Roman" w:hAnsi="Times New Roman"/>
          <w:sz w:val="24"/>
          <w:szCs w:val="24"/>
        </w:rPr>
      </w:pPr>
      <w:r>
        <w:rPr>
          <w:rFonts w:ascii="Times New Roman" w:hAnsi="Times New Roman"/>
          <w:sz w:val="24"/>
          <w:szCs w:val="24"/>
        </w:rPr>
        <w:t>外形尺寸：</w:t>
      </w:r>
      <w:r>
        <w:rPr>
          <w:rFonts w:hint="eastAsia" w:ascii="Times New Roman" w:hAnsi="Times New Roman"/>
          <w:sz w:val="24"/>
          <w:szCs w:val="24"/>
        </w:rPr>
        <w:t>小于800mm×600mm×850mm</w:t>
      </w:r>
    </w:p>
    <w:p>
      <w:pPr>
        <w:pStyle w:val="8"/>
        <w:numPr>
          <w:ilvl w:val="0"/>
          <w:numId w:val="2"/>
        </w:numPr>
        <w:spacing w:line="480" w:lineRule="exact"/>
        <w:ind w:firstLineChars="0"/>
        <w:rPr>
          <w:rFonts w:ascii="Times New Roman" w:hAnsi="Times New Roman"/>
          <w:sz w:val="24"/>
          <w:szCs w:val="24"/>
        </w:rPr>
      </w:pPr>
      <w:r>
        <w:rPr>
          <w:rFonts w:hint="eastAsia" w:ascii="Times New Roman" w:hAnsi="Times New Roman"/>
          <w:sz w:val="24"/>
          <w:szCs w:val="24"/>
        </w:rPr>
        <w:t>外壳具有防水防尘保护，</w:t>
      </w:r>
      <w:r>
        <w:rPr>
          <w:rFonts w:ascii="Times New Roman" w:hAnsi="Times New Roman"/>
          <w:sz w:val="24"/>
          <w:szCs w:val="24"/>
        </w:rPr>
        <w:t>防护级别：IP65 户外防水型;</w:t>
      </w:r>
      <w:r>
        <w:rPr>
          <w:rFonts w:hint="eastAsia"/>
        </w:rPr>
        <w:t xml:space="preserve"> </w:t>
      </w:r>
    </w:p>
    <w:p>
      <w:pPr>
        <w:pStyle w:val="8"/>
        <w:numPr>
          <w:ilvl w:val="0"/>
          <w:numId w:val="2"/>
        </w:numPr>
        <w:spacing w:line="480" w:lineRule="exact"/>
        <w:ind w:firstLineChars="0"/>
        <w:rPr>
          <w:rFonts w:ascii="Times New Roman" w:hAnsi="Times New Roman"/>
          <w:sz w:val="24"/>
          <w:szCs w:val="24"/>
        </w:rPr>
      </w:pPr>
      <w:r>
        <w:rPr>
          <w:rFonts w:hint="eastAsia" w:ascii="Times New Roman" w:hAnsi="Times New Roman"/>
          <w:sz w:val="24"/>
          <w:szCs w:val="24"/>
        </w:rPr>
        <w:t>供电系统： 220v 交流电。</w:t>
      </w:r>
    </w:p>
    <w:p>
      <w:pPr>
        <w:pStyle w:val="8"/>
        <w:numPr>
          <w:ilvl w:val="0"/>
          <w:numId w:val="2"/>
        </w:numPr>
        <w:spacing w:line="480" w:lineRule="exact"/>
        <w:ind w:firstLineChars="0"/>
        <w:rPr>
          <w:rFonts w:ascii="Times New Roman" w:hAnsi="Times New Roman"/>
          <w:sz w:val="24"/>
          <w:szCs w:val="24"/>
        </w:rPr>
      </w:pPr>
      <w:r>
        <w:rPr>
          <w:rFonts w:hint="eastAsia" w:ascii="Times New Roman" w:hAnsi="Times New Roman"/>
          <w:sz w:val="24"/>
          <w:szCs w:val="24"/>
        </w:rPr>
        <w:t xml:space="preserve">主机防护外壳材质： SPCC </w:t>
      </w:r>
    </w:p>
    <w:p>
      <w:pPr>
        <w:pStyle w:val="8"/>
        <w:numPr>
          <w:ilvl w:val="0"/>
          <w:numId w:val="2"/>
        </w:numPr>
        <w:spacing w:line="480" w:lineRule="exact"/>
        <w:ind w:firstLineChars="0"/>
        <w:rPr>
          <w:rFonts w:ascii="Times New Roman" w:hAnsi="Times New Roman"/>
          <w:sz w:val="24"/>
          <w:szCs w:val="24"/>
        </w:rPr>
      </w:pPr>
      <w:r>
        <w:rPr>
          <w:rFonts w:hint="eastAsia" w:ascii="Times New Roman" w:hAnsi="Times New Roman"/>
          <w:sz w:val="24"/>
          <w:szCs w:val="24"/>
        </w:rPr>
        <w:t>总重量：小于90kg</w:t>
      </w:r>
    </w:p>
    <w:p>
      <w:pPr>
        <w:pStyle w:val="8"/>
        <w:numPr>
          <w:ilvl w:val="0"/>
          <w:numId w:val="2"/>
        </w:numPr>
        <w:spacing w:line="480" w:lineRule="exact"/>
        <w:ind w:firstLineChars="0"/>
        <w:rPr>
          <w:rFonts w:ascii="Times New Roman" w:hAnsi="Times New Roman"/>
          <w:sz w:val="24"/>
          <w:szCs w:val="24"/>
        </w:rPr>
      </w:pPr>
      <w:r>
        <w:rPr>
          <w:rFonts w:ascii="Times New Roman" w:hAnsi="Times New Roman"/>
          <w:sz w:val="24"/>
          <w:szCs w:val="24"/>
        </w:rPr>
        <w:t>显示方式：标准产品为无视窗显示，可选 7 寸触摸彩屏显示</w:t>
      </w:r>
    </w:p>
    <w:p>
      <w:pPr>
        <w:pStyle w:val="8"/>
        <w:numPr>
          <w:ilvl w:val="0"/>
          <w:numId w:val="2"/>
        </w:numPr>
        <w:spacing w:line="480" w:lineRule="exact"/>
        <w:ind w:firstLineChars="0"/>
        <w:rPr>
          <w:rFonts w:ascii="Times New Roman" w:hAnsi="Times New Roman"/>
          <w:sz w:val="24"/>
          <w:szCs w:val="24"/>
        </w:rPr>
      </w:pPr>
      <w:r>
        <w:rPr>
          <w:rFonts w:ascii="Times New Roman" w:hAnsi="Times New Roman"/>
          <w:sz w:val="24"/>
          <w:szCs w:val="24"/>
        </w:rPr>
        <w:t>打印方式：可无线蓝牙打印机进行打印</w:t>
      </w:r>
    </w:p>
    <w:p>
      <w:pPr>
        <w:pStyle w:val="8"/>
        <w:numPr>
          <w:ilvl w:val="0"/>
          <w:numId w:val="2"/>
        </w:numPr>
        <w:spacing w:line="480" w:lineRule="exact"/>
        <w:ind w:firstLineChars="0"/>
        <w:rPr>
          <w:rFonts w:hint="eastAsia" w:ascii="Times New Roman" w:hAnsi="Times New Roman"/>
          <w:sz w:val="24"/>
          <w:szCs w:val="24"/>
        </w:rPr>
      </w:pPr>
      <w:r>
        <w:rPr>
          <w:rFonts w:hint="eastAsia" w:ascii="Times New Roman" w:hAnsi="Times New Roman"/>
          <w:sz w:val="24"/>
          <w:szCs w:val="24"/>
        </w:rPr>
        <w:t>具备船舶排放因子实时分析功能，能够综合接收到的船舶AIS数据以及船舶发动机数据，自动计算所检测船舶的S</w:t>
      </w:r>
      <w:r>
        <w:rPr>
          <w:rFonts w:ascii="Times New Roman" w:hAnsi="Times New Roman"/>
          <w:sz w:val="24"/>
          <w:szCs w:val="24"/>
        </w:rPr>
        <w:t>OX</w:t>
      </w:r>
      <w:r>
        <w:rPr>
          <w:rFonts w:hint="eastAsia" w:ascii="Times New Roman" w:hAnsi="Times New Roman"/>
          <w:sz w:val="24"/>
          <w:szCs w:val="24"/>
        </w:rPr>
        <w:t>排放因子。</w:t>
      </w:r>
    </w:p>
    <w:p>
      <w:pPr>
        <w:spacing w:line="480" w:lineRule="exact"/>
        <w:rPr>
          <w:sz w:val="24"/>
          <w:szCs w:val="24"/>
        </w:rPr>
      </w:pPr>
      <w:r>
        <w:rPr>
          <w:sz w:val="24"/>
          <w:szCs w:val="24"/>
        </w:rPr>
        <w:t>2.2监测数据控制、处理与传输</w:t>
      </w:r>
    </w:p>
    <w:p>
      <w:pPr>
        <w:spacing w:line="480" w:lineRule="exact"/>
        <w:ind w:left="359" w:leftChars="171"/>
        <w:rPr>
          <w:rFonts w:eastAsiaTheme="minorEastAsia"/>
          <w:sz w:val="24"/>
        </w:rPr>
      </w:pPr>
      <w:r>
        <w:rPr>
          <w:sz w:val="24"/>
          <w:szCs w:val="24"/>
        </w:rPr>
        <w:t>（1）监测数据传输方式：</w:t>
      </w:r>
      <w:r>
        <w:rPr>
          <w:rFonts w:eastAsiaTheme="minorEastAsia"/>
          <w:sz w:val="24"/>
        </w:rPr>
        <w:t>正常工况下采用4G信号将所采集的数据发送</w:t>
      </w:r>
      <w:r>
        <w:rPr>
          <w:rFonts w:hint="eastAsia" w:eastAsiaTheme="minorEastAsia"/>
          <w:sz w:val="24"/>
        </w:rPr>
        <w:t>按照用户所定义的协议发送至用户</w:t>
      </w:r>
      <w:r>
        <w:rPr>
          <w:rFonts w:eastAsiaTheme="minorEastAsia"/>
          <w:sz w:val="24"/>
        </w:rPr>
        <w:t>服务器。</w:t>
      </w:r>
      <w:r>
        <w:rPr>
          <w:sz w:val="24"/>
          <w:szCs w:val="24"/>
        </w:rPr>
        <w:t>此外，检测数据也可以通过485接口进行输出。</w:t>
      </w:r>
    </w:p>
    <w:p>
      <w:pPr>
        <w:spacing w:line="480" w:lineRule="exact"/>
        <w:rPr>
          <w:sz w:val="24"/>
          <w:szCs w:val="24"/>
        </w:rPr>
      </w:pPr>
      <w:r>
        <w:rPr>
          <w:sz w:val="24"/>
          <w:szCs w:val="24"/>
        </w:rPr>
        <w:t>*2.3气体采样装置</w:t>
      </w:r>
    </w:p>
    <w:p>
      <w:pPr>
        <w:spacing w:line="480" w:lineRule="exact"/>
        <w:ind w:left="359" w:leftChars="171"/>
        <w:rPr>
          <w:sz w:val="24"/>
          <w:szCs w:val="24"/>
        </w:rPr>
      </w:pPr>
      <w:r>
        <w:rPr>
          <w:sz w:val="24"/>
          <w:szCs w:val="24"/>
        </w:rPr>
        <w:t>（1）所检测尾气通过气泵吸入吊舱气路进行后续分析</w:t>
      </w:r>
    </w:p>
    <w:p>
      <w:pPr>
        <w:spacing w:line="480" w:lineRule="exact"/>
        <w:ind w:left="359" w:leftChars="171"/>
        <w:rPr>
          <w:sz w:val="24"/>
          <w:szCs w:val="24"/>
        </w:rPr>
      </w:pPr>
      <w:r>
        <w:rPr>
          <w:sz w:val="24"/>
          <w:szCs w:val="24"/>
        </w:rPr>
        <w:t>（2）气泵进气速度可调</w:t>
      </w:r>
    </w:p>
    <w:p>
      <w:pPr>
        <w:spacing w:line="480" w:lineRule="exact"/>
        <w:ind w:left="359" w:leftChars="171"/>
        <w:rPr>
          <w:sz w:val="24"/>
          <w:szCs w:val="24"/>
        </w:rPr>
      </w:pPr>
      <w:r>
        <w:rPr>
          <w:sz w:val="24"/>
          <w:szCs w:val="24"/>
        </w:rPr>
        <w:t>（3）气路材料能够有效耐受尾气的腐蚀</w:t>
      </w:r>
    </w:p>
    <w:p>
      <w:pPr>
        <w:spacing w:line="480" w:lineRule="exact"/>
        <w:ind w:left="359" w:leftChars="171"/>
        <w:rPr>
          <w:sz w:val="24"/>
          <w:szCs w:val="24"/>
        </w:rPr>
      </w:pPr>
      <w:r>
        <w:rPr>
          <w:sz w:val="24"/>
          <w:szCs w:val="24"/>
        </w:rPr>
        <w:t>（4）</w:t>
      </w:r>
      <w:r>
        <w:rPr>
          <w:rFonts w:hint="eastAsia"/>
          <w:sz w:val="24"/>
          <w:szCs w:val="24"/>
        </w:rPr>
        <w:t>简易进气采样子系统用于构建尾气嗅探气路，过滤无效干扰砌体以及颗粒物</w:t>
      </w:r>
      <w:r>
        <w:rPr>
          <w:sz w:val="24"/>
          <w:szCs w:val="24"/>
        </w:rPr>
        <w:t>。</w:t>
      </w:r>
    </w:p>
    <w:p>
      <w:pPr>
        <w:spacing w:line="480" w:lineRule="exact"/>
        <w:jc w:val="left"/>
        <w:rPr>
          <w:sz w:val="24"/>
          <w:szCs w:val="24"/>
        </w:rPr>
      </w:pPr>
      <w:r>
        <w:rPr>
          <w:sz w:val="24"/>
          <w:szCs w:val="24"/>
        </w:rPr>
        <w:t>*2.4其他需求：</w:t>
      </w:r>
    </w:p>
    <w:p>
      <w:pPr>
        <w:spacing w:line="480" w:lineRule="atLeast"/>
        <w:ind w:left="359" w:leftChars="171"/>
        <w:rPr>
          <w:sz w:val="24"/>
          <w:szCs w:val="24"/>
        </w:rPr>
      </w:pPr>
      <w:r>
        <w:rPr>
          <w:sz w:val="24"/>
          <w:szCs w:val="24"/>
        </w:rPr>
        <w:t>（1）应用单片机技术和网络通讯技术相结合，内置TF数据卡存储功能，要求数据存储为.csv文件；并可以通过USB接口将数据转存至计算机，利用excel等软件即可查看数据；</w:t>
      </w:r>
    </w:p>
    <w:p>
      <w:pPr>
        <w:spacing w:line="480" w:lineRule="atLeast"/>
        <w:ind w:left="359" w:leftChars="171"/>
        <w:rPr>
          <w:sz w:val="24"/>
          <w:szCs w:val="24"/>
        </w:rPr>
      </w:pPr>
      <w:r>
        <w:rPr>
          <w:sz w:val="24"/>
          <w:szCs w:val="24"/>
        </w:rPr>
        <w:t>（2）提供</w:t>
      </w:r>
      <w:r>
        <w:rPr>
          <w:rFonts w:hint="eastAsia"/>
          <w:sz w:val="24"/>
          <w:szCs w:val="24"/>
        </w:rPr>
        <w:t>设备</w:t>
      </w:r>
      <w:r>
        <w:rPr>
          <w:sz w:val="24"/>
          <w:szCs w:val="24"/>
        </w:rPr>
        <w:t>主板设计图纸，统一采用PROTEL 或更高级的版本作为印制板自动化设计平台，并要求最终将原理图及PCB交付至用户</w:t>
      </w:r>
    </w:p>
    <w:p>
      <w:pPr>
        <w:spacing w:line="480" w:lineRule="atLeast"/>
        <w:ind w:left="359" w:leftChars="171"/>
        <w:rPr>
          <w:sz w:val="24"/>
          <w:szCs w:val="24"/>
        </w:rPr>
      </w:pPr>
      <w:r>
        <w:rPr>
          <w:sz w:val="24"/>
          <w:szCs w:val="24"/>
        </w:rPr>
        <w:t>（3）提供</w:t>
      </w:r>
      <w:r>
        <w:rPr>
          <w:rFonts w:hint="eastAsia"/>
          <w:sz w:val="24"/>
          <w:szCs w:val="24"/>
        </w:rPr>
        <w:t>设备</w:t>
      </w:r>
      <w:r>
        <w:rPr>
          <w:sz w:val="24"/>
          <w:szCs w:val="24"/>
        </w:rPr>
        <w:t>主板源代码及说明文件，并要求最终将源代码交付。</w:t>
      </w:r>
    </w:p>
    <w:p>
      <w:pPr>
        <w:spacing w:line="480" w:lineRule="exact"/>
        <w:ind w:left="359" w:leftChars="171"/>
        <w:rPr>
          <w:sz w:val="24"/>
          <w:szCs w:val="24"/>
        </w:rPr>
      </w:pPr>
      <w:r>
        <w:rPr>
          <w:sz w:val="24"/>
          <w:szCs w:val="24"/>
        </w:rPr>
        <w:t>（4）</w:t>
      </w:r>
      <w:r>
        <w:rPr>
          <w:rFonts w:hint="eastAsia"/>
          <w:sz w:val="24"/>
          <w:szCs w:val="24"/>
        </w:rPr>
        <w:t>设备涉及</w:t>
      </w:r>
      <w:r>
        <w:rPr>
          <w:sz w:val="24"/>
          <w:szCs w:val="24"/>
        </w:rPr>
        <w:t>所有软件系统需要提供源代码。</w:t>
      </w:r>
    </w:p>
    <w:p>
      <w:pPr>
        <w:spacing w:line="480" w:lineRule="exact"/>
        <w:ind w:left="360" w:hanging="360" w:hangingChars="150"/>
        <w:rPr>
          <w:sz w:val="24"/>
          <w:szCs w:val="24"/>
        </w:rPr>
      </w:pPr>
      <w:r>
        <w:rPr>
          <w:sz w:val="24"/>
          <w:szCs w:val="24"/>
        </w:rPr>
        <w:t>2.10 主要设备参考清单</w:t>
      </w:r>
    </w:p>
    <w:tbl>
      <w:tblPr>
        <w:tblStyle w:val="4"/>
        <w:tblW w:w="5000" w:type="pct"/>
        <w:jc w:val="center"/>
        <w:tblLayout w:type="autofit"/>
        <w:tblCellMar>
          <w:top w:w="0" w:type="dxa"/>
          <w:left w:w="108" w:type="dxa"/>
          <w:bottom w:w="0" w:type="dxa"/>
          <w:right w:w="108" w:type="dxa"/>
        </w:tblCellMar>
      </w:tblPr>
      <w:tblGrid>
        <w:gridCol w:w="2668"/>
        <w:gridCol w:w="4012"/>
        <w:gridCol w:w="1842"/>
      </w:tblGrid>
      <w:tr>
        <w:tblPrEx>
          <w:tblCellMar>
            <w:top w:w="0" w:type="dxa"/>
            <w:left w:w="108" w:type="dxa"/>
            <w:bottom w:w="0" w:type="dxa"/>
            <w:right w:w="108" w:type="dxa"/>
          </w:tblCellMar>
        </w:tblPrEx>
        <w:trPr>
          <w:jc w:val="center"/>
        </w:trPr>
        <w:tc>
          <w:tcPr>
            <w:tcW w:w="1565" w:type="pct"/>
            <w:tcBorders>
              <w:top w:val="single" w:color="000000" w:sz="4" w:space="0"/>
              <w:left w:val="single" w:color="000000" w:sz="4" w:space="0"/>
              <w:bottom w:val="single" w:color="000000" w:sz="4" w:space="0"/>
              <w:right w:val="single" w:color="000000" w:sz="4" w:space="0"/>
            </w:tcBorders>
          </w:tcPr>
          <w:p>
            <w:pPr>
              <w:widowControl/>
              <w:spacing w:line="480" w:lineRule="exact"/>
              <w:ind w:left="577" w:hanging="577"/>
              <w:jc w:val="center"/>
              <w:rPr>
                <w:sz w:val="24"/>
                <w:szCs w:val="24"/>
              </w:rPr>
            </w:pPr>
            <w:r>
              <w:rPr>
                <w:sz w:val="24"/>
                <w:szCs w:val="24"/>
              </w:rPr>
              <w:t>设备名称</w:t>
            </w:r>
          </w:p>
        </w:tc>
        <w:tc>
          <w:tcPr>
            <w:tcW w:w="2353" w:type="pct"/>
            <w:tcBorders>
              <w:top w:val="single" w:color="000000" w:sz="4" w:space="0"/>
              <w:left w:val="nil"/>
              <w:bottom w:val="single" w:color="000000" w:sz="4" w:space="0"/>
              <w:right w:val="single" w:color="000000" w:sz="4" w:space="0"/>
            </w:tcBorders>
          </w:tcPr>
          <w:p>
            <w:pPr>
              <w:widowControl/>
              <w:spacing w:line="480" w:lineRule="exact"/>
              <w:jc w:val="center"/>
              <w:rPr>
                <w:sz w:val="24"/>
                <w:szCs w:val="24"/>
              </w:rPr>
            </w:pPr>
            <w:r>
              <w:rPr>
                <w:sz w:val="24"/>
                <w:szCs w:val="24"/>
              </w:rPr>
              <w:t>设备描述</w:t>
            </w:r>
          </w:p>
        </w:tc>
        <w:tc>
          <w:tcPr>
            <w:tcW w:w="1080" w:type="pct"/>
            <w:tcBorders>
              <w:top w:val="single" w:color="000000" w:sz="4" w:space="0"/>
              <w:left w:val="nil"/>
              <w:bottom w:val="single" w:color="000000" w:sz="4" w:space="0"/>
              <w:right w:val="single" w:color="000000" w:sz="4" w:space="0"/>
            </w:tcBorders>
          </w:tcPr>
          <w:p>
            <w:pPr>
              <w:widowControl/>
              <w:spacing w:line="480" w:lineRule="exact"/>
              <w:jc w:val="center"/>
              <w:rPr>
                <w:sz w:val="24"/>
                <w:szCs w:val="24"/>
              </w:rPr>
            </w:pPr>
            <w:r>
              <w:rPr>
                <w:sz w:val="24"/>
                <w:szCs w:val="24"/>
              </w:rPr>
              <w:t>数量（估算）</w:t>
            </w:r>
          </w:p>
        </w:tc>
      </w:tr>
      <w:tr>
        <w:tblPrEx>
          <w:tblCellMar>
            <w:top w:w="0" w:type="dxa"/>
            <w:left w:w="108" w:type="dxa"/>
            <w:bottom w:w="0" w:type="dxa"/>
            <w:right w:w="108" w:type="dxa"/>
          </w:tblCellMar>
        </w:tblPrEx>
        <w:trPr>
          <w:jc w:val="center"/>
        </w:trPr>
        <w:tc>
          <w:tcPr>
            <w:tcW w:w="1565" w:type="pct"/>
            <w:tcBorders>
              <w:top w:val="single" w:color="000000" w:sz="4" w:space="0"/>
              <w:left w:val="single" w:color="000000" w:sz="4" w:space="0"/>
              <w:bottom w:val="single" w:color="000000" w:sz="4" w:space="0"/>
              <w:right w:val="single" w:color="000000" w:sz="4" w:space="0"/>
            </w:tcBorders>
          </w:tcPr>
          <w:p>
            <w:pPr>
              <w:widowControl/>
              <w:spacing w:line="480" w:lineRule="exact"/>
              <w:ind w:left="577" w:hanging="577"/>
              <w:jc w:val="center"/>
              <w:rPr>
                <w:sz w:val="24"/>
                <w:szCs w:val="24"/>
              </w:rPr>
            </w:pPr>
            <w:r>
              <w:rPr>
                <w:rFonts w:hint="eastAsia"/>
                <w:sz w:val="24"/>
                <w:szCs w:val="24"/>
              </w:rPr>
              <w:t>气体检测仪</w:t>
            </w:r>
          </w:p>
        </w:tc>
        <w:tc>
          <w:tcPr>
            <w:tcW w:w="2353" w:type="pct"/>
            <w:tcBorders>
              <w:top w:val="single" w:color="000000" w:sz="4" w:space="0"/>
              <w:left w:val="nil"/>
              <w:bottom w:val="single" w:color="000000" w:sz="4" w:space="0"/>
              <w:right w:val="single" w:color="000000" w:sz="4" w:space="0"/>
            </w:tcBorders>
          </w:tcPr>
          <w:p>
            <w:pPr>
              <w:widowControl/>
              <w:spacing w:line="480" w:lineRule="exact"/>
              <w:jc w:val="center"/>
              <w:rPr>
                <w:sz w:val="24"/>
                <w:szCs w:val="24"/>
              </w:rPr>
            </w:pPr>
            <w:r>
              <w:rPr>
                <w:sz w:val="24"/>
                <w:szCs w:val="24"/>
              </w:rPr>
              <w:t>SO</w:t>
            </w:r>
            <w:r>
              <w:rPr>
                <w:sz w:val="24"/>
                <w:szCs w:val="24"/>
                <w:vertAlign w:val="subscript"/>
              </w:rPr>
              <w:t>2</w:t>
            </w:r>
            <w:r>
              <w:rPr>
                <w:sz w:val="24"/>
                <w:szCs w:val="24"/>
              </w:rPr>
              <w:t>：</w:t>
            </w:r>
            <w:r>
              <w:rPr>
                <w:rFonts w:hint="eastAsia"/>
                <w:sz w:val="24"/>
                <w:szCs w:val="24"/>
              </w:rPr>
              <w:t>检测原理：紫外差分吸收光谱分析(DOAS)</w:t>
            </w:r>
          </w:p>
          <w:p>
            <w:pPr>
              <w:widowControl/>
              <w:spacing w:line="480" w:lineRule="exact"/>
              <w:jc w:val="center"/>
              <w:rPr>
                <w:sz w:val="24"/>
                <w:szCs w:val="24"/>
              </w:rPr>
            </w:pPr>
          </w:p>
        </w:tc>
        <w:tc>
          <w:tcPr>
            <w:tcW w:w="1080" w:type="pct"/>
            <w:tcBorders>
              <w:top w:val="single" w:color="000000" w:sz="4" w:space="0"/>
              <w:left w:val="nil"/>
              <w:bottom w:val="single" w:color="000000" w:sz="4" w:space="0"/>
              <w:right w:val="single" w:color="000000" w:sz="4" w:space="0"/>
            </w:tcBorders>
          </w:tcPr>
          <w:p>
            <w:pPr>
              <w:widowControl/>
              <w:spacing w:line="480" w:lineRule="exact"/>
              <w:jc w:val="center"/>
              <w:rPr>
                <w:sz w:val="24"/>
                <w:szCs w:val="24"/>
              </w:rPr>
            </w:pPr>
            <w:r>
              <w:rPr>
                <w:sz w:val="24"/>
                <w:szCs w:val="24"/>
              </w:rPr>
              <w:t>1个</w:t>
            </w:r>
          </w:p>
        </w:tc>
      </w:tr>
      <w:tr>
        <w:tblPrEx>
          <w:tblCellMar>
            <w:top w:w="0" w:type="dxa"/>
            <w:left w:w="108" w:type="dxa"/>
            <w:bottom w:w="0" w:type="dxa"/>
            <w:right w:w="108" w:type="dxa"/>
          </w:tblCellMar>
        </w:tblPrEx>
        <w:trPr>
          <w:jc w:val="center"/>
        </w:trPr>
        <w:tc>
          <w:tcPr>
            <w:tcW w:w="1565" w:type="pct"/>
            <w:tcBorders>
              <w:top w:val="single" w:color="000000" w:sz="4" w:space="0"/>
              <w:left w:val="single" w:color="000000" w:sz="4" w:space="0"/>
              <w:bottom w:val="single" w:color="000000" w:sz="4" w:space="0"/>
              <w:right w:val="single" w:color="000000" w:sz="4" w:space="0"/>
            </w:tcBorders>
          </w:tcPr>
          <w:p>
            <w:pPr>
              <w:widowControl/>
              <w:spacing w:line="480" w:lineRule="exact"/>
              <w:ind w:left="577" w:hanging="577"/>
              <w:jc w:val="center"/>
              <w:rPr>
                <w:sz w:val="24"/>
                <w:szCs w:val="24"/>
              </w:rPr>
            </w:pPr>
            <w:r>
              <w:rPr>
                <w:rFonts w:hint="eastAsia"/>
                <w:sz w:val="24"/>
                <w:szCs w:val="24"/>
              </w:rPr>
              <w:t>户外主机</w:t>
            </w:r>
          </w:p>
        </w:tc>
        <w:tc>
          <w:tcPr>
            <w:tcW w:w="2353" w:type="pct"/>
            <w:tcBorders>
              <w:top w:val="single" w:color="000000" w:sz="4" w:space="0"/>
              <w:left w:val="nil"/>
              <w:bottom w:val="single" w:color="000000" w:sz="4" w:space="0"/>
              <w:right w:val="single" w:color="000000" w:sz="4" w:space="0"/>
            </w:tcBorders>
          </w:tcPr>
          <w:p>
            <w:pPr>
              <w:widowControl/>
              <w:spacing w:line="480" w:lineRule="exact"/>
              <w:jc w:val="center"/>
              <w:rPr>
                <w:sz w:val="24"/>
                <w:szCs w:val="24"/>
              </w:rPr>
            </w:pPr>
            <w:r>
              <w:rPr>
                <w:rFonts w:hint="eastAsia"/>
                <w:sz w:val="24"/>
                <w:szCs w:val="24"/>
              </w:rPr>
              <w:t>（包含机柜以及电控电路主板等）</w:t>
            </w:r>
          </w:p>
        </w:tc>
        <w:tc>
          <w:tcPr>
            <w:tcW w:w="1080" w:type="pct"/>
            <w:tcBorders>
              <w:top w:val="single" w:color="000000" w:sz="4" w:space="0"/>
              <w:left w:val="nil"/>
              <w:bottom w:val="single" w:color="000000" w:sz="4" w:space="0"/>
              <w:right w:val="single" w:color="000000" w:sz="4" w:space="0"/>
            </w:tcBorders>
          </w:tcPr>
          <w:p>
            <w:pPr>
              <w:widowControl/>
              <w:spacing w:line="480" w:lineRule="exact"/>
              <w:jc w:val="center"/>
              <w:rPr>
                <w:sz w:val="24"/>
                <w:szCs w:val="24"/>
              </w:rPr>
            </w:pPr>
            <w:r>
              <w:rPr>
                <w:sz w:val="24"/>
                <w:szCs w:val="24"/>
              </w:rPr>
              <w:t>1个</w:t>
            </w:r>
          </w:p>
        </w:tc>
      </w:tr>
    </w:tbl>
    <w:p>
      <w:pPr>
        <w:spacing w:line="480" w:lineRule="exact"/>
        <w:ind w:left="480" w:hanging="480" w:hangingChars="200"/>
        <w:rPr>
          <w:rFonts w:ascii="宋体" w:hAnsi="宋体"/>
          <w:sz w:val="24"/>
          <w:szCs w:val="24"/>
        </w:rPr>
      </w:pPr>
      <w:r>
        <w:rPr>
          <w:rFonts w:hint="eastAsia" w:ascii="宋体" w:hAnsi="宋体"/>
          <w:sz w:val="24"/>
          <w:szCs w:val="24"/>
        </w:rPr>
        <w:t>（1）投标人应在投标文件中提供所有设备、软件系统以及实验的名称、型号、规格、数量、生产厂商、单价及总价。上述表格中的设备清单仅供投标人参考，投标人可根据各自的产品情况，在符合本次招标人所提要求的前提下自行确定。</w:t>
      </w:r>
    </w:p>
    <w:p>
      <w:pPr>
        <w:spacing w:line="480" w:lineRule="exact"/>
        <w:ind w:left="480" w:hanging="480" w:hangingChars="200"/>
        <w:rPr>
          <w:rFonts w:ascii="宋体" w:hAnsi="宋体"/>
          <w:sz w:val="24"/>
          <w:szCs w:val="24"/>
        </w:rPr>
      </w:pPr>
      <w:r>
        <w:rPr>
          <w:rFonts w:hint="eastAsia" w:ascii="宋体" w:hAnsi="宋体"/>
          <w:sz w:val="24"/>
          <w:szCs w:val="24"/>
        </w:rPr>
        <w:t>（2）投标人根据自身所投产品的实际情况对上述设备的配置、数量等进行更改时，其性能不能低于招标方的所有要求。</w:t>
      </w:r>
    </w:p>
    <w:p>
      <w:pPr>
        <w:spacing w:line="480" w:lineRule="exact"/>
        <w:ind w:left="480" w:hanging="480" w:hangingChars="200"/>
        <w:rPr>
          <w:rFonts w:ascii="宋体" w:hAnsi="宋体"/>
          <w:sz w:val="24"/>
          <w:szCs w:val="24"/>
        </w:rPr>
      </w:pPr>
      <w:r>
        <w:rPr>
          <w:rFonts w:hint="eastAsia" w:ascii="宋体" w:hAnsi="宋体"/>
          <w:sz w:val="24"/>
          <w:szCs w:val="24"/>
        </w:rPr>
        <w:t>（3）投标人应自行考虑所需的辅材、设备运输、工程实施、安装调试、系统集成等配套费用，并计入投标总价，签订闭口合同。</w:t>
      </w:r>
    </w:p>
    <w:p>
      <w:pPr>
        <w:spacing w:line="480" w:lineRule="exact"/>
        <w:rPr>
          <w:rFonts w:ascii="宋体" w:hAnsi="宋体"/>
          <w:b/>
          <w:sz w:val="24"/>
          <w:szCs w:val="24"/>
        </w:rPr>
      </w:pPr>
      <w:r>
        <w:rPr>
          <w:rFonts w:hint="eastAsia" w:ascii="宋体" w:hAnsi="宋体"/>
          <w:b/>
          <w:sz w:val="24"/>
          <w:szCs w:val="24"/>
        </w:rPr>
        <w:t>三、型式检验</w:t>
      </w:r>
    </w:p>
    <w:p>
      <w:pPr>
        <w:spacing w:line="480" w:lineRule="exact"/>
        <w:ind w:firstLine="480" w:firstLineChars="200"/>
        <w:rPr>
          <w:rFonts w:ascii="宋体" w:hAnsi="宋体"/>
          <w:sz w:val="24"/>
          <w:szCs w:val="24"/>
        </w:rPr>
      </w:pPr>
      <w:r>
        <w:rPr>
          <w:rFonts w:hint="eastAsia" w:ascii="宋体" w:hAnsi="宋体"/>
          <w:sz w:val="24"/>
          <w:szCs w:val="24"/>
        </w:rPr>
        <w:t>供货商所提供的产品应是制造厂的标准产品，并且最少有类似规格产品在本规格书中所提供的环境条件下成功运行的经历。供货商在投标时应同时提供产品样本及产品说明书，若供货产品如与样本不一致，业主保留退货的权利。投标方应提供所提供的产品的相关出厂检验报告。</w:t>
      </w:r>
    </w:p>
    <w:p>
      <w:pPr>
        <w:spacing w:line="480" w:lineRule="exact"/>
        <w:rPr>
          <w:rFonts w:ascii="宋体" w:hAnsi="宋体"/>
          <w:b/>
          <w:sz w:val="24"/>
          <w:szCs w:val="24"/>
        </w:rPr>
      </w:pPr>
      <w:r>
        <w:rPr>
          <w:rFonts w:hint="eastAsia" w:ascii="宋体" w:hAnsi="宋体"/>
          <w:b/>
          <w:sz w:val="24"/>
          <w:szCs w:val="24"/>
        </w:rPr>
        <w:t>四、安装期限及付款条件</w:t>
      </w:r>
    </w:p>
    <w:p>
      <w:pPr>
        <w:spacing w:line="480" w:lineRule="exact"/>
        <w:ind w:left="360" w:hanging="360" w:hangingChars="150"/>
        <w:rPr>
          <w:rFonts w:ascii="宋体" w:hAnsi="宋体"/>
          <w:sz w:val="24"/>
          <w:szCs w:val="24"/>
        </w:rPr>
      </w:pPr>
      <w:r>
        <w:rPr>
          <w:rFonts w:hint="eastAsia" w:ascii="宋体" w:hAnsi="宋体"/>
          <w:sz w:val="24"/>
          <w:szCs w:val="24"/>
        </w:rPr>
        <w:t>4.1 交货期限：合同生效后</w:t>
      </w:r>
      <w:r>
        <w:rPr>
          <w:rFonts w:ascii="宋体" w:hAnsi="宋体"/>
          <w:sz w:val="24"/>
          <w:szCs w:val="24"/>
        </w:rPr>
        <w:t>4</w:t>
      </w:r>
      <w:r>
        <w:rPr>
          <w:rFonts w:hint="eastAsia" w:ascii="宋体" w:hAnsi="宋体"/>
          <w:sz w:val="24"/>
          <w:szCs w:val="24"/>
        </w:rPr>
        <w:t>-</w:t>
      </w:r>
      <w:r>
        <w:rPr>
          <w:rFonts w:ascii="宋体" w:hAnsi="宋体"/>
          <w:sz w:val="24"/>
          <w:szCs w:val="24"/>
        </w:rPr>
        <w:t>6</w:t>
      </w:r>
      <w:r>
        <w:rPr>
          <w:rFonts w:hint="eastAsia" w:ascii="宋体" w:hAnsi="宋体"/>
          <w:sz w:val="24"/>
          <w:szCs w:val="24"/>
        </w:rPr>
        <w:t>个星期内完成安装调试工作。</w:t>
      </w:r>
    </w:p>
    <w:p>
      <w:pPr>
        <w:spacing w:line="480" w:lineRule="exact"/>
        <w:ind w:left="360" w:hanging="360" w:hangingChars="150"/>
        <w:rPr>
          <w:rFonts w:ascii="宋体" w:hAnsi="宋体"/>
          <w:sz w:val="24"/>
          <w:szCs w:val="24"/>
        </w:rPr>
      </w:pPr>
      <w:r>
        <w:rPr>
          <w:rFonts w:hint="eastAsia" w:ascii="宋体" w:hAnsi="宋体"/>
          <w:sz w:val="24"/>
          <w:szCs w:val="24"/>
        </w:rPr>
        <w:t>4.2投标人若不能按时提供符合约定标准的产品，其责任由投标人方承担。每延迟一个工作日投标人向业主支付合同总额的0.5%作为违约金。若延迟超过十个工作日，业主有权终止本合同。投标人在收到业主合同终止通知当日，本合同即行终止，投标人应退还业主已支付的全部费用，并承担由此造成的全部损失并承担合同总额1%的违约金。</w:t>
      </w:r>
    </w:p>
    <w:p>
      <w:pPr>
        <w:spacing w:line="480" w:lineRule="exact"/>
        <w:ind w:left="360" w:hanging="360" w:hangingChars="150"/>
        <w:rPr>
          <w:rFonts w:hint="eastAsia" w:ascii="宋体" w:hAnsi="宋体"/>
          <w:sz w:val="24"/>
          <w:szCs w:val="24"/>
        </w:rPr>
      </w:pPr>
      <w:r>
        <w:rPr>
          <w:rFonts w:hint="eastAsia" w:ascii="宋体" w:hAnsi="宋体"/>
          <w:sz w:val="24"/>
          <w:szCs w:val="24"/>
        </w:rPr>
        <w:t>4.3付款条件：</w:t>
      </w:r>
      <w:r>
        <w:rPr>
          <w:rFonts w:hint="default" w:ascii="宋体" w:hAnsi="宋体"/>
          <w:sz w:val="24"/>
          <w:szCs w:val="24"/>
        </w:rPr>
        <w:t>货</w:t>
      </w:r>
      <w:r>
        <w:rPr>
          <w:rFonts w:hint="default" w:ascii="宋体" w:hAnsi="宋体"/>
          <w:sz w:val="24"/>
          <w:szCs w:val="24"/>
        </w:rPr>
        <w:t>到</w:t>
      </w:r>
      <w:r>
        <w:rPr>
          <w:rFonts w:hint="eastAsia" w:ascii="宋体" w:hAnsi="宋体"/>
          <w:sz w:val="24"/>
          <w:szCs w:val="24"/>
          <w:lang w:val="en-US" w:eastAsia="zh-CN"/>
        </w:rPr>
        <w:t>安装</w:t>
      </w:r>
      <w:r>
        <w:rPr>
          <w:rFonts w:hint="default" w:ascii="宋体" w:hAnsi="宋体"/>
          <w:sz w:val="24"/>
          <w:szCs w:val="24"/>
        </w:rPr>
        <w:t>经甲方验收合格后</w:t>
      </w:r>
      <w:r>
        <w:rPr>
          <w:rFonts w:hint="eastAsia" w:ascii="宋体" w:hAnsi="宋体"/>
          <w:sz w:val="24"/>
          <w:szCs w:val="24"/>
          <w:lang w:val="en-US" w:eastAsia="zh-CN"/>
        </w:rPr>
        <w:t>的10个工作日</w:t>
      </w:r>
      <w:r>
        <w:rPr>
          <w:rFonts w:hint="default" w:ascii="宋体" w:hAnsi="宋体"/>
          <w:sz w:val="24"/>
          <w:szCs w:val="24"/>
        </w:rPr>
        <w:t>内，甲方应向乙方一次性支付全部合同款项</w:t>
      </w:r>
      <w:bookmarkStart w:id="0" w:name="_GoBack"/>
      <w:bookmarkEnd w:id="0"/>
      <w:r>
        <w:rPr>
          <w:rFonts w:hint="default" w:ascii="宋体" w:hAnsi="宋体"/>
          <w:sz w:val="24"/>
          <w:szCs w:val="24"/>
        </w:rPr>
        <w:t>。合同内全部款项均以“银行转账”方式予以支付。</w:t>
      </w:r>
    </w:p>
    <w:p>
      <w:pPr>
        <w:spacing w:line="480" w:lineRule="exact"/>
        <w:rPr>
          <w:rFonts w:ascii="宋体" w:hAnsi="宋体"/>
          <w:b/>
          <w:sz w:val="24"/>
          <w:szCs w:val="24"/>
        </w:rPr>
      </w:pPr>
      <w:r>
        <w:rPr>
          <w:rFonts w:hint="eastAsia" w:ascii="宋体" w:hAnsi="宋体"/>
          <w:b/>
          <w:sz w:val="24"/>
          <w:szCs w:val="24"/>
        </w:rPr>
        <w:t>五、调试及验收 </w:t>
      </w:r>
    </w:p>
    <w:p>
      <w:pPr>
        <w:spacing w:line="480" w:lineRule="exact"/>
        <w:ind w:left="360" w:hanging="360" w:hangingChars="150"/>
        <w:rPr>
          <w:rFonts w:ascii="宋体" w:hAnsi="宋体"/>
          <w:sz w:val="24"/>
          <w:szCs w:val="24"/>
        </w:rPr>
      </w:pPr>
      <w:r>
        <w:rPr>
          <w:rFonts w:hint="eastAsia" w:ascii="宋体" w:hAnsi="宋体"/>
          <w:sz w:val="24"/>
          <w:szCs w:val="24"/>
        </w:rPr>
        <w:t>5.1卖方负责在交货地点进行仪器的调试，并对买方技术人员进行培训，培训主要包括仪器基本原理，操作使用及一般维护保养知识等，使用户技术人员能独立、正确、熟练的进行操作。 </w:t>
      </w:r>
    </w:p>
    <w:p>
      <w:pPr>
        <w:spacing w:line="480" w:lineRule="exact"/>
        <w:rPr>
          <w:rFonts w:ascii="宋体" w:hAnsi="宋体"/>
          <w:sz w:val="24"/>
          <w:szCs w:val="24"/>
        </w:rPr>
      </w:pPr>
      <w:r>
        <w:rPr>
          <w:rFonts w:hint="eastAsia" w:ascii="宋体" w:hAnsi="宋体"/>
          <w:sz w:val="24"/>
          <w:szCs w:val="24"/>
        </w:rPr>
        <w:t>5.2买方使用人员在确认仪器完好及技术培训完成后，对仪器进行合格验收。</w:t>
      </w:r>
    </w:p>
    <w:p>
      <w:pPr>
        <w:spacing w:line="480" w:lineRule="exact"/>
        <w:rPr>
          <w:rFonts w:ascii="宋体" w:hAnsi="宋体"/>
          <w:b/>
          <w:sz w:val="24"/>
          <w:szCs w:val="24"/>
        </w:rPr>
      </w:pPr>
      <w:r>
        <w:rPr>
          <w:rFonts w:hint="eastAsia" w:ascii="宋体" w:hAnsi="宋体"/>
          <w:b/>
          <w:sz w:val="24"/>
          <w:szCs w:val="24"/>
        </w:rPr>
        <w:t>六、售后服务</w:t>
      </w:r>
    </w:p>
    <w:p>
      <w:pPr>
        <w:spacing w:line="480" w:lineRule="exact"/>
        <w:ind w:left="360" w:hanging="360" w:hangingChars="150"/>
        <w:rPr>
          <w:rFonts w:ascii="宋体" w:hAnsi="宋体"/>
          <w:sz w:val="24"/>
          <w:szCs w:val="24"/>
        </w:rPr>
      </w:pPr>
      <w:r>
        <w:rPr>
          <w:rFonts w:hint="eastAsia" w:ascii="宋体" w:hAnsi="宋体"/>
          <w:sz w:val="24"/>
          <w:szCs w:val="24"/>
        </w:rPr>
        <w:t>6.1提供仪器的保质期自验收通过之日算起至少1年。在质保期内因设备本身的质量问题或运行故障，在接到通知后48小时内到达现场，并负责免费修理、更换或退换零部件。</w:t>
      </w:r>
    </w:p>
    <w:p>
      <w:pPr>
        <w:spacing w:line="480" w:lineRule="exact"/>
        <w:ind w:left="360" w:hanging="360" w:hangingChars="150"/>
        <w:rPr>
          <w:rFonts w:ascii="宋体" w:hAnsi="宋体"/>
          <w:sz w:val="24"/>
          <w:szCs w:val="24"/>
        </w:rPr>
      </w:pPr>
      <w:r>
        <w:rPr>
          <w:rFonts w:hint="eastAsia" w:ascii="宋体" w:hAnsi="宋体"/>
          <w:sz w:val="24"/>
          <w:szCs w:val="24"/>
        </w:rPr>
        <w:t>*6.</w:t>
      </w:r>
      <w:r>
        <w:rPr>
          <w:rFonts w:ascii="宋体" w:hAnsi="宋体"/>
          <w:sz w:val="24"/>
          <w:szCs w:val="24"/>
        </w:rPr>
        <w:t>2</w:t>
      </w:r>
      <w:r>
        <w:rPr>
          <w:rFonts w:hint="eastAsia" w:ascii="宋体" w:hAnsi="宋体"/>
          <w:sz w:val="24"/>
          <w:szCs w:val="24"/>
        </w:rPr>
        <w:t>.在质保期和维保期内，每年在甲方指定的地点（限上海）提供</w:t>
      </w:r>
      <w:r>
        <w:rPr>
          <w:rFonts w:ascii="宋体" w:hAnsi="宋体"/>
          <w:sz w:val="24"/>
          <w:szCs w:val="24"/>
        </w:rPr>
        <w:t>3</w:t>
      </w:r>
      <w:r>
        <w:rPr>
          <w:rFonts w:hint="eastAsia" w:ascii="宋体" w:hAnsi="宋体"/>
          <w:sz w:val="24"/>
          <w:szCs w:val="24"/>
        </w:rPr>
        <w:t>次设备养护服务，保证设备性能良好。养护服务的人员费用由乙方承担。</w:t>
      </w:r>
    </w:p>
    <w:p>
      <w:pPr>
        <w:spacing w:line="480" w:lineRule="exact"/>
        <w:ind w:left="360" w:hanging="360" w:hangingChars="150"/>
        <w:rPr>
          <w:rFonts w:ascii="宋体" w:hAnsi="宋体"/>
          <w:sz w:val="24"/>
          <w:szCs w:val="24"/>
        </w:rPr>
      </w:pPr>
      <w:r>
        <w:rPr>
          <w:rFonts w:hint="eastAsia" w:ascii="宋体" w:hAnsi="宋体"/>
          <w:sz w:val="24"/>
          <w:szCs w:val="24"/>
        </w:rPr>
        <w:t>*6.</w:t>
      </w:r>
      <w:r>
        <w:rPr>
          <w:rFonts w:ascii="宋体" w:hAnsi="宋体"/>
          <w:sz w:val="24"/>
          <w:szCs w:val="24"/>
        </w:rPr>
        <w:t>3</w:t>
      </w:r>
      <w:r>
        <w:rPr>
          <w:rFonts w:hint="eastAsia" w:ascii="宋体" w:hAnsi="宋体"/>
          <w:sz w:val="24"/>
          <w:szCs w:val="24"/>
        </w:rPr>
        <w:t>.在质保期内，乙方每年在甲方指定的地点（限上海）向其免费提供6次标气校准，用于校准监测设备的检测准确度，校准间隔不小于2个月。</w:t>
      </w:r>
    </w:p>
    <w:p>
      <w:pPr>
        <w:spacing w:line="480" w:lineRule="exact"/>
        <w:ind w:left="360" w:hanging="360" w:hangingChars="150"/>
        <w:rPr>
          <w:rFonts w:ascii="宋体" w:hAnsi="宋体"/>
          <w:sz w:val="24"/>
          <w:szCs w:val="24"/>
        </w:rPr>
      </w:pPr>
      <w:r>
        <w:rPr>
          <w:rFonts w:hint="eastAsia" w:ascii="宋体" w:hAnsi="宋体"/>
          <w:sz w:val="24"/>
          <w:szCs w:val="24"/>
        </w:rPr>
        <w:t>6.</w:t>
      </w:r>
      <w:r>
        <w:rPr>
          <w:rFonts w:ascii="宋体" w:hAnsi="宋体"/>
          <w:sz w:val="24"/>
          <w:szCs w:val="24"/>
        </w:rPr>
        <w:t>4</w:t>
      </w:r>
      <w:r>
        <w:rPr>
          <w:rFonts w:hint="eastAsia" w:ascii="宋体" w:hAnsi="宋体"/>
          <w:sz w:val="24"/>
          <w:szCs w:val="24"/>
        </w:rPr>
        <w:t>在质保期内，乙方承担设备2/3/4G全网通网络的网络通信费用。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04C21"/>
    <w:multiLevelType w:val="multilevel"/>
    <w:tmpl w:val="2E704C21"/>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590C1B22"/>
    <w:multiLevelType w:val="singleLevel"/>
    <w:tmpl w:val="590C1B22"/>
    <w:lvl w:ilvl="0" w:tentative="0">
      <w:start w:val="1"/>
      <w:numFmt w:val="chineseCounting"/>
      <w:suff w:val="nothing"/>
      <w:lvlText w:val="%1、"/>
      <w:lvlJc w:val="left"/>
      <w:pPr>
        <w:ind w:left="0" w:firstLine="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mM2YzZmUwZjIwOWQ5MzUzZGEwZTI1OTc3MjFhOGYifQ=="/>
  </w:docVars>
  <w:rsids>
    <w:rsidRoot w:val="007407A2"/>
    <w:rsid w:val="000A42D4"/>
    <w:rsid w:val="000D2CAF"/>
    <w:rsid w:val="0018686F"/>
    <w:rsid w:val="001B7076"/>
    <w:rsid w:val="00204A9D"/>
    <w:rsid w:val="00206B61"/>
    <w:rsid w:val="00245BA9"/>
    <w:rsid w:val="002504E2"/>
    <w:rsid w:val="00262A37"/>
    <w:rsid w:val="00291368"/>
    <w:rsid w:val="003845F9"/>
    <w:rsid w:val="00413F63"/>
    <w:rsid w:val="004B08FF"/>
    <w:rsid w:val="005C5190"/>
    <w:rsid w:val="005D355A"/>
    <w:rsid w:val="005F3757"/>
    <w:rsid w:val="006731A3"/>
    <w:rsid w:val="00685951"/>
    <w:rsid w:val="00696D41"/>
    <w:rsid w:val="006B2934"/>
    <w:rsid w:val="006C7723"/>
    <w:rsid w:val="00713EBE"/>
    <w:rsid w:val="007407A2"/>
    <w:rsid w:val="00785F1D"/>
    <w:rsid w:val="007D432C"/>
    <w:rsid w:val="007D7883"/>
    <w:rsid w:val="00806423"/>
    <w:rsid w:val="0085704A"/>
    <w:rsid w:val="008B510F"/>
    <w:rsid w:val="00935F91"/>
    <w:rsid w:val="00975A86"/>
    <w:rsid w:val="00975D5D"/>
    <w:rsid w:val="00AB3298"/>
    <w:rsid w:val="00AE1F10"/>
    <w:rsid w:val="00AE6A37"/>
    <w:rsid w:val="00B92E0A"/>
    <w:rsid w:val="00BC2B52"/>
    <w:rsid w:val="00BF4B49"/>
    <w:rsid w:val="00C21CCE"/>
    <w:rsid w:val="00C405E9"/>
    <w:rsid w:val="00CB105A"/>
    <w:rsid w:val="00CF5766"/>
    <w:rsid w:val="00D87377"/>
    <w:rsid w:val="00DC6AC2"/>
    <w:rsid w:val="00E35E2B"/>
    <w:rsid w:val="00E64E63"/>
    <w:rsid w:val="00F71F16"/>
    <w:rsid w:val="00F821DB"/>
    <w:rsid w:val="1DF53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rPr>
      <w:rFonts w:ascii="Calibri" w:hAnsi="Calibri"/>
      <w:szCs w:val="22"/>
    </w:rPr>
  </w:style>
  <w:style w:type="paragraph" w:customStyle="1" w:styleId="9">
    <w:name w:val="列出段落1"/>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360</Words>
  <Characters>2054</Characters>
  <Lines>17</Lines>
  <Paragraphs>4</Paragraphs>
  <TotalTime>0</TotalTime>
  <ScaleCrop>false</ScaleCrop>
  <LinksUpToDate>false</LinksUpToDate>
  <CharactersWithSpaces>2410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2023-08-30T12:03:00Z</dcterms:created>
  <dc:creator>shenda pan</dc:creator>
  <cp:lastModifiedBy>仲杰</cp:lastModifiedBy>
  <dcterms:modified xsi:type="dcterms:W3CDTF">2023-09-06T12:46:54Z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690E2C96FC0D47A3A085F6852018CF9F_12</vt:lpwstr>
  </property>
</Properties>
</file>