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6A561">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05F143FD">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C29A4C3">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5D3CC17">
      <w:pPr>
        <w:jc w:val="center"/>
        <w:rPr>
          <w:rFonts w:hint="eastAsia"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智慧食堂管理系统—食堂生产监管和日常安全巡检体系建设项目</w:t>
      </w:r>
    </w:p>
    <w:p w14:paraId="3A6F3C59">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比选文件</w:t>
      </w:r>
    </w:p>
    <w:p w14:paraId="746E0DD5">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7F5B1C2D">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0B84232F">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项目编号：</w:t>
      </w:r>
      <w:r>
        <w:rPr>
          <w:rFonts w:hint="eastAsia" w:ascii="方正兰亭黑简体" w:hAnsi="方正兰亭黑简体" w:eastAsia="方正兰亭黑简体" w:cs="方正兰亭黑简体"/>
          <w:color w:val="auto"/>
          <w:sz w:val="28"/>
          <w:szCs w:val="28"/>
          <w:highlight w:val="none"/>
          <w:lang w:val="en-US" w:eastAsia="zh-CN"/>
        </w:rPr>
        <w:t>HFBX2025039</w:t>
      </w:r>
    </w:p>
    <w:p w14:paraId="43E1A51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564BAA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CBECD87">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77AEA8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AFBFE6C">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8A2CE08">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9F671C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0E2559B5">
      <w:pPr>
        <w:jc w:val="cente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采购人：上海海事大学</w:t>
      </w:r>
    </w:p>
    <w:p w14:paraId="64BB9721">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二〇二五年四月</w:t>
      </w:r>
    </w:p>
    <w:p w14:paraId="4258C5C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5637B82A">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第一章 比选公告</w:t>
      </w:r>
    </w:p>
    <w:p w14:paraId="54E46ED1">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为公开、公正、公平地做好各项货物与服务的采购工作，进一步提高采购过程的透明度，有利于我校选择性价比更高的产品及更优质的服务，欢迎各供应单位本着务实友好的工作态度，积极参与，并做好成本核算，进行一次性报价。我校将本着公开、公正、公平的工作原则，对各供应单位所提供的资料，进行综合评议，择优选购。为确保本次比选采购项目采购工作的顺利开展，请各报价单位按照下述要求提供报价单等相关资料。具体要求及相关注意事项如下：</w:t>
      </w:r>
    </w:p>
    <w:p w14:paraId="5694D68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一、项目基本情况</w:t>
      </w:r>
    </w:p>
    <w:p w14:paraId="6ED9240D">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项目编号：</w:t>
      </w:r>
      <w:r>
        <w:rPr>
          <w:rFonts w:hint="eastAsia" w:ascii="方正兰亭黑简体" w:hAnsi="方正兰亭黑简体" w:eastAsia="方正兰亭黑简体" w:cs="方正兰亭黑简体"/>
          <w:color w:val="auto"/>
          <w:sz w:val="22"/>
          <w:szCs w:val="28"/>
          <w:highlight w:val="none"/>
          <w:lang w:val="en-US" w:eastAsia="zh-CN"/>
        </w:rPr>
        <w:t>HFBX2025039；</w:t>
      </w:r>
    </w:p>
    <w:p w14:paraId="40680CD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项目名称：</w:t>
      </w:r>
      <w:r>
        <w:rPr>
          <w:rFonts w:hint="eastAsia" w:ascii="方正兰亭黑简体" w:hAnsi="方正兰亭黑简体" w:eastAsia="方正兰亭黑简体" w:cs="方正兰亭黑简体"/>
          <w:color w:val="auto"/>
          <w:sz w:val="22"/>
          <w:szCs w:val="28"/>
          <w:highlight w:val="none"/>
          <w:lang w:val="en-US" w:eastAsia="zh-CN"/>
        </w:rPr>
        <w:t>智慧食堂管理系统—食堂生产监管和日常安全巡检体系建设项目</w:t>
      </w:r>
      <w:r>
        <w:rPr>
          <w:rFonts w:hint="eastAsia" w:ascii="方正兰亭黑简体" w:hAnsi="方正兰亭黑简体" w:eastAsia="方正兰亭黑简体" w:cs="方正兰亭黑简体"/>
          <w:color w:val="auto"/>
          <w:sz w:val="22"/>
          <w:szCs w:val="28"/>
          <w:highlight w:val="none"/>
          <w:lang w:val="en-US" w:eastAsia="zh-CN"/>
        </w:rPr>
        <w:t>；</w:t>
      </w:r>
    </w:p>
    <w:p w14:paraId="49D3EF92">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采购方式：</w:t>
      </w:r>
      <w:r>
        <w:rPr>
          <w:rFonts w:hint="eastAsia" w:ascii="方正兰亭黑简体" w:hAnsi="方正兰亭黑简体" w:eastAsia="方正兰亭黑简体" w:cs="方正兰亭黑简体"/>
          <w:color w:val="auto"/>
          <w:sz w:val="22"/>
          <w:szCs w:val="28"/>
          <w:highlight w:val="none"/>
          <w:lang w:val="en-US" w:eastAsia="zh-CN"/>
        </w:rPr>
        <w:t>学校</w:t>
      </w:r>
      <w:r>
        <w:rPr>
          <w:rFonts w:hint="eastAsia" w:ascii="方正兰亭黑简体" w:hAnsi="方正兰亭黑简体" w:eastAsia="方正兰亭黑简体" w:cs="方正兰亭黑简体"/>
          <w:color w:val="auto"/>
          <w:sz w:val="22"/>
          <w:szCs w:val="28"/>
          <w:highlight w:val="none"/>
        </w:rPr>
        <w:t>比选</w:t>
      </w:r>
      <w:r>
        <w:rPr>
          <w:rFonts w:hint="eastAsia" w:ascii="方正兰亭黑简体" w:hAnsi="方正兰亭黑简体" w:eastAsia="方正兰亭黑简体" w:cs="方正兰亭黑简体"/>
          <w:color w:val="auto"/>
          <w:sz w:val="22"/>
          <w:szCs w:val="28"/>
          <w:highlight w:val="none"/>
          <w:lang w:eastAsia="zh-CN"/>
        </w:rPr>
        <w:t>；</w:t>
      </w:r>
    </w:p>
    <w:p w14:paraId="11D14FF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预算金额（亦是最高限价）：</w:t>
      </w:r>
      <w:r>
        <w:rPr>
          <w:rFonts w:hint="eastAsia" w:ascii="方正兰亭黑简体" w:hAnsi="方正兰亭黑简体" w:eastAsia="方正兰亭黑简体" w:cs="方正兰亭黑简体"/>
          <w:color w:val="auto"/>
          <w:sz w:val="22"/>
          <w:szCs w:val="28"/>
          <w:highlight w:val="none"/>
        </w:rPr>
        <w:t>人民币</w:t>
      </w:r>
      <w:r>
        <w:rPr>
          <w:rFonts w:hint="eastAsia" w:ascii="方正兰亭黑简体" w:hAnsi="方正兰亭黑简体" w:eastAsia="方正兰亭黑简体" w:cs="方正兰亭黑简体"/>
          <w:color w:val="auto"/>
          <w:sz w:val="22"/>
          <w:szCs w:val="28"/>
          <w:highlight w:val="none"/>
          <w:lang w:val="en-US" w:eastAsia="zh-CN"/>
        </w:rPr>
        <w:t>20</w:t>
      </w:r>
      <w:r>
        <w:rPr>
          <w:rFonts w:hint="eastAsia" w:ascii="方正兰亭黑简体" w:hAnsi="方正兰亭黑简体" w:eastAsia="方正兰亭黑简体" w:cs="方正兰亭黑简体"/>
          <w:color w:val="auto"/>
          <w:sz w:val="22"/>
          <w:szCs w:val="28"/>
          <w:highlight w:val="none"/>
        </w:rPr>
        <w:t>万元</w:t>
      </w:r>
      <w:r>
        <w:rPr>
          <w:rFonts w:hint="eastAsia" w:ascii="方正兰亭黑简体" w:hAnsi="方正兰亭黑简体" w:eastAsia="方正兰亭黑简体" w:cs="方正兰亭黑简体"/>
          <w:color w:val="auto"/>
          <w:sz w:val="22"/>
          <w:szCs w:val="28"/>
          <w:highlight w:val="none"/>
          <w:lang w:eastAsia="zh-CN"/>
        </w:rPr>
        <w:t>；</w:t>
      </w:r>
    </w:p>
    <w:p w14:paraId="192657F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采购需求：</w:t>
      </w:r>
      <w:r>
        <w:rPr>
          <w:rFonts w:hint="eastAsia" w:ascii="方正兰亭黑简体" w:hAnsi="方正兰亭黑简体" w:eastAsia="方正兰亭黑简体" w:cs="方正兰亭黑简体"/>
          <w:color w:val="auto"/>
          <w:sz w:val="22"/>
          <w:szCs w:val="28"/>
          <w:highlight w:val="none"/>
        </w:rPr>
        <w:t>为了实现我校后勤餐饮管理部门的标准化管理，提高工作效率，充分利用资源，减少不必要的人力、物力和财力的支出，方便我校后勤餐饮管理部门的工作人员全面地掌握日常餐饮管理的相关信息，开发、设计、采购智慧餐饮管理平台以满足我部的管理需求。</w:t>
      </w:r>
      <w:r>
        <w:rPr>
          <w:rFonts w:hint="eastAsia" w:ascii="方正兰亭黑简体" w:hAnsi="方正兰亭黑简体" w:eastAsia="方正兰亭黑简体" w:cs="方正兰亭黑简体"/>
          <w:color w:val="auto"/>
          <w:sz w:val="22"/>
          <w:szCs w:val="28"/>
          <w:highlight w:val="none"/>
        </w:rPr>
        <w:t>拟采取比选方式实施采购。（具体要求详见比选文件—第二</w:t>
      </w:r>
      <w:r>
        <w:rPr>
          <w:rFonts w:hint="eastAsia" w:ascii="方正兰亭黑简体" w:hAnsi="方正兰亭黑简体" w:eastAsia="方正兰亭黑简体" w:cs="方正兰亭黑简体"/>
          <w:color w:val="auto"/>
          <w:sz w:val="22"/>
          <w:szCs w:val="28"/>
          <w:highlight w:val="none"/>
          <w:lang w:val="en-US" w:eastAsia="zh-CN"/>
        </w:rPr>
        <w:t>章节</w:t>
      </w:r>
      <w:r>
        <w:rPr>
          <w:rFonts w:hint="eastAsia" w:ascii="方正兰亭黑简体" w:hAnsi="方正兰亭黑简体" w:eastAsia="方正兰亭黑简体" w:cs="方正兰亭黑简体"/>
          <w:color w:val="auto"/>
          <w:sz w:val="22"/>
          <w:szCs w:val="28"/>
          <w:highlight w:val="none"/>
        </w:rPr>
        <w:t>采购需求）。</w:t>
      </w:r>
    </w:p>
    <w:p w14:paraId="0043276A">
      <w:pP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付款方式：</w:t>
      </w:r>
      <w:r>
        <w:rPr>
          <w:rFonts w:hint="eastAsia" w:ascii="方正兰亭黑简体" w:hAnsi="方正兰亭黑简体" w:eastAsia="方正兰亭黑简体" w:cs="方正兰亭黑简体"/>
          <w:color w:val="auto"/>
          <w:sz w:val="22"/>
          <w:szCs w:val="28"/>
          <w:highlight w:val="none"/>
          <w:lang w:val="en-US" w:eastAsia="zh-CN"/>
        </w:rPr>
        <w:t>系统上线并通过甲方验收合格后的十个工作日内，甲方向乙方支付合同全款。</w:t>
      </w:r>
      <w:r>
        <w:rPr>
          <w:rFonts w:hint="default" w:ascii="方正兰亭黑简体" w:hAnsi="方正兰亭黑简体" w:eastAsia="方正兰亭黑简体" w:cs="方正兰亭黑简体"/>
          <w:color w:val="auto"/>
          <w:sz w:val="22"/>
          <w:szCs w:val="28"/>
          <w:highlight w:val="none"/>
        </w:rPr>
        <w:t>合同内全部款项均以“银行转账”方式予以支付。</w:t>
      </w:r>
    </w:p>
    <w:p w14:paraId="41BEA8D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二、</w:t>
      </w:r>
      <w:r>
        <w:rPr>
          <w:rFonts w:hint="eastAsia" w:ascii="方正兰亭黑简体" w:hAnsi="方正兰亭黑简体" w:eastAsia="方正兰亭黑简体" w:cs="方正兰亭黑简体"/>
          <w:b/>
          <w:bCs/>
          <w:color w:val="auto"/>
          <w:sz w:val="22"/>
          <w:szCs w:val="28"/>
          <w:highlight w:val="none"/>
          <w:lang w:val="en-US" w:eastAsia="zh-CN"/>
        </w:rPr>
        <w:t>报价</w:t>
      </w:r>
      <w:r>
        <w:rPr>
          <w:rFonts w:hint="eastAsia" w:ascii="方正兰亭黑简体" w:hAnsi="方正兰亭黑简体" w:eastAsia="方正兰亭黑简体" w:cs="方正兰亭黑简体"/>
          <w:b/>
          <w:bCs/>
          <w:color w:val="auto"/>
          <w:sz w:val="22"/>
          <w:szCs w:val="28"/>
          <w:highlight w:val="none"/>
        </w:rPr>
        <w:t>人的资格要求</w:t>
      </w:r>
    </w:p>
    <w:p w14:paraId="022E876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1、符合</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中华人民共和国</w:t>
      </w:r>
      <w:r>
        <w:rPr>
          <w:rFonts w:hint="eastAsia" w:ascii="方正兰亭黑简体" w:hAnsi="方正兰亭黑简体" w:eastAsia="方正兰亭黑简体" w:cs="方正兰亭黑简体"/>
          <w:color w:val="auto"/>
          <w:sz w:val="22"/>
          <w:szCs w:val="28"/>
          <w:highlight w:val="none"/>
        </w:rPr>
        <w:t>政府采购法</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第二十二条之供应商资格规定。</w:t>
      </w:r>
    </w:p>
    <w:p w14:paraId="6441606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2、供应商未被列入“信用中国”网站（www.creditchina.gov.cn）失信执行人名单、重大税收违法案件当事人名单，和中国政府采购网（www.ccgp.gov.cn）政府严重违法失信行为记录名单的供应商。</w:t>
      </w:r>
    </w:p>
    <w:p w14:paraId="3A3BF07A">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3、</w:t>
      </w:r>
      <w:r>
        <w:rPr>
          <w:rFonts w:hint="eastAsia" w:ascii="方正兰亭黑简体" w:hAnsi="方正兰亭黑简体" w:eastAsia="方正兰亭黑简体" w:cs="方正兰亭黑简体"/>
          <w:color w:val="auto"/>
          <w:sz w:val="22"/>
          <w:szCs w:val="28"/>
          <w:highlight w:val="none"/>
        </w:rPr>
        <w:t>经营范围及拟投标货物（服务）符合本次比选要求，具有与本次投标货物（服务）相应的经营、代理（经销）资质，能全程参与并完成本项目，且具有较强的服务能力，以及畅通的问题响应机制和渠道等；</w:t>
      </w:r>
    </w:p>
    <w:p w14:paraId="3710B34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rPr>
        <w:t>三、报名</w:t>
      </w:r>
      <w:r>
        <w:rPr>
          <w:rFonts w:hint="eastAsia" w:ascii="方正兰亭黑简体" w:hAnsi="方正兰亭黑简体" w:eastAsia="方正兰亭黑简体" w:cs="方正兰亭黑简体"/>
          <w:b/>
          <w:bCs/>
          <w:color w:val="auto"/>
          <w:sz w:val="22"/>
          <w:szCs w:val="28"/>
          <w:highlight w:val="none"/>
          <w:lang w:val="en-US" w:eastAsia="zh-CN"/>
        </w:rPr>
        <w:t>要求</w:t>
      </w:r>
    </w:p>
    <w:p w14:paraId="0491728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报名邮箱、时间：不单独组织报名，意向单位可在截止日期前递交响应文件。</w:t>
      </w:r>
    </w:p>
    <w:p w14:paraId="24CD6CD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四、获取采购文件</w:t>
      </w:r>
    </w:p>
    <w:p w14:paraId="5050A6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获取方式：公告页面</w:t>
      </w:r>
      <w:r>
        <w:rPr>
          <w:rFonts w:hint="eastAsia" w:ascii="方正兰亭黑简体" w:hAnsi="方正兰亭黑简体" w:eastAsia="方正兰亭黑简体" w:cs="方正兰亭黑简体"/>
          <w:color w:val="auto"/>
          <w:sz w:val="22"/>
          <w:szCs w:val="28"/>
          <w:highlight w:val="none"/>
          <w:lang w:val="en-US" w:eastAsia="zh-CN"/>
        </w:rPr>
        <w:t>下方自行</w:t>
      </w:r>
      <w:r>
        <w:rPr>
          <w:rFonts w:hint="eastAsia" w:ascii="方正兰亭黑简体" w:hAnsi="方正兰亭黑简体" w:eastAsia="方正兰亭黑简体" w:cs="方正兰亭黑简体"/>
          <w:color w:val="auto"/>
          <w:sz w:val="22"/>
          <w:szCs w:val="28"/>
          <w:highlight w:val="none"/>
        </w:rPr>
        <w:t>下载</w:t>
      </w:r>
    </w:p>
    <w:p w14:paraId="4D745344">
      <w:pPr>
        <w:jc w:val="left"/>
        <w:rPr>
          <w:rFonts w:hint="eastAsia" w:ascii="方正兰亭黑简体" w:hAnsi="方正兰亭黑简体" w:eastAsia="方正兰亭黑简体" w:cs="方正兰亭黑简体"/>
          <w:b/>
          <w:bCs/>
          <w:color w:val="auto"/>
          <w:sz w:val="22"/>
          <w:szCs w:val="28"/>
          <w:highlight w:val="none"/>
        </w:rPr>
      </w:pPr>
      <w:bookmarkStart w:id="0" w:name="_Toc28359005"/>
      <w:r>
        <w:rPr>
          <w:rFonts w:hint="eastAsia" w:ascii="方正兰亭黑简体" w:hAnsi="方正兰亭黑简体" w:eastAsia="方正兰亭黑简体" w:cs="方正兰亭黑简体"/>
          <w:b/>
          <w:bCs/>
          <w:color w:val="auto"/>
          <w:sz w:val="22"/>
          <w:szCs w:val="28"/>
          <w:highlight w:val="none"/>
        </w:rPr>
        <w:t>五、现场踏勘</w:t>
      </w:r>
      <w:bookmarkEnd w:id="0"/>
    </w:p>
    <w:p w14:paraId="2C26225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不组织。</w:t>
      </w:r>
    </w:p>
    <w:p w14:paraId="213C813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六</w:t>
      </w:r>
      <w:r>
        <w:rPr>
          <w:rFonts w:hint="eastAsia" w:ascii="方正兰亭黑简体" w:hAnsi="方正兰亭黑简体" w:eastAsia="方正兰亭黑简体" w:cs="方正兰亭黑简体"/>
          <w:b/>
          <w:bCs/>
          <w:color w:val="auto"/>
          <w:sz w:val="22"/>
          <w:szCs w:val="28"/>
          <w:highlight w:val="none"/>
        </w:rPr>
        <w:t>、响应文件提交</w:t>
      </w:r>
      <w:bookmarkStart w:id="4" w:name="_GoBack"/>
      <w:bookmarkEnd w:id="4"/>
    </w:p>
    <w:p w14:paraId="231DF229">
      <w:pPr>
        <w:jc w:val="left"/>
        <w:rPr>
          <w:rFonts w:hint="eastAsia" w:ascii="方正兰亭黑简体" w:hAnsi="方正兰亭黑简体" w:eastAsia="方正兰亭黑简体" w:cs="方正兰亭黑简体"/>
          <w:color w:val="auto"/>
          <w:sz w:val="22"/>
          <w:szCs w:val="28"/>
          <w:highlight w:val="none"/>
          <w:lang w:eastAsia="zh-CN"/>
        </w:rPr>
      </w:pPr>
      <w:bookmarkStart w:id="1" w:name="_Toc35393795"/>
      <w:bookmarkEnd w:id="1"/>
      <w:bookmarkStart w:id="2" w:name="_Toc35393626"/>
      <w:r>
        <w:rPr>
          <w:rFonts w:hint="eastAsia" w:ascii="方正兰亭黑简体" w:hAnsi="方正兰亭黑简体" w:eastAsia="方正兰亭黑简体" w:cs="方正兰亭黑简体"/>
          <w:color w:val="auto"/>
          <w:sz w:val="22"/>
          <w:szCs w:val="28"/>
          <w:highlight w:val="none"/>
        </w:rPr>
        <w:t>截止</w:t>
      </w:r>
      <w:bookmarkEnd w:id="2"/>
      <w:r>
        <w:rPr>
          <w:rFonts w:hint="eastAsia" w:ascii="方正兰亭黑简体" w:hAnsi="方正兰亭黑简体" w:eastAsia="方正兰亭黑简体" w:cs="方正兰亭黑简体"/>
          <w:color w:val="auto"/>
          <w:sz w:val="22"/>
          <w:szCs w:val="28"/>
          <w:highlight w:val="none"/>
        </w:rPr>
        <w:t>时间：2025年</w:t>
      </w:r>
      <w:r>
        <w:rPr>
          <w:rFonts w:hint="eastAsia" w:ascii="方正兰亭黑简体" w:hAnsi="方正兰亭黑简体" w:eastAsia="方正兰亭黑简体" w:cs="方正兰亭黑简体"/>
          <w:color w:val="auto"/>
          <w:sz w:val="22"/>
          <w:szCs w:val="28"/>
          <w:highlight w:val="none"/>
          <w:lang w:val="en-US" w:eastAsia="zh-CN"/>
        </w:rPr>
        <w:t>5</w:t>
      </w:r>
      <w:r>
        <w:rPr>
          <w:rFonts w:hint="eastAsia" w:ascii="方正兰亭黑简体" w:hAnsi="方正兰亭黑简体" w:eastAsia="方正兰亭黑简体" w:cs="方正兰亭黑简体"/>
          <w:color w:val="auto"/>
          <w:sz w:val="22"/>
          <w:szCs w:val="28"/>
          <w:highlight w:val="none"/>
        </w:rPr>
        <w:t>月</w:t>
      </w:r>
      <w:r>
        <w:rPr>
          <w:rFonts w:hint="eastAsia" w:ascii="方正兰亭黑简体" w:hAnsi="方正兰亭黑简体" w:eastAsia="方正兰亭黑简体" w:cs="方正兰亭黑简体"/>
          <w:color w:val="auto"/>
          <w:sz w:val="22"/>
          <w:szCs w:val="28"/>
          <w:highlight w:val="none"/>
          <w:lang w:val="en-US" w:eastAsia="zh-CN"/>
        </w:rPr>
        <w:t>6</w:t>
      </w:r>
      <w:r>
        <w:rPr>
          <w:rFonts w:hint="eastAsia" w:ascii="方正兰亭黑简体" w:hAnsi="方正兰亭黑简体" w:eastAsia="方正兰亭黑简体" w:cs="方正兰亭黑简体"/>
          <w:color w:val="auto"/>
          <w:sz w:val="22"/>
          <w:szCs w:val="28"/>
          <w:highlight w:val="none"/>
        </w:rPr>
        <w:t>日</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周二</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上午11</w:t>
      </w:r>
      <w:r>
        <w:rPr>
          <w:rFonts w:hint="eastAsia" w:ascii="方正兰亭黑简体" w:hAnsi="方正兰亭黑简体" w:eastAsia="方正兰亭黑简体" w:cs="方正兰亭黑简体"/>
          <w:color w:val="auto"/>
          <w:sz w:val="22"/>
          <w:szCs w:val="28"/>
          <w:highlight w:val="none"/>
        </w:rPr>
        <w:t>时</w:t>
      </w:r>
      <w:r>
        <w:rPr>
          <w:rFonts w:hint="eastAsia" w:ascii="方正兰亭黑简体" w:hAnsi="方正兰亭黑简体" w:eastAsia="方正兰亭黑简体" w:cs="方正兰亭黑简体"/>
          <w:color w:val="auto"/>
          <w:sz w:val="22"/>
          <w:szCs w:val="28"/>
          <w:highlight w:val="none"/>
          <w:lang w:val="en-US" w:eastAsia="zh-CN"/>
        </w:rPr>
        <w:t>00</w:t>
      </w:r>
      <w:r>
        <w:rPr>
          <w:rFonts w:hint="eastAsia" w:ascii="方正兰亭黑简体" w:hAnsi="方正兰亭黑简体" w:eastAsia="方正兰亭黑简体" w:cs="方正兰亭黑简体"/>
          <w:color w:val="auto"/>
          <w:sz w:val="22"/>
          <w:szCs w:val="28"/>
          <w:highlight w:val="none"/>
        </w:rPr>
        <w:t>分</w:t>
      </w:r>
    </w:p>
    <w:p w14:paraId="52EA2719">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提交方式：发送盖章扫描版</w:t>
      </w:r>
      <w:r>
        <w:rPr>
          <w:rFonts w:hint="eastAsia" w:ascii="方正兰亭黑简体" w:hAnsi="方正兰亭黑简体" w:eastAsia="方正兰亭黑简体" w:cs="方正兰亭黑简体"/>
          <w:color w:val="auto"/>
          <w:sz w:val="22"/>
          <w:szCs w:val="28"/>
          <w:highlight w:val="none"/>
          <w:lang w:val="en-US" w:eastAsia="zh-CN"/>
        </w:rPr>
        <w:t>PDF</w:t>
      </w:r>
      <w:r>
        <w:rPr>
          <w:rFonts w:hint="eastAsia" w:ascii="方正兰亭黑简体" w:hAnsi="方正兰亭黑简体" w:eastAsia="方正兰亭黑简体" w:cs="方正兰亭黑简体"/>
          <w:color w:val="auto"/>
          <w:sz w:val="22"/>
          <w:szCs w:val="28"/>
          <w:highlight w:val="none"/>
        </w:rPr>
        <w:t>到指定邮箱</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邮件名称：项目编号+公司名称</w:t>
      </w:r>
    </w:p>
    <w:p w14:paraId="45738F2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邮箱地址：</w:t>
      </w:r>
      <w:r>
        <w:rPr>
          <w:rFonts w:hint="eastAsia" w:ascii="方正兰亭黑简体" w:hAnsi="方正兰亭黑简体" w:eastAsia="方正兰亭黑简体" w:cs="方正兰亭黑简体"/>
          <w:color w:val="auto"/>
          <w:sz w:val="22"/>
          <w:szCs w:val="28"/>
          <w:highlight w:val="none"/>
          <w:u w:val="none"/>
        </w:rPr>
        <w:t>quotation@shmtu.edu.cn</w:t>
      </w:r>
    </w:p>
    <w:p w14:paraId="7C16205B">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七</w:t>
      </w:r>
      <w:r>
        <w:rPr>
          <w:rFonts w:hint="eastAsia" w:ascii="方正兰亭黑简体" w:hAnsi="方正兰亭黑简体" w:eastAsia="方正兰亭黑简体" w:cs="方正兰亭黑简体"/>
          <w:b/>
          <w:bCs/>
          <w:color w:val="auto"/>
          <w:sz w:val="22"/>
          <w:szCs w:val="28"/>
          <w:highlight w:val="none"/>
        </w:rPr>
        <w:t>、其他补充事宜</w:t>
      </w:r>
    </w:p>
    <w:p w14:paraId="3C9CF2D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1.中标结果将通过发布比选公告的媒介进行公示，公示期</w:t>
      </w:r>
      <w:r>
        <w:rPr>
          <w:rFonts w:hint="eastAsia" w:ascii="方正兰亭黑简体" w:hAnsi="方正兰亭黑简体" w:eastAsia="方正兰亭黑简体" w:cs="方正兰亭黑简体"/>
          <w:color w:val="auto"/>
          <w:sz w:val="22"/>
          <w:szCs w:val="28"/>
          <w:highlight w:val="none"/>
          <w:lang w:val="en-US" w:eastAsia="zh-CN"/>
        </w:rPr>
        <w:t>为1个工作日</w:t>
      </w:r>
      <w:r>
        <w:rPr>
          <w:rFonts w:hint="eastAsia" w:ascii="方正兰亭黑简体" w:hAnsi="方正兰亭黑简体" w:eastAsia="方正兰亭黑简体" w:cs="方正兰亭黑简体"/>
          <w:color w:val="auto"/>
          <w:sz w:val="22"/>
          <w:szCs w:val="28"/>
          <w:highlight w:val="none"/>
        </w:rPr>
        <w:t>，公示期内如对中标结果有异议可向校方提出书面质疑。</w:t>
      </w:r>
      <w:bookmarkStart w:id="3" w:name="_Toc35393627"/>
    </w:p>
    <w:p w14:paraId="17FB2B9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2.</w:t>
      </w:r>
      <w:bookmarkEnd w:id="3"/>
      <w:r>
        <w:rPr>
          <w:rFonts w:hint="eastAsia" w:ascii="方正兰亭黑简体" w:hAnsi="方正兰亭黑简体" w:eastAsia="方正兰亭黑简体" w:cs="方正兰亭黑简体"/>
          <w:color w:val="auto"/>
          <w:sz w:val="22"/>
          <w:szCs w:val="28"/>
          <w:highlight w:val="none"/>
        </w:rPr>
        <w:t>凡对本次采购提出询问，请按以下方式联系</w:t>
      </w:r>
      <w:r>
        <w:rPr>
          <w:rFonts w:hint="eastAsia" w:ascii="方正兰亭黑简体" w:hAnsi="方正兰亭黑简体" w:eastAsia="方正兰亭黑简体" w:cs="方正兰亭黑简体"/>
          <w:color w:val="auto"/>
          <w:sz w:val="22"/>
          <w:szCs w:val="28"/>
          <w:highlight w:val="none"/>
          <w:lang w:eastAsia="zh-CN"/>
        </w:rPr>
        <w:t>：</w:t>
      </w:r>
    </w:p>
    <w:p w14:paraId="53930B0F">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商务信息：</w:t>
      </w:r>
      <w:r>
        <w:rPr>
          <w:rFonts w:hint="eastAsia" w:ascii="方正兰亭黑简体" w:hAnsi="方正兰亭黑简体" w:eastAsia="方正兰亭黑简体" w:cs="方正兰亭黑简体"/>
          <w:color w:val="auto"/>
          <w:sz w:val="22"/>
          <w:szCs w:val="28"/>
          <w:highlight w:val="none"/>
          <w:lang w:val="en-US" w:eastAsia="zh-CN"/>
        </w:rPr>
        <w:t>仲</w:t>
      </w:r>
      <w:r>
        <w:rPr>
          <w:rFonts w:hint="eastAsia" w:ascii="方正兰亭黑简体" w:hAnsi="方正兰亭黑简体" w:eastAsia="方正兰亭黑简体" w:cs="方正兰亭黑简体"/>
          <w:color w:val="auto"/>
          <w:sz w:val="22"/>
          <w:szCs w:val="28"/>
          <w:highlight w:val="none"/>
        </w:rPr>
        <w:t>老师021-3828470</w:t>
      </w:r>
      <w:r>
        <w:rPr>
          <w:rFonts w:hint="eastAsia" w:ascii="方正兰亭黑简体" w:hAnsi="方正兰亭黑简体" w:eastAsia="方正兰亭黑简体" w:cs="方正兰亭黑简体"/>
          <w:color w:val="auto"/>
          <w:sz w:val="22"/>
          <w:szCs w:val="28"/>
          <w:highlight w:val="none"/>
          <w:lang w:val="en-US" w:eastAsia="zh-CN"/>
        </w:rPr>
        <w:t>7</w:t>
      </w:r>
    </w:p>
    <w:p w14:paraId="1CEF1F38">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技术信息：</w:t>
      </w:r>
      <w:r>
        <w:rPr>
          <w:rFonts w:hint="eastAsia" w:ascii="方正兰亭黑简体" w:hAnsi="方正兰亭黑简体" w:eastAsia="方正兰亭黑简体" w:cs="方正兰亭黑简体"/>
          <w:color w:val="auto"/>
          <w:sz w:val="22"/>
          <w:szCs w:val="28"/>
          <w:highlight w:val="none"/>
          <w:lang w:val="en-US" w:eastAsia="zh-CN"/>
        </w:rPr>
        <w:t>牛</w:t>
      </w:r>
      <w:r>
        <w:rPr>
          <w:rFonts w:hint="eastAsia" w:ascii="方正兰亭黑简体" w:hAnsi="方正兰亭黑简体" w:eastAsia="方正兰亭黑简体" w:cs="方正兰亭黑简体"/>
          <w:color w:val="auto"/>
          <w:sz w:val="22"/>
          <w:szCs w:val="28"/>
          <w:highlight w:val="none"/>
        </w:rPr>
        <w:t>老师021-3828</w:t>
      </w:r>
      <w:r>
        <w:rPr>
          <w:rFonts w:hint="eastAsia" w:ascii="方正兰亭黑简体" w:hAnsi="方正兰亭黑简体" w:eastAsia="方正兰亭黑简体" w:cs="方正兰亭黑简体"/>
          <w:color w:val="auto"/>
          <w:sz w:val="22"/>
          <w:szCs w:val="28"/>
          <w:highlight w:val="none"/>
          <w:lang w:val="en-US" w:eastAsia="zh-CN"/>
        </w:rPr>
        <w:t>3181</w:t>
      </w:r>
    </w:p>
    <w:p w14:paraId="13CA3734">
      <w:pPr>
        <w:jc w:val="left"/>
        <w:rPr>
          <w:rFonts w:hint="eastAsia" w:ascii="方正兰亭黑简体" w:hAnsi="方正兰亭黑简体" w:eastAsia="方正兰亭黑简体" w:cs="方正兰亭黑简体"/>
          <w:color w:val="auto"/>
          <w:sz w:val="22"/>
          <w:szCs w:val="28"/>
          <w:highlight w:val="none"/>
        </w:rPr>
      </w:pPr>
    </w:p>
    <w:p w14:paraId="2D28AC98">
      <w:pPr>
        <w:jc w:val="left"/>
        <w:rPr>
          <w:rFonts w:hint="eastAsia" w:ascii="方正兰亭黑简体" w:hAnsi="方正兰亭黑简体" w:eastAsia="方正兰亭黑简体" w:cs="方正兰亭黑简体"/>
          <w:color w:val="auto"/>
          <w:sz w:val="22"/>
          <w:szCs w:val="28"/>
          <w:highlight w:val="none"/>
        </w:rPr>
      </w:pPr>
    </w:p>
    <w:p w14:paraId="2AA81B6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4B9C0EF3">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第二章 采购需求</w:t>
      </w:r>
    </w:p>
    <w:p w14:paraId="720A9118">
      <w:pPr>
        <w:pStyle w:val="22"/>
        <w:spacing w:line="240" w:lineRule="auto"/>
        <w:ind w:left="420" w:firstLine="48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为了实现我校后勤餐饮管理部门的标准化管理，提高工作效率，充分利用资源，减少不必要的人力、物力和财力的支出，方便我校后勤餐饮管理部门的工作人员全面地掌握日常餐饮管理的相关信息，开发、设计、采购智慧餐饮管理平台以满足我部的管理需求。</w:t>
      </w:r>
    </w:p>
    <w:p w14:paraId="1A6D4373">
      <w:pPr>
        <w:pStyle w:val="2"/>
        <w:spacing w:line="24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采购内容</w:t>
      </w:r>
    </w:p>
    <w:p w14:paraId="6CC164AC">
      <w:pPr>
        <w:pStyle w:val="22"/>
        <w:spacing w:line="240" w:lineRule="auto"/>
        <w:ind w:left="420" w:firstLine="48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拟建设的智慧餐饮管理平台主要包括如下内容：</w:t>
      </w:r>
    </w:p>
    <w:p w14:paraId="524008C7">
      <w:pPr>
        <w:pStyle w:val="3"/>
        <w:spacing w:line="24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基础信息管理</w:t>
      </w:r>
    </w:p>
    <w:p w14:paraId="7D9DA284">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管理目前餐饮相关的所有信息档案，建立标准的、统一的食堂名称、窗口名称、编码等基础库信息，为所有餐饮工作人员建立标准的人事档案信息。其中各数据主要由食堂负责各自数据信息的录入、维护，学校负责相关数据的审核。</w:t>
      </w:r>
    </w:p>
    <w:p w14:paraId="23709532">
      <w:pPr>
        <w:pStyle w:val="4"/>
        <w:spacing w:line="24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1.1.1</w:t>
      </w:r>
      <w:r>
        <w:rPr>
          <w:rFonts w:hint="eastAsia" w:ascii="方正兰亭黑简体" w:hAnsi="方正兰亭黑简体" w:eastAsia="方正兰亭黑简体" w:cs="方正兰亭黑简体"/>
          <w:color w:val="auto"/>
          <w:sz w:val="22"/>
          <w:szCs w:val="22"/>
          <w:highlight w:val="none"/>
        </w:rPr>
        <w:tab/>
      </w:r>
      <w:r>
        <w:rPr>
          <w:rFonts w:hint="eastAsia" w:ascii="方正兰亭黑简体" w:hAnsi="方正兰亭黑简体" w:eastAsia="方正兰亭黑简体" w:cs="方正兰亭黑简体"/>
          <w:color w:val="auto"/>
          <w:sz w:val="22"/>
          <w:szCs w:val="22"/>
          <w:highlight w:val="none"/>
        </w:rPr>
        <w:t>企业信息管理</w:t>
      </w:r>
    </w:p>
    <w:p w14:paraId="31186094">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对餐饮经营企业建立档案信息，包括基本信息，营业执照、食品经营许可证等。</w:t>
      </w:r>
    </w:p>
    <w:p w14:paraId="0F3DD733">
      <w:pPr>
        <w:pStyle w:val="4"/>
        <w:spacing w:line="24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1.1.2</w:t>
      </w:r>
      <w:r>
        <w:rPr>
          <w:rFonts w:hint="eastAsia" w:ascii="方正兰亭黑简体" w:hAnsi="方正兰亭黑简体" w:eastAsia="方正兰亭黑简体" w:cs="方正兰亭黑简体"/>
          <w:color w:val="auto"/>
          <w:sz w:val="22"/>
          <w:szCs w:val="22"/>
          <w:highlight w:val="none"/>
        </w:rPr>
        <w:tab/>
      </w:r>
      <w:r>
        <w:rPr>
          <w:rFonts w:hint="eastAsia" w:ascii="方正兰亭黑简体" w:hAnsi="方正兰亭黑简体" w:eastAsia="方正兰亭黑简体" w:cs="方正兰亭黑简体"/>
          <w:color w:val="auto"/>
          <w:sz w:val="22"/>
          <w:szCs w:val="22"/>
          <w:highlight w:val="none"/>
        </w:rPr>
        <w:t>食堂信息</w:t>
      </w:r>
    </w:p>
    <w:p w14:paraId="5275734D">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建立现有食堂的信息档案，包括食堂面积、座位数等基础信息，经营信息，食堂管理员，6T信息等。</w:t>
      </w:r>
    </w:p>
    <w:p w14:paraId="7ED53E84">
      <w:pPr>
        <w:pStyle w:val="4"/>
        <w:spacing w:line="24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1.1.3</w:t>
      </w:r>
      <w:r>
        <w:rPr>
          <w:rFonts w:hint="eastAsia" w:ascii="方正兰亭黑简体" w:hAnsi="方正兰亭黑简体" w:eastAsia="方正兰亭黑简体" w:cs="方正兰亭黑简体"/>
          <w:color w:val="auto"/>
          <w:sz w:val="22"/>
          <w:szCs w:val="22"/>
          <w:highlight w:val="none"/>
        </w:rPr>
        <w:tab/>
      </w:r>
      <w:r>
        <w:rPr>
          <w:rFonts w:hint="eastAsia" w:ascii="方正兰亭黑简体" w:hAnsi="方正兰亭黑简体" w:eastAsia="方正兰亭黑简体" w:cs="方正兰亭黑简体"/>
          <w:color w:val="auto"/>
          <w:sz w:val="22"/>
          <w:szCs w:val="22"/>
          <w:highlight w:val="none"/>
        </w:rPr>
        <w:t>食堂窗口信息。</w:t>
      </w:r>
    </w:p>
    <w:p w14:paraId="55CC3D38">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食堂各窗口的信息，包括窗口名称、负责人、图片等信息。</w:t>
      </w:r>
    </w:p>
    <w:p w14:paraId="17558382">
      <w:pPr>
        <w:pStyle w:val="4"/>
        <w:spacing w:line="24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1.1.4</w:t>
      </w:r>
      <w:r>
        <w:rPr>
          <w:rFonts w:hint="eastAsia" w:ascii="方正兰亭黑简体" w:hAnsi="方正兰亭黑简体" w:eastAsia="方正兰亭黑简体" w:cs="方正兰亭黑简体"/>
          <w:color w:val="auto"/>
          <w:sz w:val="22"/>
          <w:szCs w:val="22"/>
          <w:highlight w:val="none"/>
        </w:rPr>
        <w:tab/>
      </w:r>
      <w:r>
        <w:rPr>
          <w:rFonts w:hint="eastAsia" w:ascii="方正兰亭黑简体" w:hAnsi="方正兰亭黑简体" w:eastAsia="方正兰亭黑简体" w:cs="方正兰亭黑简体"/>
          <w:color w:val="auto"/>
          <w:sz w:val="22"/>
          <w:szCs w:val="22"/>
          <w:highlight w:val="none"/>
        </w:rPr>
        <w:t>人员档案信息。</w:t>
      </w:r>
    </w:p>
    <w:p w14:paraId="46A2D6DC">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各食堂的工作人员信息的详细档案，包括人员的基本信息和各证件的管理。包括身份证、无犯罪记录证明、健康证、劳动合同、食品安全知识培训证、社保缴纳等证件。</w:t>
      </w:r>
    </w:p>
    <w:p w14:paraId="70199E72">
      <w:pPr>
        <w:pStyle w:val="4"/>
        <w:spacing w:line="24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1.1.5</w:t>
      </w:r>
      <w:r>
        <w:rPr>
          <w:rFonts w:hint="eastAsia" w:ascii="方正兰亭黑简体" w:hAnsi="方正兰亭黑简体" w:eastAsia="方正兰亭黑简体" w:cs="方正兰亭黑简体"/>
          <w:color w:val="auto"/>
          <w:sz w:val="22"/>
          <w:szCs w:val="22"/>
          <w:highlight w:val="none"/>
        </w:rPr>
        <w:tab/>
      </w:r>
      <w:r>
        <w:rPr>
          <w:rFonts w:hint="eastAsia" w:ascii="方正兰亭黑简体" w:hAnsi="方正兰亭黑简体" w:eastAsia="方正兰亭黑简体" w:cs="方正兰亭黑简体"/>
          <w:color w:val="auto"/>
          <w:sz w:val="22"/>
          <w:szCs w:val="22"/>
          <w:highlight w:val="none"/>
        </w:rPr>
        <w:t>过期证件</w:t>
      </w:r>
    </w:p>
    <w:p w14:paraId="21E0642A">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对系统内的企业、人员等各种证件进行过期提醒，包括营业执照、食品生产经营许可证、健康证、身份证、食品安全知识培训证等。提醒方式包括：系统通知提醒、短信、微信、邮件、屏幕提醒等多种方式。</w:t>
      </w:r>
    </w:p>
    <w:p w14:paraId="386F768D">
      <w:pPr>
        <w:pStyle w:val="3"/>
        <w:spacing w:line="24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日常监管</w:t>
      </w:r>
    </w:p>
    <w:p w14:paraId="2723CA27">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日常对食堂的各项检查，以严格落实日管控、周排查、月调度，及时发现问题及时整改问题。</w:t>
      </w:r>
    </w:p>
    <w:p w14:paraId="230F0639">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1.2.1</w:t>
      </w:r>
      <w:r>
        <w:rPr>
          <w:rFonts w:hint="eastAsia" w:ascii="方正兰亭黑简体" w:hAnsi="方正兰亭黑简体" w:eastAsia="方正兰亭黑简体" w:cs="方正兰亭黑简体"/>
          <w:color w:val="auto"/>
          <w:sz w:val="22"/>
          <w:szCs w:val="22"/>
          <w:highlight w:val="none"/>
        </w:rPr>
        <w:tab/>
      </w:r>
      <w:r>
        <w:rPr>
          <w:rFonts w:hint="eastAsia" w:ascii="方正兰亭黑简体" w:hAnsi="方正兰亭黑简体" w:eastAsia="方正兰亭黑简体" w:cs="方正兰亭黑简体"/>
          <w:color w:val="auto"/>
          <w:sz w:val="22"/>
          <w:szCs w:val="22"/>
          <w:highlight w:val="none"/>
        </w:rPr>
        <w:t>系统主要通过手机端进行日常检查，并提交不合格项目，包括问题描述和问题现场图片。不合格项目需要食堂进行整改，整改后需要学校相关人员进行整改后的审核。</w:t>
      </w:r>
    </w:p>
    <w:p w14:paraId="126E7A33">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1.2.2</w:t>
      </w:r>
      <w:r>
        <w:rPr>
          <w:rFonts w:hint="eastAsia" w:ascii="方正兰亭黑简体" w:hAnsi="方正兰亭黑简体" w:eastAsia="方正兰亭黑简体" w:cs="方正兰亭黑简体"/>
          <w:color w:val="auto"/>
          <w:sz w:val="22"/>
          <w:szCs w:val="22"/>
          <w:highlight w:val="none"/>
        </w:rPr>
        <w:tab/>
      </w:r>
      <w:r>
        <w:rPr>
          <w:rFonts w:hint="eastAsia" w:ascii="方正兰亭黑简体" w:hAnsi="方正兰亭黑简体" w:eastAsia="方正兰亭黑简体" w:cs="方正兰亭黑简体"/>
          <w:color w:val="auto"/>
          <w:sz w:val="22"/>
          <w:szCs w:val="22"/>
          <w:highlight w:val="none"/>
        </w:rPr>
        <w:t>考评场景设置。设置考评场景，指定是哪种类型的检查，该功能主要为检查项服务，设置完成后可以定义该考评场景下的考评项。</w:t>
      </w:r>
    </w:p>
    <w:p w14:paraId="3352A090">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1.2.3</w:t>
      </w:r>
      <w:r>
        <w:rPr>
          <w:rFonts w:hint="eastAsia" w:ascii="方正兰亭黑简体" w:hAnsi="方正兰亭黑简体" w:eastAsia="方正兰亭黑简体" w:cs="方正兰亭黑简体"/>
          <w:color w:val="auto"/>
          <w:sz w:val="22"/>
          <w:szCs w:val="22"/>
          <w:highlight w:val="none"/>
        </w:rPr>
        <w:tab/>
      </w:r>
      <w:r>
        <w:rPr>
          <w:rFonts w:hint="eastAsia" w:ascii="方正兰亭黑简体" w:hAnsi="方正兰亭黑简体" w:eastAsia="方正兰亭黑简体" w:cs="方正兰亭黑简体"/>
          <w:color w:val="auto"/>
          <w:sz w:val="22"/>
          <w:szCs w:val="22"/>
          <w:highlight w:val="none"/>
        </w:rPr>
        <w:t>考评项目。根据不同的使用场景，设置具体的考评项，考评时根据该考评项进行扣分。每个考评项单独设置考评分数，检查时根据该考评分数进行分值计算。</w:t>
      </w:r>
    </w:p>
    <w:p w14:paraId="03E68A56">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1.2.4</w:t>
      </w:r>
      <w:r>
        <w:rPr>
          <w:rFonts w:hint="eastAsia" w:ascii="方正兰亭黑简体" w:hAnsi="方正兰亭黑简体" w:eastAsia="方正兰亭黑简体" w:cs="方正兰亭黑简体"/>
          <w:color w:val="auto"/>
          <w:sz w:val="22"/>
          <w:szCs w:val="22"/>
          <w:highlight w:val="none"/>
        </w:rPr>
        <w:tab/>
      </w:r>
      <w:r>
        <w:rPr>
          <w:rFonts w:hint="eastAsia" w:ascii="方正兰亭黑简体" w:hAnsi="方正兰亭黑简体" w:eastAsia="方正兰亭黑简体" w:cs="方正兰亭黑简体"/>
          <w:color w:val="auto"/>
          <w:sz w:val="22"/>
          <w:szCs w:val="22"/>
          <w:highlight w:val="none"/>
        </w:rPr>
        <w:t>考评部门、考评人员。设置被考评的部门即食堂和参加考评的人员。每次考评系统可随机进行分配人员分组和对应的考评项目。</w:t>
      </w:r>
    </w:p>
    <w:p w14:paraId="3E55A670">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1.2.5考评整改。不合格项经考评人员提交后，食堂会收到整改通知信息，食堂应在收到通知后24小时内进行整改，并上传整改的图片、情况说明等信息。学校进行整改审核，并审核通过后，该整改才结束。</w:t>
      </w:r>
    </w:p>
    <w:p w14:paraId="76DEDC11">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1.2.6</w:t>
      </w:r>
      <w:r>
        <w:rPr>
          <w:rFonts w:hint="eastAsia" w:ascii="方正兰亭黑简体" w:hAnsi="方正兰亭黑简体" w:eastAsia="方正兰亭黑简体" w:cs="方正兰亭黑简体"/>
          <w:color w:val="auto"/>
          <w:sz w:val="22"/>
          <w:szCs w:val="22"/>
          <w:highlight w:val="none"/>
        </w:rPr>
        <w:tab/>
      </w:r>
      <w:r>
        <w:rPr>
          <w:rFonts w:hint="eastAsia" w:ascii="方正兰亭黑简体" w:hAnsi="方正兰亭黑简体" w:eastAsia="方正兰亭黑简体" w:cs="方正兰亭黑简体"/>
          <w:color w:val="auto"/>
          <w:sz w:val="22"/>
          <w:szCs w:val="22"/>
          <w:highlight w:val="none"/>
        </w:rPr>
        <w:t>统计报表。包括检查情况概览数据统计，各食堂的扣分情况统计，高频问题的统计，考评人员的数据统计等。</w:t>
      </w:r>
    </w:p>
    <w:p w14:paraId="283B28D1">
      <w:pPr>
        <w:pStyle w:val="3"/>
        <w:spacing w:line="24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投诉建议</w:t>
      </w:r>
    </w:p>
    <w:p w14:paraId="0099A9BB">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建立扫码投诉建议的服务平台，设置服务二维码于各餐桌显眼位置，师生通过手机扫码即可进行投诉、建议。</w:t>
      </w:r>
    </w:p>
    <w:p w14:paraId="22110935">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1.5.1</w:t>
      </w:r>
      <w:r>
        <w:rPr>
          <w:rFonts w:hint="eastAsia" w:ascii="方正兰亭黑简体" w:hAnsi="方正兰亭黑简体" w:eastAsia="方正兰亭黑简体" w:cs="方正兰亭黑简体"/>
          <w:color w:val="auto"/>
          <w:sz w:val="22"/>
          <w:szCs w:val="22"/>
          <w:highlight w:val="none"/>
        </w:rPr>
        <w:tab/>
      </w:r>
      <w:r>
        <w:rPr>
          <w:rFonts w:hint="eastAsia" w:ascii="方正兰亭黑简体" w:hAnsi="方正兰亭黑简体" w:eastAsia="方正兰亭黑简体" w:cs="方正兰亭黑简体"/>
          <w:color w:val="auto"/>
          <w:sz w:val="22"/>
          <w:szCs w:val="22"/>
          <w:highlight w:val="none"/>
        </w:rPr>
        <w:t>系统可自动发送短信、微信消息、电话语音等方式，及时通知对应的被投诉食堂的负责人。收到投诉通知后，食堂负责人可通过手机端进行查看被投诉的详细信息。投诉人若选择了需要回复的，食堂负责人应该在第一时间内联系投诉人进行问题的处理解决。</w:t>
      </w:r>
    </w:p>
    <w:p w14:paraId="029AF86C">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1.5.2</w:t>
      </w:r>
      <w:r>
        <w:rPr>
          <w:rFonts w:hint="eastAsia" w:ascii="方正兰亭黑简体" w:hAnsi="方正兰亭黑简体" w:eastAsia="方正兰亭黑简体" w:cs="方正兰亭黑简体"/>
          <w:color w:val="auto"/>
          <w:sz w:val="22"/>
          <w:szCs w:val="22"/>
          <w:highlight w:val="none"/>
        </w:rPr>
        <w:tab/>
      </w:r>
      <w:r>
        <w:rPr>
          <w:rFonts w:hint="eastAsia" w:ascii="方正兰亭黑简体" w:hAnsi="方正兰亭黑简体" w:eastAsia="方正兰亭黑简体" w:cs="方正兰亭黑简体"/>
          <w:color w:val="auto"/>
          <w:sz w:val="22"/>
          <w:szCs w:val="22"/>
          <w:highlight w:val="none"/>
        </w:rPr>
        <w:t>问题分类管理。对投诉的问题进行分类，方便日后的统计和分析。如菜品质量、环境卫生等；不同分类还可设置不同的具体的问题。</w:t>
      </w:r>
    </w:p>
    <w:p w14:paraId="0E38EEC3">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1.5.3</w:t>
      </w:r>
      <w:r>
        <w:rPr>
          <w:rFonts w:hint="eastAsia" w:ascii="方正兰亭黑简体" w:hAnsi="方正兰亭黑简体" w:eastAsia="方正兰亭黑简体" w:cs="方正兰亭黑简体"/>
          <w:color w:val="auto"/>
          <w:sz w:val="22"/>
          <w:szCs w:val="22"/>
          <w:highlight w:val="none"/>
        </w:rPr>
        <w:tab/>
      </w:r>
      <w:r>
        <w:rPr>
          <w:rFonts w:hint="eastAsia" w:ascii="方正兰亭黑简体" w:hAnsi="方正兰亭黑简体" w:eastAsia="方正兰亭黑简体" w:cs="方正兰亭黑简体"/>
          <w:color w:val="auto"/>
          <w:sz w:val="22"/>
          <w:szCs w:val="22"/>
          <w:highlight w:val="none"/>
        </w:rPr>
        <w:t>类别维护。设置投诉、建议、咨询、点赞、其他等类别</w:t>
      </w:r>
    </w:p>
    <w:p w14:paraId="392C6E6B">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1.5.4</w:t>
      </w:r>
      <w:r>
        <w:rPr>
          <w:rFonts w:hint="eastAsia" w:ascii="方正兰亭黑简体" w:hAnsi="方正兰亭黑简体" w:eastAsia="方正兰亭黑简体" w:cs="方正兰亭黑简体"/>
          <w:color w:val="auto"/>
          <w:sz w:val="22"/>
          <w:szCs w:val="22"/>
          <w:highlight w:val="none"/>
        </w:rPr>
        <w:tab/>
      </w:r>
      <w:r>
        <w:rPr>
          <w:rFonts w:hint="eastAsia" w:ascii="方正兰亭黑简体" w:hAnsi="方正兰亭黑简体" w:eastAsia="方正兰亭黑简体" w:cs="方正兰亭黑简体"/>
          <w:color w:val="auto"/>
          <w:sz w:val="22"/>
          <w:szCs w:val="22"/>
          <w:highlight w:val="none"/>
        </w:rPr>
        <w:t>投诉处理。日常投诉的处理，主要包括投诉受理后，食堂负责人应在系统内进行投诉处理情况的提交，包括问题的具体分类，处理内容，处理结果等信息。提交处理情况后，学校管理员须进行审核，审核包括办结、驳回。审核通过后方可结束该投诉的处理。</w:t>
      </w:r>
    </w:p>
    <w:p w14:paraId="7894E136">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1.5.5</w:t>
      </w:r>
      <w:r>
        <w:rPr>
          <w:rFonts w:hint="eastAsia" w:ascii="方正兰亭黑简体" w:hAnsi="方正兰亭黑简体" w:eastAsia="方正兰亭黑简体" w:cs="方正兰亭黑简体"/>
          <w:color w:val="auto"/>
          <w:sz w:val="22"/>
          <w:szCs w:val="22"/>
          <w:highlight w:val="none"/>
        </w:rPr>
        <w:tab/>
      </w:r>
      <w:r>
        <w:rPr>
          <w:rFonts w:hint="eastAsia" w:ascii="方正兰亭黑简体" w:hAnsi="方正兰亭黑简体" w:eastAsia="方正兰亭黑简体" w:cs="方正兰亭黑简体"/>
          <w:color w:val="auto"/>
          <w:sz w:val="22"/>
          <w:szCs w:val="22"/>
          <w:highlight w:val="none"/>
        </w:rPr>
        <w:t>考评联动。如相关投诉内容涉及到综合考评内的处罚项，系统可进行考评联动，触发相应的处罚项。</w:t>
      </w:r>
    </w:p>
    <w:p w14:paraId="0290D127">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1.5.6</w:t>
      </w:r>
      <w:r>
        <w:rPr>
          <w:rFonts w:hint="eastAsia" w:ascii="方正兰亭黑简体" w:hAnsi="方正兰亭黑简体" w:eastAsia="方正兰亭黑简体" w:cs="方正兰亭黑简体"/>
          <w:color w:val="auto"/>
          <w:sz w:val="22"/>
          <w:szCs w:val="22"/>
          <w:highlight w:val="none"/>
        </w:rPr>
        <w:tab/>
      </w:r>
      <w:r>
        <w:rPr>
          <w:rFonts w:hint="eastAsia" w:ascii="方正兰亭黑简体" w:hAnsi="方正兰亭黑简体" w:eastAsia="方正兰亭黑简体" w:cs="方正兰亭黑简体"/>
          <w:color w:val="auto"/>
          <w:sz w:val="22"/>
          <w:szCs w:val="22"/>
          <w:highlight w:val="none"/>
        </w:rPr>
        <w:t>统计分析。可统计时间周期范围内的投诉数量，可按食堂统计，按类别统计；可按问题的分类进行统计汇总。</w:t>
      </w:r>
    </w:p>
    <w:p w14:paraId="188BE91E">
      <w:pPr>
        <w:pStyle w:val="3"/>
        <w:spacing w:line="24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晨检管理</w:t>
      </w:r>
    </w:p>
    <w:p w14:paraId="4A7AF425">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对食堂每日晨检的管理，通过在食堂安装晨检仪，进行人脸识别、自动测温。晨检仪应具有门禁功能，实现晨检异常后限制进入食堂的功能。系统预留人员考勤的功能。</w:t>
      </w:r>
    </w:p>
    <w:p w14:paraId="69F51DE2">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1.4.1设备管理。对晨检仪设备的注册、心跳等管理</w:t>
      </w:r>
    </w:p>
    <w:p w14:paraId="7B885D43">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1.4.2晨检项目。可设置晨检仪设备上显示的晨检项目，如正常上岗，离岗休息等</w:t>
      </w:r>
    </w:p>
    <w:p w14:paraId="396EBE57">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1.4.3晨检流水。每日晨检的详细流水，包括时间、地点、人员信息、体温、现场照片等</w:t>
      </w:r>
    </w:p>
    <w:p w14:paraId="7EA37909">
      <w:pPr>
        <w:pStyle w:val="3"/>
        <w:spacing w:line="24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设备管理</w:t>
      </w:r>
    </w:p>
    <w:p w14:paraId="60674A0D">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日常厨房设备等大型设备的管理，包括闲置、调拨等。建立大型设备的维修维护保养记录。</w:t>
      </w:r>
    </w:p>
    <w:p w14:paraId="7590B142">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1.5.1设备信息。支持按模版导入数据、支持手工录入设备信息</w:t>
      </w:r>
    </w:p>
    <w:p w14:paraId="4AED1754">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1.5.2设备维修。设备日常维修的管理，包括维修申请、维修单位维修、维修确认等</w:t>
      </w:r>
    </w:p>
    <w:p w14:paraId="04A4D001">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1.5.3设备调拨。各食堂之间对设备的转移和调拨，须相关负责人员进行审核后，系统记录设备调拨信息。</w:t>
      </w:r>
    </w:p>
    <w:p w14:paraId="41490978">
      <w:pPr>
        <w:pStyle w:val="22"/>
        <w:numPr>
          <w:ilvl w:val="0"/>
          <w:numId w:val="2"/>
        </w:numPr>
        <w:spacing w:before="120" w:after="120" w:line="240" w:lineRule="auto"/>
        <w:ind w:firstLineChars="0"/>
        <w:contextualSpacing w:val="0"/>
        <w:outlineLvl w:val="2"/>
        <w:rPr>
          <w:rFonts w:hint="eastAsia" w:ascii="方正兰亭黑简体" w:hAnsi="方正兰亭黑简体" w:eastAsia="方正兰亭黑简体" w:cs="方正兰亭黑简体"/>
          <w:bCs/>
          <w:vanish/>
          <w:color w:val="auto"/>
          <w:sz w:val="22"/>
          <w:szCs w:val="22"/>
          <w:highlight w:val="none"/>
        </w:rPr>
      </w:pPr>
    </w:p>
    <w:p w14:paraId="7DEA1747">
      <w:pPr>
        <w:pStyle w:val="3"/>
        <w:spacing w:line="24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硬件设备-综合检查牌</w:t>
      </w:r>
    </w:p>
    <w:p w14:paraId="3AB2088B">
      <w:pPr>
        <w:spacing w:line="240" w:lineRule="auto"/>
        <w:ind w:firstLine="660" w:firstLineChars="30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食堂厨房区域的检查牌，需支持NFC，手机NFC碰一碰即可开始检查。</w:t>
      </w:r>
    </w:p>
    <w:p w14:paraId="687CD541">
      <w:pPr>
        <w:pStyle w:val="3"/>
        <w:spacing w:line="24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硬件设备-晨检仪</w:t>
      </w:r>
    </w:p>
    <w:p w14:paraId="274EF431">
      <w:pPr>
        <w:spacing w:line="240" w:lineRule="auto"/>
        <w:ind w:left="420" w:leftChars="200" w:firstLine="220" w:firstLineChars="10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晨检仪安装于食堂进入门口，需带门禁功能。食堂工作人员每日进出厨房进行晨检。需支持测温、证件提醒、考勤打卡、人脸识别、刷卡门禁等功能，并可对晨检数据进行统计分析。</w:t>
      </w:r>
    </w:p>
    <w:p w14:paraId="39F7A77D">
      <w:pPr>
        <w:pStyle w:val="22"/>
        <w:numPr>
          <w:ilvl w:val="0"/>
          <w:numId w:val="2"/>
        </w:numPr>
        <w:spacing w:before="120" w:after="120" w:line="240" w:lineRule="auto"/>
        <w:ind w:firstLineChars="0"/>
        <w:contextualSpacing w:val="0"/>
        <w:outlineLvl w:val="2"/>
        <w:rPr>
          <w:rFonts w:hint="eastAsia" w:ascii="方正兰亭黑简体" w:hAnsi="方正兰亭黑简体" w:eastAsia="方正兰亭黑简体" w:cs="方正兰亭黑简体"/>
          <w:bCs/>
          <w:vanish/>
          <w:color w:val="auto"/>
          <w:sz w:val="22"/>
          <w:szCs w:val="22"/>
          <w:highlight w:val="none"/>
        </w:rPr>
      </w:pPr>
    </w:p>
    <w:p w14:paraId="0F0E8EBC">
      <w:pPr>
        <w:pStyle w:val="3"/>
        <w:spacing w:line="24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项目实施</w:t>
      </w:r>
    </w:p>
    <w:p w14:paraId="6078B9A4">
      <w:pPr>
        <w:pStyle w:val="22"/>
        <w:spacing w:line="240" w:lineRule="auto"/>
        <w:ind w:left="420" w:firstLineChars="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设备安装和系统联调，需包含各类线材、配件、辅料、人工费，包含与一卡通门禁系统对接。</w:t>
      </w:r>
    </w:p>
    <w:p w14:paraId="5349B005">
      <w:pPr>
        <w:pStyle w:val="2"/>
        <w:spacing w:line="240" w:lineRule="auto"/>
        <w:ind w:firstLine="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供应商报价要求</w:t>
      </w:r>
    </w:p>
    <w:p w14:paraId="4CF2A468">
      <w:pPr>
        <w:spacing w:line="240" w:lineRule="auto"/>
        <w:ind w:left="2" w:firstLine="48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（一）所投产品报价应当包含材料费用、</w:t>
      </w:r>
      <w:r>
        <w:rPr>
          <w:rFonts w:hint="eastAsia" w:ascii="方正兰亭黑简体" w:hAnsi="方正兰亭黑简体" w:eastAsia="方正兰亭黑简体" w:cs="方正兰亭黑简体"/>
          <w:color w:val="auto"/>
          <w:sz w:val="22"/>
          <w:szCs w:val="22"/>
          <w:highlight w:val="none"/>
        </w:rPr>
        <w:fldChar w:fldCharType="begin"/>
      </w:r>
      <w:r>
        <w:rPr>
          <w:rFonts w:hint="eastAsia" w:ascii="方正兰亭黑简体" w:hAnsi="方正兰亭黑简体" w:eastAsia="方正兰亭黑简体" w:cs="方正兰亭黑简体"/>
          <w:color w:val="auto"/>
          <w:sz w:val="22"/>
          <w:szCs w:val="22"/>
          <w:highlight w:val="none"/>
        </w:rPr>
        <w:instrText xml:space="preserve"> HYPERLINK "http://www.bidcenter.com.cn/news-10677998-1.html" \t "_blank" \o "运输-2012年度沈阳百事可乐饮料有限公司物流指定供应商资格招标公告-中国采招网" </w:instrText>
      </w:r>
      <w:r>
        <w:rPr>
          <w:rFonts w:hint="eastAsia" w:ascii="方正兰亭黑简体" w:hAnsi="方正兰亭黑简体" w:eastAsia="方正兰亭黑简体" w:cs="方正兰亭黑简体"/>
          <w:color w:val="auto"/>
          <w:sz w:val="22"/>
          <w:szCs w:val="22"/>
          <w:highlight w:val="none"/>
        </w:rPr>
        <w:fldChar w:fldCharType="separate"/>
      </w:r>
      <w:r>
        <w:rPr>
          <w:rFonts w:hint="eastAsia" w:ascii="方正兰亭黑简体" w:hAnsi="方正兰亭黑简体" w:eastAsia="方正兰亭黑简体" w:cs="方正兰亭黑简体"/>
          <w:color w:val="auto"/>
          <w:sz w:val="22"/>
          <w:szCs w:val="22"/>
          <w:highlight w:val="none"/>
        </w:rPr>
        <w:t>运输</w:t>
      </w:r>
      <w:r>
        <w:rPr>
          <w:rFonts w:hint="eastAsia" w:ascii="方正兰亭黑简体" w:hAnsi="方正兰亭黑简体" w:eastAsia="方正兰亭黑简体" w:cs="方正兰亭黑简体"/>
          <w:color w:val="auto"/>
          <w:sz w:val="22"/>
          <w:szCs w:val="22"/>
          <w:highlight w:val="none"/>
        </w:rPr>
        <w:fldChar w:fldCharType="end"/>
      </w:r>
      <w:r>
        <w:rPr>
          <w:rFonts w:hint="eastAsia" w:ascii="方正兰亭黑简体" w:hAnsi="方正兰亭黑简体" w:eastAsia="方正兰亭黑简体" w:cs="方正兰亭黑简体"/>
          <w:color w:val="auto"/>
          <w:sz w:val="22"/>
          <w:szCs w:val="22"/>
          <w:highlight w:val="none"/>
        </w:rPr>
        <w:t>费（含上下车）、人工费、服务费、利润等所有费用。</w:t>
      </w:r>
    </w:p>
    <w:p w14:paraId="139A0C8A">
      <w:pPr>
        <w:spacing w:line="240" w:lineRule="auto"/>
        <w:ind w:left="2" w:firstLine="48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（二）供应商应当一次报出不得更改的价格，任何有选择的报价均为无效报价。投标报价一经认可，即为签订合同的最终依据。</w:t>
      </w:r>
    </w:p>
    <w:p w14:paraId="17DFCD0C">
      <w:pPr>
        <w:spacing w:line="240" w:lineRule="auto"/>
        <w:ind w:left="2" w:firstLine="48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（三）报价单位：人民币 元，计量单位为中华人民共和国法定计量单位。</w:t>
      </w:r>
    </w:p>
    <w:p w14:paraId="7FCA00B3">
      <w:pPr>
        <w:spacing w:line="240" w:lineRule="auto"/>
        <w:ind w:left="2" w:firstLine="48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（四）供应商应按报价函规定格式对所投产品逐项进行报价。</w:t>
      </w:r>
    </w:p>
    <w:p w14:paraId="0389CDD7">
      <w:pPr>
        <w:spacing w:line="240" w:lineRule="auto"/>
        <w:ind w:left="2" w:firstLine="48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（五）报价函的每一页均应加盖报价单位公章。</w:t>
      </w:r>
    </w:p>
    <w:p w14:paraId="58AA597E">
      <w:pPr>
        <w:pStyle w:val="2"/>
        <w:spacing w:line="240" w:lineRule="auto"/>
        <w:ind w:firstLine="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供应商投标须知</w:t>
      </w:r>
    </w:p>
    <w:p w14:paraId="1A380CF2">
      <w:pPr>
        <w:spacing w:line="240" w:lineRule="auto"/>
        <w:ind w:left="2" w:firstLine="48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（一）下列情况之一的报价，将不被接受：</w:t>
      </w:r>
    </w:p>
    <w:p w14:paraId="73554F0B">
      <w:pPr>
        <w:spacing w:line="240" w:lineRule="auto"/>
        <w:ind w:left="2" w:firstLine="48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1、经调查，供应商所投产品价格超过市场价格的；</w:t>
      </w:r>
    </w:p>
    <w:p w14:paraId="2AC63C81">
      <w:pPr>
        <w:spacing w:line="240" w:lineRule="auto"/>
        <w:ind w:left="2" w:firstLine="48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2、参与报价的供应商少于3家的，不能形成充分竞争的；</w:t>
      </w:r>
    </w:p>
    <w:p w14:paraId="120BDCBC">
      <w:pPr>
        <w:spacing w:line="240" w:lineRule="auto"/>
        <w:ind w:left="2" w:firstLine="48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3、供应商的报价资料不全的；</w:t>
      </w:r>
    </w:p>
    <w:p w14:paraId="6C1FD0CA">
      <w:pPr>
        <w:spacing w:line="240" w:lineRule="auto"/>
        <w:ind w:left="2" w:firstLine="48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（二）供应商在报价过程中应遵守诚实信用原则，供应商串通投标或以其他形式限制竞争的，我办有权放弃当次采购结果。</w:t>
      </w:r>
    </w:p>
    <w:p w14:paraId="1B99D3F0">
      <w:pPr>
        <w:spacing w:line="240" w:lineRule="auto"/>
        <w:ind w:left="2" w:firstLine="48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（三）供应商投标产品的材质必须与项目清单中技术参数要求相符，凡涉及“食品级”材质，必须提供该产品符合国家最新标准的检测合格报告。</w:t>
      </w:r>
    </w:p>
    <w:p w14:paraId="77647015">
      <w:pPr>
        <w:spacing w:line="240" w:lineRule="auto"/>
        <w:ind w:left="2" w:firstLine="48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（四）投标供应商在报价时，需要同时递交下列材料（复印件或扫描件）作为报价函附件，否则，其报价将被按照无效报价处理:</w:t>
      </w:r>
    </w:p>
    <w:p w14:paraId="632CC3EC">
      <w:pPr>
        <w:spacing w:line="240" w:lineRule="auto"/>
        <w:ind w:left="2" w:firstLine="48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1、供应商经年检的法人营业执照副本；</w:t>
      </w:r>
    </w:p>
    <w:p w14:paraId="47651CF6">
      <w:pPr>
        <w:spacing w:line="240" w:lineRule="auto"/>
        <w:ind w:left="2" w:firstLine="48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2、报价人的身份证；</w:t>
      </w:r>
    </w:p>
    <w:p w14:paraId="0D14D63F">
      <w:pPr>
        <w:spacing w:line="240" w:lineRule="auto"/>
        <w:ind w:left="2" w:firstLine="48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3、供应商认为有必要提供的能够证明其业绩、信用等情况的其他资料。</w:t>
      </w:r>
    </w:p>
    <w:p w14:paraId="5BCBFE2A">
      <w:pPr>
        <w:jc w:val="left"/>
        <w:rPr>
          <w:rFonts w:hint="eastAsia" w:ascii="方正兰亭黑简体" w:hAnsi="方正兰亭黑简体" w:eastAsia="方正兰亭黑简体" w:cs="方正兰亭黑简体"/>
          <w:color w:val="auto"/>
          <w:sz w:val="22"/>
          <w:szCs w:val="28"/>
          <w:highlight w:val="none"/>
        </w:rPr>
      </w:pPr>
    </w:p>
    <w:p w14:paraId="34E9720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6F08D747">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第三章 评审办法</w:t>
      </w:r>
    </w:p>
    <w:p w14:paraId="69EFEE19">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综合本项目的特点，根据相关法律法规的规定，本着保护竞争，维护采购工作公开、公平、公正原则，特制定本评审办法，作为选定本次采购</w:t>
      </w:r>
      <w:r>
        <w:rPr>
          <w:rFonts w:hint="eastAsia" w:ascii="方正兰亭黑简体" w:hAnsi="方正兰亭黑简体" w:eastAsia="方正兰亭黑简体" w:cs="方正兰亭黑简体"/>
          <w:color w:val="auto"/>
          <w:sz w:val="22"/>
          <w:szCs w:val="28"/>
          <w:highlight w:val="none"/>
          <w:lang w:eastAsia="zh-CN"/>
        </w:rPr>
        <w:t>中标</w:t>
      </w:r>
      <w:r>
        <w:rPr>
          <w:rFonts w:hint="eastAsia" w:ascii="方正兰亭黑简体" w:hAnsi="方正兰亭黑简体" w:eastAsia="方正兰亭黑简体" w:cs="方正兰亭黑简体"/>
          <w:color w:val="auto"/>
          <w:sz w:val="22"/>
          <w:szCs w:val="28"/>
          <w:highlight w:val="none"/>
        </w:rPr>
        <w:t>人的依据。</w:t>
      </w:r>
    </w:p>
    <w:p w14:paraId="117C45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1、成立比选评审小组</w:t>
      </w:r>
    </w:p>
    <w:p w14:paraId="49C58FD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采购人将根据</w:t>
      </w:r>
      <w:r>
        <w:rPr>
          <w:rFonts w:hint="eastAsia" w:ascii="方正兰亭黑简体" w:hAnsi="方正兰亭黑简体" w:eastAsia="方正兰亭黑简体" w:cs="方正兰亭黑简体"/>
          <w:color w:val="auto"/>
          <w:sz w:val="22"/>
          <w:szCs w:val="28"/>
          <w:highlight w:val="none"/>
          <w:lang w:val="en-US" w:eastAsia="zh-CN"/>
        </w:rPr>
        <w:t>货物与服务</w:t>
      </w:r>
      <w:r>
        <w:rPr>
          <w:rFonts w:hint="eastAsia" w:ascii="方正兰亭黑简体" w:hAnsi="方正兰亭黑简体" w:eastAsia="方正兰亭黑简体" w:cs="方正兰亭黑简体"/>
          <w:color w:val="auto"/>
          <w:sz w:val="22"/>
          <w:szCs w:val="28"/>
          <w:highlight w:val="none"/>
        </w:rPr>
        <w:t>的特点，依</w:t>
      </w:r>
      <w:r>
        <w:rPr>
          <w:rFonts w:hint="eastAsia" w:ascii="方正兰亭黑简体" w:hAnsi="方正兰亭黑简体" w:eastAsia="方正兰亭黑简体" w:cs="方正兰亭黑简体"/>
          <w:color w:val="auto"/>
          <w:sz w:val="22"/>
          <w:szCs w:val="28"/>
          <w:highlight w:val="none"/>
          <w:lang w:val="en-US" w:eastAsia="zh-CN"/>
        </w:rPr>
        <w:t>规</w:t>
      </w:r>
      <w:r>
        <w:rPr>
          <w:rFonts w:hint="eastAsia" w:ascii="方正兰亭黑简体" w:hAnsi="方正兰亭黑简体" w:eastAsia="方正兰亭黑简体" w:cs="方正兰亭黑简体"/>
          <w:color w:val="auto"/>
          <w:sz w:val="22"/>
          <w:szCs w:val="28"/>
          <w:highlight w:val="none"/>
        </w:rPr>
        <w:t>组建比选小组，比选小组由3人或以上的单数组成。</w:t>
      </w:r>
    </w:p>
    <w:p w14:paraId="123C9161">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2、</w:t>
      </w:r>
      <w:r>
        <w:rPr>
          <w:rFonts w:hint="eastAsia" w:ascii="方正兰亭黑简体" w:hAnsi="方正兰亭黑简体" w:eastAsia="方正兰亭黑简体" w:cs="方正兰亭黑简体"/>
          <w:color w:val="auto"/>
          <w:sz w:val="22"/>
          <w:szCs w:val="28"/>
          <w:highlight w:val="none"/>
        </w:rPr>
        <w:t>具体评分细则如下：</w:t>
      </w:r>
    </w:p>
    <w:tbl>
      <w:tblPr>
        <w:tblStyle w:val="14"/>
        <w:tblW w:w="5179" w:type="pct"/>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63"/>
        <w:gridCol w:w="1095"/>
        <w:gridCol w:w="7143"/>
      </w:tblGrid>
      <w:tr w14:paraId="2E217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blHeader/>
        </w:trPr>
        <w:tc>
          <w:tcPr>
            <w:tcW w:w="922" w:type="pct"/>
            <w:vAlign w:val="center"/>
          </w:tcPr>
          <w:p w14:paraId="56BB68F3">
            <w:pPr>
              <w:spacing w:line="360" w:lineRule="auto"/>
              <w:jc w:val="center"/>
              <w:rPr>
                <w:rFonts w:hint="eastAsia" w:ascii="方正兰亭黑简体" w:hAnsi="方正兰亭黑简体" w:eastAsia="方正兰亭黑简体" w:cs="方正兰亭黑简体"/>
                <w:color w:val="auto"/>
                <w:sz w:val="20"/>
                <w:szCs w:val="22"/>
                <w:highlight w:val="none"/>
              </w:rPr>
            </w:pPr>
            <w:r>
              <w:rPr>
                <w:rFonts w:hint="eastAsia" w:ascii="方正兰亭黑简体" w:hAnsi="方正兰亭黑简体" w:eastAsia="方正兰亭黑简体" w:cs="方正兰亭黑简体"/>
                <w:color w:val="auto"/>
                <w:sz w:val="20"/>
                <w:szCs w:val="22"/>
                <w:highlight w:val="none"/>
              </w:rPr>
              <w:t>评审内容</w:t>
            </w:r>
          </w:p>
        </w:tc>
        <w:tc>
          <w:tcPr>
            <w:tcW w:w="542" w:type="pct"/>
            <w:vAlign w:val="center"/>
          </w:tcPr>
          <w:p w14:paraId="6EB61BEC">
            <w:pPr>
              <w:spacing w:line="360" w:lineRule="auto"/>
              <w:jc w:val="center"/>
              <w:rPr>
                <w:rFonts w:hint="eastAsia" w:ascii="方正兰亭黑简体" w:hAnsi="方正兰亭黑简体" w:eastAsia="方正兰亭黑简体" w:cs="方正兰亭黑简体"/>
                <w:color w:val="auto"/>
                <w:sz w:val="20"/>
                <w:szCs w:val="22"/>
                <w:highlight w:val="none"/>
              </w:rPr>
            </w:pPr>
            <w:r>
              <w:rPr>
                <w:rFonts w:hint="eastAsia" w:ascii="方正兰亭黑简体" w:hAnsi="方正兰亭黑简体" w:eastAsia="方正兰亭黑简体" w:cs="方正兰亭黑简体"/>
                <w:color w:val="auto"/>
                <w:sz w:val="20"/>
                <w:szCs w:val="22"/>
                <w:highlight w:val="none"/>
              </w:rPr>
              <w:t>分值</w:t>
            </w:r>
          </w:p>
        </w:tc>
        <w:tc>
          <w:tcPr>
            <w:tcW w:w="3535" w:type="pct"/>
            <w:vAlign w:val="center"/>
          </w:tcPr>
          <w:p w14:paraId="5B5A3148">
            <w:pPr>
              <w:spacing w:line="360" w:lineRule="auto"/>
              <w:jc w:val="center"/>
              <w:rPr>
                <w:rFonts w:hint="eastAsia" w:ascii="方正兰亭黑简体" w:hAnsi="方正兰亭黑简体" w:eastAsia="方正兰亭黑简体" w:cs="方正兰亭黑简体"/>
                <w:color w:val="auto"/>
                <w:sz w:val="20"/>
                <w:szCs w:val="22"/>
                <w:highlight w:val="none"/>
              </w:rPr>
            </w:pPr>
            <w:r>
              <w:rPr>
                <w:rFonts w:hint="eastAsia" w:ascii="方正兰亭黑简体" w:hAnsi="方正兰亭黑简体" w:eastAsia="方正兰亭黑简体" w:cs="方正兰亭黑简体"/>
                <w:color w:val="auto"/>
                <w:sz w:val="20"/>
                <w:szCs w:val="22"/>
                <w:highlight w:val="none"/>
              </w:rPr>
              <w:t>评审标准</w:t>
            </w:r>
          </w:p>
        </w:tc>
      </w:tr>
      <w:tr w14:paraId="11C3C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22" w:type="pct"/>
            <w:vAlign w:val="center"/>
          </w:tcPr>
          <w:p w14:paraId="55D5E2D7">
            <w:pPr>
              <w:spacing w:line="360" w:lineRule="auto"/>
              <w:jc w:val="center"/>
              <w:rPr>
                <w:rFonts w:hint="eastAsia" w:ascii="方正兰亭黑简体" w:hAnsi="方正兰亭黑简体" w:eastAsia="方正兰亭黑简体" w:cs="方正兰亭黑简体"/>
                <w:color w:val="auto"/>
                <w:sz w:val="20"/>
                <w:szCs w:val="22"/>
                <w:highlight w:val="none"/>
              </w:rPr>
            </w:pPr>
            <w:r>
              <w:rPr>
                <w:rFonts w:hint="eastAsia" w:ascii="方正兰亭黑简体" w:hAnsi="方正兰亭黑简体" w:eastAsia="方正兰亭黑简体" w:cs="方正兰亭黑简体"/>
                <w:color w:val="auto"/>
                <w:sz w:val="20"/>
                <w:szCs w:val="22"/>
                <w:highlight w:val="none"/>
              </w:rPr>
              <w:t>报价分</w:t>
            </w:r>
          </w:p>
          <w:p w14:paraId="716BB3F6">
            <w:pPr>
              <w:spacing w:line="360" w:lineRule="auto"/>
              <w:jc w:val="center"/>
              <w:rPr>
                <w:rFonts w:hint="eastAsia" w:ascii="方正兰亭黑简体" w:hAnsi="方正兰亭黑简体" w:eastAsia="方正兰亭黑简体" w:cs="方正兰亭黑简体"/>
                <w:color w:val="auto"/>
                <w:sz w:val="20"/>
                <w:szCs w:val="22"/>
                <w:highlight w:val="none"/>
                <w:lang w:val="en-US" w:eastAsia="zh-CN"/>
              </w:rPr>
            </w:pPr>
            <w:r>
              <w:rPr>
                <w:rFonts w:hint="eastAsia" w:ascii="方正兰亭黑简体" w:hAnsi="方正兰亭黑简体" w:eastAsia="方正兰亭黑简体" w:cs="方正兰亭黑简体"/>
                <w:color w:val="auto"/>
                <w:sz w:val="20"/>
                <w:szCs w:val="22"/>
                <w:highlight w:val="none"/>
                <w:lang w:val="en-US" w:eastAsia="zh-CN"/>
              </w:rPr>
              <w:t>（客观分）</w:t>
            </w:r>
          </w:p>
        </w:tc>
        <w:tc>
          <w:tcPr>
            <w:tcW w:w="542" w:type="pct"/>
            <w:vAlign w:val="center"/>
          </w:tcPr>
          <w:p w14:paraId="096C31F1">
            <w:pPr>
              <w:spacing w:line="360" w:lineRule="auto"/>
              <w:jc w:val="center"/>
              <w:rPr>
                <w:rFonts w:hint="eastAsia" w:ascii="方正兰亭黑简体" w:hAnsi="方正兰亭黑简体" w:eastAsia="方正兰亭黑简体" w:cs="方正兰亭黑简体"/>
                <w:color w:val="auto"/>
                <w:sz w:val="20"/>
                <w:szCs w:val="22"/>
                <w:highlight w:val="none"/>
              </w:rPr>
            </w:pPr>
            <w:r>
              <w:rPr>
                <w:rFonts w:hint="eastAsia" w:ascii="方正兰亭黑简体" w:hAnsi="方正兰亭黑简体" w:eastAsia="方正兰亭黑简体" w:cs="方正兰亭黑简体"/>
                <w:color w:val="auto"/>
                <w:sz w:val="20"/>
                <w:szCs w:val="22"/>
                <w:highlight w:val="none"/>
              </w:rPr>
              <w:t>0-30</w:t>
            </w:r>
          </w:p>
        </w:tc>
        <w:tc>
          <w:tcPr>
            <w:tcW w:w="3535" w:type="pct"/>
            <w:vAlign w:val="center"/>
          </w:tcPr>
          <w:p w14:paraId="5531525C">
            <w:pPr>
              <w:spacing w:line="360" w:lineRule="auto"/>
              <w:ind w:left="218" w:leftChars="104" w:right="197" w:rightChars="94" w:firstLine="0" w:firstLineChars="0"/>
              <w:jc w:val="both"/>
              <w:rPr>
                <w:rFonts w:hint="eastAsia" w:ascii="方正兰亭黑简体" w:hAnsi="方正兰亭黑简体" w:eastAsia="方正兰亭黑简体" w:cs="方正兰亭黑简体"/>
                <w:color w:val="auto"/>
                <w:sz w:val="20"/>
                <w:szCs w:val="22"/>
                <w:highlight w:val="none"/>
              </w:rPr>
            </w:pPr>
            <w:r>
              <w:rPr>
                <w:rFonts w:hint="eastAsia" w:ascii="方正兰亭黑简体" w:hAnsi="方正兰亭黑简体" w:eastAsia="方正兰亭黑简体" w:cs="方正兰亭黑简体"/>
                <w:color w:val="auto"/>
                <w:sz w:val="20"/>
                <w:szCs w:val="22"/>
                <w:highlight w:val="none"/>
              </w:rPr>
              <w:t>综合评分法中的价格分统一采用低价优先法计算，即满足招标文件要求且投标价格最低的投标报价为评标基准价，其价格分为满分（</w:t>
            </w:r>
            <w:r>
              <w:rPr>
                <w:rFonts w:hint="eastAsia" w:ascii="方正兰亭黑简体" w:hAnsi="方正兰亭黑简体" w:eastAsia="方正兰亭黑简体" w:cs="方正兰亭黑简体"/>
                <w:color w:val="auto"/>
                <w:sz w:val="20"/>
                <w:szCs w:val="22"/>
                <w:highlight w:val="none"/>
                <w:lang w:val="en-US" w:eastAsia="zh-CN"/>
              </w:rPr>
              <w:t>30</w:t>
            </w:r>
            <w:r>
              <w:rPr>
                <w:rFonts w:hint="eastAsia" w:ascii="方正兰亭黑简体" w:hAnsi="方正兰亭黑简体" w:eastAsia="方正兰亭黑简体" w:cs="方正兰亭黑简体"/>
                <w:color w:val="auto"/>
                <w:sz w:val="20"/>
                <w:szCs w:val="22"/>
                <w:highlight w:val="none"/>
              </w:rPr>
              <w:t>分）。其他投标人的价格分统一按照下列公式计算：</w:t>
            </w:r>
          </w:p>
          <w:p w14:paraId="1ECEFB2C">
            <w:pPr>
              <w:spacing w:line="360" w:lineRule="auto"/>
              <w:ind w:left="218" w:leftChars="104" w:right="197" w:rightChars="94" w:firstLine="0" w:firstLineChars="0"/>
              <w:jc w:val="both"/>
              <w:rPr>
                <w:rFonts w:hint="default" w:ascii="方正兰亭黑简体" w:hAnsi="方正兰亭黑简体" w:eastAsia="方正兰亭黑简体" w:cs="方正兰亭黑简体"/>
                <w:color w:val="auto"/>
                <w:sz w:val="20"/>
                <w:szCs w:val="22"/>
                <w:highlight w:val="none"/>
                <w:lang w:val="en-US" w:eastAsia="zh-CN"/>
              </w:rPr>
            </w:pPr>
            <w:r>
              <w:rPr>
                <w:rFonts w:hint="eastAsia" w:ascii="方正兰亭黑简体" w:hAnsi="方正兰亭黑简体" w:eastAsia="方正兰亭黑简体" w:cs="方正兰亭黑简体"/>
                <w:color w:val="auto"/>
                <w:sz w:val="20"/>
                <w:szCs w:val="22"/>
                <w:highlight w:val="none"/>
              </w:rPr>
              <w:t>投标报价得分＝（评标基准价/投标报价）×</w:t>
            </w:r>
            <w:r>
              <w:rPr>
                <w:rFonts w:hint="eastAsia" w:ascii="方正兰亭黑简体" w:hAnsi="方正兰亭黑简体" w:eastAsia="方正兰亭黑简体" w:cs="方正兰亭黑简体"/>
                <w:color w:val="auto"/>
                <w:sz w:val="20"/>
                <w:szCs w:val="22"/>
                <w:highlight w:val="none"/>
                <w:lang w:val="en-US" w:eastAsia="zh-CN"/>
              </w:rPr>
              <w:t>3</w:t>
            </w:r>
            <w:r>
              <w:rPr>
                <w:rFonts w:hint="eastAsia" w:ascii="方正兰亭黑简体" w:hAnsi="方正兰亭黑简体" w:eastAsia="方正兰亭黑简体" w:cs="方正兰亭黑简体"/>
                <w:color w:val="auto"/>
                <w:sz w:val="20"/>
                <w:szCs w:val="22"/>
                <w:highlight w:val="none"/>
              </w:rPr>
              <w:t>0％×100</w:t>
            </w:r>
          </w:p>
        </w:tc>
      </w:tr>
      <w:tr w14:paraId="1E4DF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922" w:type="pct"/>
            <w:vAlign w:val="center"/>
          </w:tcPr>
          <w:p w14:paraId="1FEE378D">
            <w:pPr>
              <w:spacing w:line="360" w:lineRule="auto"/>
              <w:jc w:val="center"/>
              <w:rPr>
                <w:rFonts w:hint="eastAsia" w:ascii="方正兰亭黑简体" w:hAnsi="方正兰亭黑简体" w:eastAsia="方正兰亭黑简体" w:cs="方正兰亭黑简体"/>
                <w:color w:val="auto"/>
                <w:sz w:val="20"/>
                <w:szCs w:val="22"/>
                <w:highlight w:val="none"/>
              </w:rPr>
            </w:pPr>
            <w:r>
              <w:rPr>
                <w:rFonts w:hint="eastAsia" w:ascii="方正兰亭黑简体" w:hAnsi="方正兰亭黑简体" w:eastAsia="方正兰亭黑简体" w:cs="方正兰亭黑简体"/>
                <w:color w:val="auto"/>
                <w:sz w:val="20"/>
                <w:szCs w:val="22"/>
                <w:highlight w:val="none"/>
              </w:rPr>
              <w:t>技术方案</w:t>
            </w:r>
          </w:p>
          <w:p w14:paraId="3A9D4754">
            <w:pPr>
              <w:spacing w:line="360" w:lineRule="auto"/>
              <w:jc w:val="center"/>
              <w:rPr>
                <w:rFonts w:hint="eastAsia" w:ascii="方正兰亭黑简体" w:hAnsi="方正兰亭黑简体" w:eastAsia="方正兰亭黑简体" w:cs="方正兰亭黑简体"/>
                <w:color w:val="auto"/>
                <w:sz w:val="20"/>
                <w:szCs w:val="22"/>
                <w:highlight w:val="none"/>
                <w:lang w:eastAsia="zh-CN"/>
              </w:rPr>
            </w:pPr>
            <w:r>
              <w:rPr>
                <w:rFonts w:hint="eastAsia" w:ascii="方正兰亭黑简体" w:hAnsi="方正兰亭黑简体" w:eastAsia="方正兰亭黑简体" w:cs="方正兰亭黑简体"/>
                <w:color w:val="auto"/>
                <w:sz w:val="20"/>
                <w:szCs w:val="22"/>
                <w:highlight w:val="none"/>
                <w:lang w:eastAsia="zh-CN"/>
              </w:rPr>
              <w:t>（</w:t>
            </w:r>
            <w:r>
              <w:rPr>
                <w:rFonts w:hint="eastAsia" w:ascii="方正兰亭黑简体" w:hAnsi="方正兰亭黑简体" w:eastAsia="方正兰亭黑简体" w:cs="方正兰亭黑简体"/>
                <w:color w:val="auto"/>
                <w:sz w:val="20"/>
                <w:szCs w:val="22"/>
                <w:highlight w:val="none"/>
                <w:lang w:val="en-US" w:eastAsia="zh-CN"/>
              </w:rPr>
              <w:t>主观分</w:t>
            </w:r>
            <w:r>
              <w:rPr>
                <w:rFonts w:hint="eastAsia" w:ascii="方正兰亭黑简体" w:hAnsi="方正兰亭黑简体" w:eastAsia="方正兰亭黑简体" w:cs="方正兰亭黑简体"/>
                <w:color w:val="auto"/>
                <w:sz w:val="20"/>
                <w:szCs w:val="22"/>
                <w:highlight w:val="none"/>
                <w:lang w:eastAsia="zh-CN"/>
              </w:rPr>
              <w:t>）</w:t>
            </w:r>
          </w:p>
        </w:tc>
        <w:tc>
          <w:tcPr>
            <w:tcW w:w="542" w:type="pct"/>
            <w:vAlign w:val="center"/>
          </w:tcPr>
          <w:p w14:paraId="10D5DACA">
            <w:pPr>
              <w:spacing w:line="360" w:lineRule="auto"/>
              <w:jc w:val="center"/>
              <w:rPr>
                <w:rFonts w:hint="default" w:ascii="方正兰亭黑简体" w:hAnsi="方正兰亭黑简体" w:eastAsia="方正兰亭黑简体" w:cs="方正兰亭黑简体"/>
                <w:color w:val="auto"/>
                <w:sz w:val="20"/>
                <w:szCs w:val="22"/>
                <w:highlight w:val="none"/>
                <w:lang w:val="en-US" w:eastAsia="zh-CN"/>
              </w:rPr>
            </w:pPr>
            <w:r>
              <w:rPr>
                <w:rFonts w:hint="eastAsia" w:ascii="方正兰亭黑简体" w:hAnsi="方正兰亭黑简体" w:eastAsia="方正兰亭黑简体" w:cs="方正兰亭黑简体"/>
                <w:color w:val="auto"/>
                <w:sz w:val="20"/>
                <w:szCs w:val="22"/>
                <w:highlight w:val="none"/>
              </w:rPr>
              <w:t>0-</w:t>
            </w:r>
            <w:r>
              <w:rPr>
                <w:rFonts w:hint="eastAsia" w:ascii="方正兰亭黑简体" w:hAnsi="方正兰亭黑简体" w:eastAsia="方正兰亭黑简体" w:cs="方正兰亭黑简体"/>
                <w:color w:val="auto"/>
                <w:sz w:val="20"/>
                <w:szCs w:val="22"/>
                <w:highlight w:val="none"/>
                <w:lang w:val="en-US" w:eastAsia="zh-CN"/>
              </w:rPr>
              <w:t>30</w:t>
            </w:r>
          </w:p>
        </w:tc>
        <w:tc>
          <w:tcPr>
            <w:tcW w:w="3535" w:type="pct"/>
            <w:vAlign w:val="center"/>
          </w:tcPr>
          <w:p w14:paraId="7737448E">
            <w:pPr>
              <w:spacing w:line="360" w:lineRule="auto"/>
              <w:ind w:left="218" w:leftChars="104" w:right="197" w:rightChars="94" w:firstLine="0" w:firstLineChars="0"/>
              <w:jc w:val="both"/>
              <w:rPr>
                <w:rFonts w:hint="eastAsia" w:ascii="方正兰亭黑简体" w:hAnsi="方正兰亭黑简体" w:eastAsia="方正兰亭黑简体" w:cs="方正兰亭黑简体"/>
                <w:color w:val="auto"/>
                <w:sz w:val="20"/>
                <w:szCs w:val="22"/>
                <w:highlight w:val="none"/>
              </w:rPr>
            </w:pPr>
            <w:r>
              <w:rPr>
                <w:rFonts w:hint="eastAsia" w:ascii="方正兰亭黑简体" w:hAnsi="方正兰亭黑简体" w:eastAsia="方正兰亭黑简体" w:cs="方正兰亭黑简体"/>
                <w:color w:val="auto"/>
                <w:sz w:val="20"/>
                <w:szCs w:val="22"/>
                <w:highlight w:val="none"/>
              </w:rPr>
              <w:t>投标文件提供的技术方案能够涵盖基础服务要求，方案</w:t>
            </w:r>
            <w:r>
              <w:rPr>
                <w:rFonts w:hint="eastAsia" w:ascii="方正兰亭黑简体" w:hAnsi="方正兰亭黑简体" w:eastAsia="方正兰亭黑简体" w:cs="方正兰亭黑简体"/>
                <w:color w:val="auto"/>
                <w:sz w:val="20"/>
                <w:szCs w:val="22"/>
                <w:highlight w:val="none"/>
                <w:lang w:val="en-US" w:eastAsia="zh-CN"/>
              </w:rPr>
              <w:t>非常</w:t>
            </w:r>
            <w:r>
              <w:rPr>
                <w:rFonts w:hint="eastAsia" w:ascii="方正兰亭黑简体" w:hAnsi="方正兰亭黑简体" w:eastAsia="方正兰亭黑简体" w:cs="方正兰亭黑简体"/>
                <w:color w:val="auto"/>
                <w:sz w:val="20"/>
                <w:szCs w:val="22"/>
                <w:highlight w:val="none"/>
              </w:rPr>
              <w:t>详细、技术标准明确、</w:t>
            </w:r>
            <w:r>
              <w:rPr>
                <w:rFonts w:hint="eastAsia" w:ascii="方正兰亭黑简体" w:hAnsi="方正兰亭黑简体" w:eastAsia="方正兰亭黑简体" w:cs="方正兰亭黑简体"/>
                <w:color w:val="auto"/>
                <w:sz w:val="20"/>
                <w:szCs w:val="22"/>
                <w:highlight w:val="none"/>
                <w:lang w:val="en-US" w:eastAsia="zh-CN"/>
              </w:rPr>
              <w:t>操作流程</w:t>
            </w:r>
            <w:r>
              <w:rPr>
                <w:rFonts w:hint="eastAsia" w:ascii="方正兰亭黑简体" w:hAnsi="方正兰亭黑简体" w:eastAsia="方正兰亭黑简体" w:cs="方正兰亭黑简体"/>
                <w:color w:val="auto"/>
                <w:sz w:val="20"/>
                <w:szCs w:val="22"/>
                <w:highlight w:val="none"/>
              </w:rPr>
              <w:t>规范得</w:t>
            </w:r>
            <w:r>
              <w:rPr>
                <w:rFonts w:hint="eastAsia" w:ascii="方正兰亭黑简体" w:hAnsi="方正兰亭黑简体" w:eastAsia="方正兰亭黑简体" w:cs="方正兰亭黑简体"/>
                <w:color w:val="auto"/>
                <w:sz w:val="20"/>
                <w:szCs w:val="22"/>
                <w:highlight w:val="none"/>
                <w:lang w:val="en-US" w:eastAsia="zh-CN"/>
              </w:rPr>
              <w:t>21～30</w:t>
            </w:r>
            <w:r>
              <w:rPr>
                <w:rFonts w:hint="eastAsia" w:ascii="方正兰亭黑简体" w:hAnsi="方正兰亭黑简体" w:eastAsia="方正兰亭黑简体" w:cs="方正兰亭黑简体"/>
                <w:color w:val="auto"/>
                <w:sz w:val="20"/>
                <w:szCs w:val="22"/>
                <w:highlight w:val="none"/>
              </w:rPr>
              <w:t>分；</w:t>
            </w:r>
            <w:r>
              <w:rPr>
                <w:rFonts w:hint="eastAsia" w:ascii="方正兰亭黑简体" w:hAnsi="方正兰亭黑简体" w:eastAsia="方正兰亭黑简体" w:cs="方正兰亭黑简体"/>
                <w:color w:val="auto"/>
                <w:sz w:val="20"/>
                <w:szCs w:val="22"/>
                <w:highlight w:val="none"/>
                <w:lang w:val="en-US" w:eastAsia="zh-CN"/>
              </w:rPr>
              <w:t>方案</w:t>
            </w:r>
            <w:r>
              <w:rPr>
                <w:rFonts w:hint="eastAsia" w:ascii="方正兰亭黑简体" w:hAnsi="方正兰亭黑简体" w:eastAsia="方正兰亭黑简体" w:cs="方正兰亭黑简体"/>
                <w:color w:val="auto"/>
                <w:sz w:val="20"/>
                <w:szCs w:val="22"/>
                <w:highlight w:val="none"/>
              </w:rPr>
              <w:t>详细、</w:t>
            </w:r>
            <w:r>
              <w:rPr>
                <w:rFonts w:hint="eastAsia" w:ascii="方正兰亭黑简体" w:hAnsi="方正兰亭黑简体" w:eastAsia="方正兰亭黑简体" w:cs="方正兰亭黑简体"/>
                <w:color w:val="auto"/>
                <w:sz w:val="20"/>
                <w:szCs w:val="22"/>
                <w:highlight w:val="none"/>
                <w:lang w:val="en-US" w:eastAsia="zh-CN"/>
              </w:rPr>
              <w:t>技术</w:t>
            </w:r>
            <w:r>
              <w:rPr>
                <w:rFonts w:hint="eastAsia" w:ascii="方正兰亭黑简体" w:hAnsi="方正兰亭黑简体" w:eastAsia="方正兰亭黑简体" w:cs="方正兰亭黑简体"/>
                <w:color w:val="auto"/>
                <w:sz w:val="20"/>
                <w:szCs w:val="22"/>
                <w:highlight w:val="none"/>
              </w:rPr>
              <w:t>标准一般得1</w:t>
            </w:r>
            <w:r>
              <w:rPr>
                <w:rFonts w:hint="eastAsia" w:ascii="方正兰亭黑简体" w:hAnsi="方正兰亭黑简体" w:eastAsia="方正兰亭黑简体" w:cs="方正兰亭黑简体"/>
                <w:color w:val="auto"/>
                <w:sz w:val="20"/>
                <w:szCs w:val="22"/>
                <w:highlight w:val="none"/>
                <w:lang w:val="en-US" w:eastAsia="zh-CN"/>
              </w:rPr>
              <w:t>1～20</w:t>
            </w:r>
            <w:r>
              <w:rPr>
                <w:rFonts w:hint="eastAsia" w:ascii="方正兰亭黑简体" w:hAnsi="方正兰亭黑简体" w:eastAsia="方正兰亭黑简体" w:cs="方正兰亭黑简体"/>
                <w:color w:val="auto"/>
                <w:sz w:val="20"/>
                <w:szCs w:val="22"/>
                <w:highlight w:val="none"/>
              </w:rPr>
              <w:t>分；不详细，无标准得</w:t>
            </w:r>
            <w:r>
              <w:rPr>
                <w:rFonts w:hint="eastAsia" w:ascii="方正兰亭黑简体" w:hAnsi="方正兰亭黑简体" w:eastAsia="方正兰亭黑简体" w:cs="方正兰亭黑简体"/>
                <w:color w:val="auto"/>
                <w:sz w:val="20"/>
                <w:szCs w:val="22"/>
                <w:highlight w:val="none"/>
                <w:lang w:val="en-US" w:eastAsia="zh-CN"/>
              </w:rPr>
              <w:t>1～10</w:t>
            </w:r>
            <w:r>
              <w:rPr>
                <w:rFonts w:hint="eastAsia" w:ascii="方正兰亭黑简体" w:hAnsi="方正兰亭黑简体" w:eastAsia="方正兰亭黑简体" w:cs="方正兰亭黑简体"/>
                <w:color w:val="auto"/>
                <w:sz w:val="20"/>
                <w:szCs w:val="22"/>
                <w:highlight w:val="none"/>
              </w:rPr>
              <w:t>分。没有提供服务方案的得0分。</w:t>
            </w:r>
          </w:p>
        </w:tc>
      </w:tr>
      <w:tr w14:paraId="26C34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922" w:type="pct"/>
            <w:vAlign w:val="center"/>
          </w:tcPr>
          <w:p w14:paraId="3145802F">
            <w:pPr>
              <w:spacing w:line="360" w:lineRule="auto"/>
              <w:jc w:val="center"/>
              <w:rPr>
                <w:rFonts w:hint="eastAsia" w:ascii="方正兰亭黑简体" w:hAnsi="方正兰亭黑简体" w:eastAsia="方正兰亭黑简体" w:cs="方正兰亭黑简体"/>
                <w:color w:val="auto"/>
                <w:sz w:val="20"/>
                <w:szCs w:val="22"/>
                <w:highlight w:val="none"/>
                <w:lang w:val="en-US" w:eastAsia="zh-CN"/>
              </w:rPr>
            </w:pPr>
            <w:r>
              <w:rPr>
                <w:rFonts w:hint="eastAsia" w:ascii="方正兰亭黑简体" w:hAnsi="方正兰亭黑简体" w:eastAsia="方正兰亭黑简体" w:cs="方正兰亭黑简体"/>
                <w:color w:val="auto"/>
                <w:sz w:val="20"/>
                <w:szCs w:val="22"/>
                <w:highlight w:val="none"/>
                <w:lang w:val="en-US" w:eastAsia="zh-CN"/>
              </w:rPr>
              <w:t>企业资质能力</w:t>
            </w:r>
          </w:p>
          <w:p w14:paraId="399F0452">
            <w:pPr>
              <w:spacing w:line="360" w:lineRule="auto"/>
              <w:jc w:val="center"/>
              <w:rPr>
                <w:rFonts w:hint="default" w:ascii="方正兰亭黑简体" w:hAnsi="方正兰亭黑简体" w:eastAsia="方正兰亭黑简体" w:cs="方正兰亭黑简体"/>
                <w:color w:val="auto"/>
                <w:sz w:val="20"/>
                <w:szCs w:val="22"/>
                <w:highlight w:val="none"/>
                <w:lang w:val="en-US" w:eastAsia="zh-CN"/>
              </w:rPr>
            </w:pPr>
            <w:r>
              <w:rPr>
                <w:rFonts w:hint="eastAsia" w:ascii="方正兰亭黑简体" w:hAnsi="方正兰亭黑简体" w:eastAsia="方正兰亭黑简体" w:cs="方正兰亭黑简体"/>
                <w:color w:val="auto"/>
                <w:sz w:val="20"/>
                <w:szCs w:val="22"/>
                <w:highlight w:val="none"/>
                <w:lang w:val="en-US" w:eastAsia="zh-CN"/>
              </w:rPr>
              <w:t>（客观分）</w:t>
            </w:r>
          </w:p>
        </w:tc>
        <w:tc>
          <w:tcPr>
            <w:tcW w:w="542" w:type="pct"/>
            <w:vAlign w:val="center"/>
          </w:tcPr>
          <w:p w14:paraId="52534751">
            <w:pPr>
              <w:spacing w:line="360" w:lineRule="auto"/>
              <w:jc w:val="center"/>
              <w:rPr>
                <w:rFonts w:hint="eastAsia" w:ascii="方正兰亭黑简体" w:hAnsi="方正兰亭黑简体" w:eastAsia="方正兰亭黑简体" w:cs="方正兰亭黑简体"/>
                <w:color w:val="auto"/>
                <w:sz w:val="20"/>
                <w:szCs w:val="22"/>
                <w:highlight w:val="none"/>
                <w:lang w:eastAsia="zh-CN"/>
              </w:rPr>
            </w:pPr>
            <w:r>
              <w:rPr>
                <w:rFonts w:hint="eastAsia" w:ascii="方正兰亭黑简体" w:hAnsi="方正兰亭黑简体" w:eastAsia="方正兰亭黑简体" w:cs="方正兰亭黑简体"/>
                <w:color w:val="auto"/>
                <w:sz w:val="20"/>
                <w:szCs w:val="22"/>
                <w:highlight w:val="none"/>
              </w:rPr>
              <w:t>0-1</w:t>
            </w:r>
            <w:r>
              <w:rPr>
                <w:rFonts w:hint="eastAsia" w:ascii="方正兰亭黑简体" w:hAnsi="方正兰亭黑简体" w:eastAsia="方正兰亭黑简体" w:cs="方正兰亭黑简体"/>
                <w:color w:val="auto"/>
                <w:sz w:val="20"/>
                <w:szCs w:val="22"/>
                <w:highlight w:val="none"/>
                <w:lang w:val="en-US" w:eastAsia="zh-CN"/>
              </w:rPr>
              <w:t>0</w:t>
            </w:r>
          </w:p>
        </w:tc>
        <w:tc>
          <w:tcPr>
            <w:tcW w:w="3535" w:type="pct"/>
            <w:vAlign w:val="center"/>
          </w:tcPr>
          <w:p w14:paraId="40C027CA">
            <w:pPr>
              <w:spacing w:line="360" w:lineRule="auto"/>
              <w:ind w:left="218" w:leftChars="104" w:right="197" w:rightChars="94" w:firstLine="0" w:firstLineChars="0"/>
              <w:jc w:val="both"/>
              <w:rPr>
                <w:rFonts w:hint="eastAsia" w:ascii="方正兰亭黑简体" w:hAnsi="方正兰亭黑简体" w:eastAsia="方正兰亭黑简体" w:cs="方正兰亭黑简体"/>
                <w:color w:val="auto"/>
                <w:sz w:val="20"/>
                <w:szCs w:val="22"/>
                <w:highlight w:val="none"/>
              </w:rPr>
            </w:pPr>
            <w:r>
              <w:rPr>
                <w:rFonts w:hint="eastAsia" w:ascii="方正兰亭黑简体" w:hAnsi="方正兰亭黑简体" w:eastAsia="方正兰亭黑简体" w:cs="方正兰亭黑简体"/>
                <w:color w:val="auto"/>
                <w:sz w:val="20"/>
                <w:szCs w:val="22"/>
                <w:highlight w:val="none"/>
              </w:rPr>
              <w:t>根据报价人企业的专业资质认证情况：具有质量管理体系认证证书得5分，具有计算机软件著作权等级证书得5分</w:t>
            </w:r>
          </w:p>
        </w:tc>
      </w:tr>
      <w:tr w14:paraId="74BBD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922" w:type="pct"/>
            <w:vAlign w:val="center"/>
          </w:tcPr>
          <w:p w14:paraId="71A1D9FE">
            <w:pPr>
              <w:spacing w:line="360" w:lineRule="auto"/>
              <w:jc w:val="center"/>
              <w:rPr>
                <w:rFonts w:hint="eastAsia" w:ascii="方正兰亭黑简体" w:hAnsi="方正兰亭黑简体" w:eastAsia="方正兰亭黑简体" w:cs="方正兰亭黑简体"/>
                <w:color w:val="auto"/>
                <w:sz w:val="20"/>
                <w:szCs w:val="22"/>
                <w:highlight w:val="none"/>
              </w:rPr>
            </w:pPr>
            <w:r>
              <w:rPr>
                <w:rFonts w:hint="eastAsia" w:ascii="方正兰亭黑简体" w:hAnsi="方正兰亭黑简体" w:eastAsia="方正兰亭黑简体" w:cs="方正兰亭黑简体"/>
                <w:color w:val="auto"/>
                <w:sz w:val="20"/>
                <w:szCs w:val="22"/>
                <w:highlight w:val="none"/>
              </w:rPr>
              <w:t>完工期、质保期</w:t>
            </w:r>
          </w:p>
          <w:p w14:paraId="34A33A54">
            <w:pPr>
              <w:spacing w:line="360" w:lineRule="auto"/>
              <w:jc w:val="center"/>
              <w:rPr>
                <w:rFonts w:hint="eastAsia" w:ascii="方正兰亭黑简体" w:hAnsi="方正兰亭黑简体" w:eastAsia="方正兰亭黑简体" w:cs="方正兰亭黑简体"/>
                <w:color w:val="auto"/>
                <w:sz w:val="20"/>
                <w:szCs w:val="22"/>
                <w:highlight w:val="none"/>
              </w:rPr>
            </w:pPr>
            <w:r>
              <w:rPr>
                <w:rFonts w:hint="eastAsia" w:ascii="方正兰亭黑简体" w:hAnsi="方正兰亭黑简体" w:eastAsia="方正兰亭黑简体" w:cs="方正兰亭黑简体"/>
                <w:color w:val="auto"/>
                <w:sz w:val="20"/>
                <w:szCs w:val="22"/>
                <w:highlight w:val="none"/>
                <w:lang w:val="en-US" w:eastAsia="zh-CN"/>
              </w:rPr>
              <w:t>（客观分）</w:t>
            </w:r>
          </w:p>
        </w:tc>
        <w:tc>
          <w:tcPr>
            <w:tcW w:w="542" w:type="pct"/>
            <w:vAlign w:val="center"/>
          </w:tcPr>
          <w:p w14:paraId="1DEEFD99">
            <w:pPr>
              <w:spacing w:line="360" w:lineRule="auto"/>
              <w:jc w:val="center"/>
              <w:rPr>
                <w:rFonts w:hint="eastAsia" w:ascii="方正兰亭黑简体" w:hAnsi="方正兰亭黑简体" w:eastAsia="方正兰亭黑简体" w:cs="方正兰亭黑简体"/>
                <w:color w:val="auto"/>
                <w:sz w:val="20"/>
                <w:szCs w:val="22"/>
                <w:highlight w:val="none"/>
              </w:rPr>
            </w:pPr>
            <w:r>
              <w:rPr>
                <w:rFonts w:hint="eastAsia" w:ascii="方正兰亭黑简体" w:hAnsi="方正兰亭黑简体" w:eastAsia="方正兰亭黑简体" w:cs="方正兰亭黑简体"/>
                <w:color w:val="auto"/>
                <w:sz w:val="20"/>
                <w:szCs w:val="22"/>
                <w:highlight w:val="none"/>
              </w:rPr>
              <w:t>0-20</w:t>
            </w:r>
          </w:p>
        </w:tc>
        <w:tc>
          <w:tcPr>
            <w:tcW w:w="3535" w:type="pct"/>
            <w:vAlign w:val="center"/>
          </w:tcPr>
          <w:p w14:paraId="3A407088">
            <w:pPr>
              <w:spacing w:line="360" w:lineRule="auto"/>
              <w:ind w:left="218" w:leftChars="104" w:right="197" w:rightChars="94" w:firstLine="0" w:firstLineChars="0"/>
              <w:jc w:val="both"/>
              <w:rPr>
                <w:rFonts w:hint="eastAsia" w:ascii="方正兰亭黑简体" w:hAnsi="方正兰亭黑简体" w:eastAsia="方正兰亭黑简体" w:cs="方正兰亭黑简体"/>
                <w:color w:val="auto"/>
                <w:sz w:val="20"/>
                <w:szCs w:val="22"/>
                <w:highlight w:val="none"/>
              </w:rPr>
            </w:pPr>
            <w:r>
              <w:rPr>
                <w:rFonts w:hint="eastAsia" w:ascii="方正兰亭黑简体" w:hAnsi="方正兰亭黑简体" w:eastAsia="方正兰亭黑简体" w:cs="方正兰亭黑简体"/>
                <w:color w:val="auto"/>
                <w:sz w:val="20"/>
                <w:szCs w:val="22"/>
                <w:highlight w:val="none"/>
              </w:rPr>
              <w:t>完工期最短的得</w:t>
            </w:r>
            <w:r>
              <w:rPr>
                <w:rFonts w:hint="eastAsia" w:ascii="方正兰亭黑简体" w:hAnsi="方正兰亭黑简体" w:eastAsia="方正兰亭黑简体" w:cs="方正兰亭黑简体"/>
                <w:color w:val="auto"/>
                <w:sz w:val="20"/>
                <w:szCs w:val="22"/>
                <w:highlight w:val="none"/>
                <w:lang w:val="en-US" w:eastAsia="zh-CN"/>
              </w:rPr>
              <w:t>10</w:t>
            </w:r>
            <w:r>
              <w:rPr>
                <w:rFonts w:hint="eastAsia" w:ascii="方正兰亭黑简体" w:hAnsi="方正兰亭黑简体" w:eastAsia="方正兰亭黑简体" w:cs="方正兰亭黑简体"/>
                <w:color w:val="auto"/>
                <w:sz w:val="20"/>
                <w:szCs w:val="22"/>
                <w:highlight w:val="none"/>
              </w:rPr>
              <w:t>分，第二个得</w:t>
            </w:r>
            <w:r>
              <w:rPr>
                <w:rFonts w:hint="eastAsia" w:ascii="方正兰亭黑简体" w:hAnsi="方正兰亭黑简体" w:eastAsia="方正兰亭黑简体" w:cs="方正兰亭黑简体"/>
                <w:color w:val="auto"/>
                <w:sz w:val="20"/>
                <w:szCs w:val="22"/>
                <w:highlight w:val="none"/>
                <w:lang w:val="en-US" w:eastAsia="zh-CN"/>
              </w:rPr>
              <w:t>8</w:t>
            </w:r>
            <w:r>
              <w:rPr>
                <w:rFonts w:hint="eastAsia" w:ascii="方正兰亭黑简体" w:hAnsi="方正兰亭黑简体" w:eastAsia="方正兰亭黑简体" w:cs="方正兰亭黑简体"/>
                <w:color w:val="auto"/>
                <w:sz w:val="20"/>
                <w:szCs w:val="22"/>
                <w:highlight w:val="none"/>
              </w:rPr>
              <w:t>分，第三个得</w:t>
            </w:r>
            <w:r>
              <w:rPr>
                <w:rFonts w:hint="eastAsia" w:ascii="方正兰亭黑简体" w:hAnsi="方正兰亭黑简体" w:eastAsia="方正兰亭黑简体" w:cs="方正兰亭黑简体"/>
                <w:color w:val="auto"/>
                <w:sz w:val="20"/>
                <w:szCs w:val="22"/>
                <w:highlight w:val="none"/>
                <w:lang w:val="en-US" w:eastAsia="zh-CN"/>
              </w:rPr>
              <w:t>5</w:t>
            </w:r>
            <w:r>
              <w:rPr>
                <w:rFonts w:hint="eastAsia" w:ascii="方正兰亭黑简体" w:hAnsi="方正兰亭黑简体" w:eastAsia="方正兰亭黑简体" w:cs="方正兰亭黑简体"/>
                <w:color w:val="auto"/>
                <w:sz w:val="20"/>
                <w:szCs w:val="22"/>
                <w:highlight w:val="none"/>
              </w:rPr>
              <w:t>分，其余均得2分；</w:t>
            </w:r>
          </w:p>
          <w:p w14:paraId="2F51ACDA">
            <w:pPr>
              <w:spacing w:line="360" w:lineRule="auto"/>
              <w:ind w:left="218" w:leftChars="104" w:right="197" w:rightChars="94" w:firstLine="0" w:firstLineChars="0"/>
              <w:jc w:val="both"/>
              <w:rPr>
                <w:rFonts w:hint="eastAsia" w:ascii="方正兰亭黑简体" w:hAnsi="方正兰亭黑简体" w:eastAsia="方正兰亭黑简体" w:cs="方正兰亭黑简体"/>
                <w:color w:val="auto"/>
                <w:sz w:val="20"/>
                <w:szCs w:val="22"/>
                <w:highlight w:val="none"/>
              </w:rPr>
            </w:pPr>
            <w:r>
              <w:rPr>
                <w:rFonts w:hint="eastAsia" w:ascii="方正兰亭黑简体" w:hAnsi="方正兰亭黑简体" w:eastAsia="方正兰亭黑简体" w:cs="方正兰亭黑简体"/>
                <w:color w:val="auto"/>
                <w:sz w:val="20"/>
                <w:szCs w:val="22"/>
                <w:highlight w:val="none"/>
              </w:rPr>
              <w:t>质保期最长的得</w:t>
            </w:r>
            <w:r>
              <w:rPr>
                <w:rFonts w:hint="eastAsia" w:ascii="方正兰亭黑简体" w:hAnsi="方正兰亭黑简体" w:eastAsia="方正兰亭黑简体" w:cs="方正兰亭黑简体"/>
                <w:color w:val="auto"/>
                <w:sz w:val="20"/>
                <w:szCs w:val="22"/>
                <w:highlight w:val="none"/>
                <w:lang w:val="en-US" w:eastAsia="zh-CN"/>
              </w:rPr>
              <w:t>10</w:t>
            </w:r>
            <w:r>
              <w:rPr>
                <w:rFonts w:hint="eastAsia" w:ascii="方正兰亭黑简体" w:hAnsi="方正兰亭黑简体" w:eastAsia="方正兰亭黑简体" w:cs="方正兰亭黑简体"/>
                <w:color w:val="auto"/>
                <w:sz w:val="20"/>
                <w:szCs w:val="22"/>
                <w:highlight w:val="none"/>
              </w:rPr>
              <w:t>分，第二个得</w:t>
            </w:r>
            <w:r>
              <w:rPr>
                <w:rFonts w:hint="eastAsia" w:ascii="方正兰亭黑简体" w:hAnsi="方正兰亭黑简体" w:eastAsia="方正兰亭黑简体" w:cs="方正兰亭黑简体"/>
                <w:color w:val="auto"/>
                <w:sz w:val="20"/>
                <w:szCs w:val="22"/>
                <w:highlight w:val="none"/>
                <w:lang w:val="en-US" w:eastAsia="zh-CN"/>
              </w:rPr>
              <w:t>8</w:t>
            </w:r>
            <w:r>
              <w:rPr>
                <w:rFonts w:hint="eastAsia" w:ascii="方正兰亭黑简体" w:hAnsi="方正兰亭黑简体" w:eastAsia="方正兰亭黑简体" w:cs="方正兰亭黑简体"/>
                <w:color w:val="auto"/>
                <w:sz w:val="20"/>
                <w:szCs w:val="22"/>
                <w:highlight w:val="none"/>
              </w:rPr>
              <w:t>分，第三个得</w:t>
            </w:r>
            <w:r>
              <w:rPr>
                <w:rFonts w:hint="eastAsia" w:ascii="方正兰亭黑简体" w:hAnsi="方正兰亭黑简体" w:eastAsia="方正兰亭黑简体" w:cs="方正兰亭黑简体"/>
                <w:color w:val="auto"/>
                <w:sz w:val="20"/>
                <w:szCs w:val="22"/>
                <w:highlight w:val="none"/>
                <w:lang w:val="en-US" w:eastAsia="zh-CN"/>
              </w:rPr>
              <w:t>5</w:t>
            </w:r>
            <w:r>
              <w:rPr>
                <w:rFonts w:hint="eastAsia" w:ascii="方正兰亭黑简体" w:hAnsi="方正兰亭黑简体" w:eastAsia="方正兰亭黑简体" w:cs="方正兰亭黑简体"/>
                <w:color w:val="auto"/>
                <w:sz w:val="20"/>
                <w:szCs w:val="22"/>
                <w:highlight w:val="none"/>
              </w:rPr>
              <w:t>分，其余均得2分；</w:t>
            </w:r>
          </w:p>
        </w:tc>
      </w:tr>
      <w:tr w14:paraId="29441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922" w:type="pct"/>
            <w:vAlign w:val="center"/>
          </w:tcPr>
          <w:p w14:paraId="65A61985">
            <w:pPr>
              <w:spacing w:line="360" w:lineRule="auto"/>
              <w:jc w:val="center"/>
              <w:rPr>
                <w:rFonts w:hint="eastAsia" w:ascii="方正兰亭黑简体" w:hAnsi="方正兰亭黑简体" w:eastAsia="方正兰亭黑简体" w:cs="方正兰亭黑简体"/>
                <w:color w:val="auto"/>
                <w:sz w:val="20"/>
                <w:szCs w:val="22"/>
                <w:highlight w:val="none"/>
              </w:rPr>
            </w:pPr>
            <w:r>
              <w:rPr>
                <w:rFonts w:hint="eastAsia" w:ascii="方正兰亭黑简体" w:hAnsi="方正兰亭黑简体" w:eastAsia="方正兰亭黑简体" w:cs="方正兰亭黑简体"/>
                <w:color w:val="auto"/>
                <w:sz w:val="20"/>
                <w:szCs w:val="22"/>
                <w:highlight w:val="none"/>
              </w:rPr>
              <w:t>类似业绩</w:t>
            </w:r>
          </w:p>
          <w:p w14:paraId="27145CB8">
            <w:pPr>
              <w:spacing w:line="360" w:lineRule="auto"/>
              <w:jc w:val="center"/>
              <w:rPr>
                <w:rFonts w:hint="eastAsia" w:ascii="方正兰亭黑简体" w:hAnsi="方正兰亭黑简体" w:eastAsia="方正兰亭黑简体" w:cs="方正兰亭黑简体"/>
                <w:color w:val="auto"/>
                <w:sz w:val="20"/>
                <w:szCs w:val="22"/>
                <w:highlight w:val="none"/>
              </w:rPr>
            </w:pPr>
            <w:r>
              <w:rPr>
                <w:rFonts w:hint="eastAsia" w:ascii="方正兰亭黑简体" w:hAnsi="方正兰亭黑简体" w:eastAsia="方正兰亭黑简体" w:cs="方正兰亭黑简体"/>
                <w:color w:val="auto"/>
                <w:sz w:val="20"/>
                <w:szCs w:val="22"/>
                <w:highlight w:val="none"/>
                <w:lang w:val="en-US" w:eastAsia="zh-CN"/>
              </w:rPr>
              <w:t>（客观分）</w:t>
            </w:r>
          </w:p>
        </w:tc>
        <w:tc>
          <w:tcPr>
            <w:tcW w:w="542" w:type="pct"/>
            <w:vAlign w:val="center"/>
          </w:tcPr>
          <w:p w14:paraId="302DEB18">
            <w:pPr>
              <w:spacing w:line="360" w:lineRule="auto"/>
              <w:jc w:val="center"/>
              <w:rPr>
                <w:rFonts w:hint="eastAsia" w:ascii="方正兰亭黑简体" w:hAnsi="方正兰亭黑简体" w:eastAsia="方正兰亭黑简体" w:cs="方正兰亭黑简体"/>
                <w:color w:val="auto"/>
                <w:sz w:val="20"/>
                <w:szCs w:val="22"/>
                <w:highlight w:val="none"/>
              </w:rPr>
            </w:pPr>
            <w:r>
              <w:rPr>
                <w:rFonts w:hint="eastAsia" w:ascii="方正兰亭黑简体" w:hAnsi="方正兰亭黑简体" w:eastAsia="方正兰亭黑简体" w:cs="方正兰亭黑简体"/>
                <w:color w:val="auto"/>
                <w:sz w:val="20"/>
                <w:szCs w:val="22"/>
                <w:highlight w:val="none"/>
              </w:rPr>
              <w:t>0-6</w:t>
            </w:r>
          </w:p>
        </w:tc>
        <w:tc>
          <w:tcPr>
            <w:tcW w:w="3535" w:type="pct"/>
            <w:vAlign w:val="center"/>
          </w:tcPr>
          <w:p w14:paraId="6E1EA8F1">
            <w:pPr>
              <w:spacing w:line="360" w:lineRule="auto"/>
              <w:ind w:left="218" w:leftChars="104" w:right="197" w:rightChars="94" w:firstLine="0" w:firstLineChars="0"/>
              <w:jc w:val="both"/>
              <w:rPr>
                <w:rFonts w:hint="eastAsia" w:ascii="方正兰亭黑简体" w:hAnsi="方正兰亭黑简体" w:eastAsia="方正兰亭黑简体" w:cs="方正兰亭黑简体"/>
                <w:color w:val="auto"/>
                <w:sz w:val="20"/>
                <w:szCs w:val="22"/>
                <w:highlight w:val="none"/>
              </w:rPr>
            </w:pPr>
            <w:r>
              <w:rPr>
                <w:rFonts w:hint="eastAsia" w:ascii="方正兰亭黑简体" w:hAnsi="方正兰亭黑简体" w:eastAsia="方正兰亭黑简体" w:cs="方正兰亭黑简体"/>
                <w:color w:val="auto"/>
                <w:sz w:val="20"/>
                <w:szCs w:val="22"/>
                <w:highlight w:val="none"/>
              </w:rPr>
              <w:t>近三年类似业绩，（附合同原件扫描件）根据案例的类似情况、案例数量、案例金额等进行综合评分。一个</w:t>
            </w:r>
            <w:r>
              <w:rPr>
                <w:rFonts w:hint="eastAsia" w:ascii="方正兰亭黑简体" w:hAnsi="方正兰亭黑简体" w:eastAsia="方正兰亭黑简体" w:cs="方正兰亭黑简体"/>
                <w:color w:val="auto"/>
                <w:sz w:val="20"/>
                <w:szCs w:val="22"/>
                <w:highlight w:val="none"/>
                <w:lang w:val="en-US" w:eastAsia="zh-CN"/>
              </w:rPr>
              <w:t>业绩得</w:t>
            </w:r>
            <w:r>
              <w:rPr>
                <w:rFonts w:hint="eastAsia" w:ascii="方正兰亭黑简体" w:hAnsi="方正兰亭黑简体" w:eastAsia="方正兰亭黑简体" w:cs="方正兰亭黑简体"/>
                <w:color w:val="auto"/>
                <w:sz w:val="20"/>
                <w:szCs w:val="22"/>
                <w:highlight w:val="none"/>
              </w:rPr>
              <w:t>2分</w:t>
            </w:r>
            <w:r>
              <w:rPr>
                <w:rFonts w:hint="eastAsia" w:ascii="方正兰亭黑简体" w:hAnsi="方正兰亭黑简体" w:eastAsia="方正兰亭黑简体" w:cs="方正兰亭黑简体"/>
                <w:color w:val="auto"/>
                <w:sz w:val="20"/>
                <w:szCs w:val="22"/>
                <w:highlight w:val="none"/>
                <w:lang w:eastAsia="zh-CN"/>
              </w:rPr>
              <w:t>，</w:t>
            </w:r>
            <w:r>
              <w:rPr>
                <w:rFonts w:hint="eastAsia" w:ascii="方正兰亭黑简体" w:hAnsi="方正兰亭黑简体" w:eastAsia="方正兰亭黑简体" w:cs="方正兰亭黑简体"/>
                <w:color w:val="auto"/>
                <w:sz w:val="20"/>
                <w:szCs w:val="22"/>
                <w:highlight w:val="none"/>
              </w:rPr>
              <w:t>满分</w:t>
            </w:r>
            <w:r>
              <w:rPr>
                <w:rFonts w:hint="eastAsia" w:ascii="方正兰亭黑简体" w:hAnsi="方正兰亭黑简体" w:eastAsia="方正兰亭黑简体" w:cs="方正兰亭黑简体"/>
                <w:color w:val="auto"/>
                <w:sz w:val="20"/>
                <w:szCs w:val="22"/>
                <w:highlight w:val="none"/>
                <w:lang w:val="en-US" w:eastAsia="zh-CN"/>
              </w:rPr>
              <w:t>得</w:t>
            </w:r>
            <w:r>
              <w:rPr>
                <w:rFonts w:hint="eastAsia" w:ascii="方正兰亭黑简体" w:hAnsi="方正兰亭黑简体" w:eastAsia="方正兰亭黑简体" w:cs="方正兰亭黑简体"/>
                <w:color w:val="auto"/>
                <w:sz w:val="20"/>
                <w:szCs w:val="22"/>
                <w:highlight w:val="none"/>
              </w:rPr>
              <w:t>6分</w:t>
            </w:r>
          </w:p>
        </w:tc>
      </w:tr>
      <w:tr w14:paraId="04437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922" w:type="pct"/>
            <w:vAlign w:val="center"/>
          </w:tcPr>
          <w:p w14:paraId="33A04EEF">
            <w:pPr>
              <w:spacing w:line="360" w:lineRule="auto"/>
              <w:jc w:val="center"/>
              <w:rPr>
                <w:rFonts w:hint="eastAsia" w:ascii="方正兰亭黑简体" w:hAnsi="方正兰亭黑简体" w:eastAsia="方正兰亭黑简体" w:cs="方正兰亭黑简体"/>
                <w:color w:val="auto"/>
                <w:sz w:val="20"/>
                <w:szCs w:val="22"/>
                <w:highlight w:val="none"/>
              </w:rPr>
            </w:pPr>
            <w:r>
              <w:rPr>
                <w:rFonts w:hint="eastAsia" w:ascii="方正兰亭黑简体" w:hAnsi="方正兰亭黑简体" w:eastAsia="方正兰亭黑简体" w:cs="方正兰亭黑简体"/>
                <w:color w:val="auto"/>
                <w:sz w:val="20"/>
                <w:szCs w:val="22"/>
                <w:highlight w:val="none"/>
              </w:rPr>
              <w:t>响应文件编制</w:t>
            </w:r>
          </w:p>
          <w:p w14:paraId="468357CE">
            <w:pPr>
              <w:spacing w:line="360" w:lineRule="auto"/>
              <w:jc w:val="center"/>
              <w:rPr>
                <w:rFonts w:hint="eastAsia" w:ascii="方正兰亭黑简体" w:hAnsi="方正兰亭黑简体" w:eastAsia="方正兰亭黑简体" w:cs="方正兰亭黑简体"/>
                <w:color w:val="auto"/>
                <w:sz w:val="20"/>
                <w:szCs w:val="22"/>
                <w:highlight w:val="none"/>
              </w:rPr>
            </w:pPr>
            <w:r>
              <w:rPr>
                <w:rFonts w:hint="eastAsia" w:ascii="方正兰亭黑简体" w:hAnsi="方正兰亭黑简体" w:eastAsia="方正兰亭黑简体" w:cs="方正兰亭黑简体"/>
                <w:color w:val="auto"/>
                <w:sz w:val="20"/>
                <w:szCs w:val="22"/>
                <w:highlight w:val="none"/>
                <w:lang w:eastAsia="zh-CN"/>
              </w:rPr>
              <w:t>（</w:t>
            </w:r>
            <w:r>
              <w:rPr>
                <w:rFonts w:hint="eastAsia" w:ascii="方正兰亭黑简体" w:hAnsi="方正兰亭黑简体" w:eastAsia="方正兰亭黑简体" w:cs="方正兰亭黑简体"/>
                <w:color w:val="auto"/>
                <w:sz w:val="20"/>
                <w:szCs w:val="22"/>
                <w:highlight w:val="none"/>
                <w:lang w:val="en-US" w:eastAsia="zh-CN"/>
              </w:rPr>
              <w:t>主观分</w:t>
            </w:r>
            <w:r>
              <w:rPr>
                <w:rFonts w:hint="eastAsia" w:ascii="方正兰亭黑简体" w:hAnsi="方正兰亭黑简体" w:eastAsia="方正兰亭黑简体" w:cs="方正兰亭黑简体"/>
                <w:color w:val="auto"/>
                <w:sz w:val="20"/>
                <w:szCs w:val="22"/>
                <w:highlight w:val="none"/>
                <w:lang w:eastAsia="zh-CN"/>
              </w:rPr>
              <w:t>）</w:t>
            </w:r>
          </w:p>
        </w:tc>
        <w:tc>
          <w:tcPr>
            <w:tcW w:w="542" w:type="pct"/>
            <w:vAlign w:val="center"/>
          </w:tcPr>
          <w:p w14:paraId="2800F966">
            <w:pPr>
              <w:spacing w:line="360" w:lineRule="auto"/>
              <w:jc w:val="center"/>
              <w:rPr>
                <w:rFonts w:hint="eastAsia" w:ascii="方正兰亭黑简体" w:hAnsi="方正兰亭黑简体" w:eastAsia="方正兰亭黑简体" w:cs="方正兰亭黑简体"/>
                <w:color w:val="auto"/>
                <w:sz w:val="20"/>
                <w:szCs w:val="22"/>
                <w:highlight w:val="none"/>
              </w:rPr>
            </w:pPr>
            <w:r>
              <w:rPr>
                <w:rFonts w:hint="eastAsia" w:ascii="方正兰亭黑简体" w:hAnsi="方正兰亭黑简体" w:eastAsia="方正兰亭黑简体" w:cs="方正兰亭黑简体"/>
                <w:color w:val="auto"/>
                <w:sz w:val="20"/>
                <w:szCs w:val="22"/>
                <w:highlight w:val="none"/>
              </w:rPr>
              <w:t>0-4</w:t>
            </w:r>
          </w:p>
        </w:tc>
        <w:tc>
          <w:tcPr>
            <w:tcW w:w="3535" w:type="pct"/>
            <w:vAlign w:val="center"/>
          </w:tcPr>
          <w:p w14:paraId="486C77F9">
            <w:pPr>
              <w:spacing w:line="360" w:lineRule="auto"/>
              <w:ind w:left="218" w:leftChars="104" w:right="197" w:rightChars="94" w:firstLine="0" w:firstLineChars="0"/>
              <w:jc w:val="both"/>
              <w:rPr>
                <w:rFonts w:hint="eastAsia" w:ascii="方正兰亭黑简体" w:hAnsi="方正兰亭黑简体" w:eastAsia="方正兰亭黑简体" w:cs="方正兰亭黑简体"/>
                <w:color w:val="auto"/>
                <w:sz w:val="20"/>
                <w:szCs w:val="22"/>
                <w:highlight w:val="none"/>
              </w:rPr>
            </w:pPr>
            <w:r>
              <w:rPr>
                <w:rFonts w:hint="eastAsia" w:ascii="方正兰亭黑简体" w:hAnsi="方正兰亭黑简体" w:eastAsia="方正兰亭黑简体" w:cs="方正兰亭黑简体"/>
                <w:color w:val="auto"/>
                <w:sz w:val="20"/>
                <w:szCs w:val="22"/>
                <w:highlight w:val="none"/>
              </w:rPr>
              <w:t>响应文件内容完整、简洁明了、上传清晰、编排有序的，得4分；内容缺漏、重复繁琐、文字或图片不清晰或者编排混乱的，酌情扣分。</w:t>
            </w:r>
          </w:p>
        </w:tc>
      </w:tr>
    </w:tbl>
    <w:p w14:paraId="07B2BD1D">
      <w:pPr>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br w:type="page"/>
      </w:r>
    </w:p>
    <w:p w14:paraId="71E5B026">
      <w:pPr>
        <w:jc w:val="center"/>
        <w:rPr>
          <w:rFonts w:hint="eastAsia" w:ascii="方正兰亭黑简体" w:hAnsi="方正兰亭黑简体" w:eastAsia="方正兰亭黑简体" w:cs="方正兰亭黑简体"/>
          <w:b/>
          <w:bCs/>
          <w:color w:val="auto"/>
          <w:sz w:val="24"/>
          <w:szCs w:val="32"/>
          <w:highlight w:val="none"/>
          <w:lang w:val="en-US" w:eastAsia="zh-CN"/>
        </w:rPr>
        <w:sectPr>
          <w:footerReference r:id="rId3" w:type="default"/>
          <w:pgSz w:w="11906" w:h="16838"/>
          <w:pgMar w:top="1440" w:right="1080" w:bottom="1440" w:left="1080" w:header="851" w:footer="992" w:gutter="0"/>
          <w:pgNumType w:fmt="decimal"/>
          <w:cols w:space="425" w:num="1"/>
          <w:docGrid w:type="lines" w:linePitch="312" w:charSpace="0"/>
        </w:sectPr>
      </w:pPr>
    </w:p>
    <w:p w14:paraId="3E74C2BD">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第四章 格式附件</w:t>
      </w:r>
    </w:p>
    <w:p w14:paraId="636BB61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附件1：报价单</w:t>
      </w:r>
    </w:p>
    <w:p w14:paraId="52D9A168">
      <w:pPr>
        <w:spacing w:line="440" w:lineRule="exact"/>
        <w:jc w:val="center"/>
        <w:rPr>
          <w:rFonts w:hint="default" w:ascii="宋体" w:hAnsi="宋体" w:eastAsia="宋体"/>
          <w:color w:val="auto"/>
          <w:sz w:val="24"/>
          <w:highlight w:val="none"/>
          <w:lang w:val="en-US" w:eastAsia="zh-CN"/>
        </w:rPr>
      </w:pPr>
      <w:r>
        <w:rPr>
          <w:rFonts w:hint="eastAsia" w:ascii="黑体" w:hAnsi="华文楷体" w:eastAsia="黑体"/>
          <w:b/>
          <w:color w:val="auto"/>
          <w:sz w:val="36"/>
          <w:szCs w:val="36"/>
          <w:highlight w:val="none"/>
        </w:rPr>
        <w:t>报   价   单</w:t>
      </w:r>
    </w:p>
    <w:p w14:paraId="50E6B72B">
      <w:pPr>
        <w:spacing w:line="440" w:lineRule="exact"/>
        <w:jc w:val="left"/>
        <w:rPr>
          <w:rFonts w:hint="default" w:ascii="黑体" w:hAnsi="华文楷体" w:eastAsia="黑体"/>
          <w:color w:val="auto"/>
          <w:sz w:val="24"/>
          <w:highlight w:val="none"/>
          <w:lang w:val="en-US" w:eastAsia="zh-CN"/>
        </w:rPr>
      </w:pPr>
      <w:r>
        <w:rPr>
          <w:rFonts w:hint="eastAsia" w:ascii="黑体" w:hAnsi="华文楷体" w:eastAsia="黑体"/>
          <w:b/>
          <w:color w:val="auto"/>
          <w:sz w:val="24"/>
          <w:highlight w:val="none"/>
        </w:rPr>
        <w:t xml:space="preserve">TO: </w:t>
      </w:r>
      <w:r>
        <w:rPr>
          <w:rFonts w:hint="eastAsia" w:ascii="黑体" w:hAnsi="华文楷体" w:eastAsia="黑体"/>
          <w:color w:val="auto"/>
          <w:sz w:val="24"/>
          <w:highlight w:val="none"/>
        </w:rPr>
        <w:t xml:space="preserve"> 上海海事大学 </w:t>
      </w:r>
      <w:r>
        <w:rPr>
          <w:rFonts w:hint="eastAsia" w:ascii="黑体" w:hAnsi="华文楷体" w:eastAsia="黑体"/>
          <w:color w:val="auto"/>
          <w:sz w:val="24"/>
          <w:highlight w:val="none"/>
          <w:lang w:val="en-US" w:eastAsia="zh-CN"/>
        </w:rPr>
        <w:t>采购与招投标管理中心</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r>
        <w:rPr>
          <w:rFonts w:hint="eastAsia" w:ascii="黑体" w:hAnsi="华文楷体" w:eastAsia="黑体"/>
          <w:color w:val="auto"/>
          <w:sz w:val="24"/>
          <w:highlight w:val="none"/>
          <w:lang w:val="en-US" w:eastAsia="zh-CN"/>
        </w:rPr>
        <w:t>项目编号：HFBX2025039</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p>
    <w:p w14:paraId="192C9FAF">
      <w:pPr>
        <w:spacing w:line="440" w:lineRule="exact"/>
        <w:rPr>
          <w:rFonts w:hint="eastAsia" w:ascii="方正仿宋_GB2312" w:hAnsi="方正仿宋_GB2312" w:eastAsia="方正仿宋_GB2312" w:cs="方正仿宋_GB2312"/>
          <w:b/>
          <w:color w:val="auto"/>
          <w:sz w:val="24"/>
          <w:highlight w:val="none"/>
        </w:rPr>
      </w:pPr>
      <w:r>
        <w:rPr>
          <w:rFonts w:hint="eastAsia" w:ascii="黑体" w:hAnsi="华文楷体" w:eastAsia="黑体"/>
          <w:b/>
          <w:color w:val="auto"/>
          <w:sz w:val="24"/>
          <w:highlight w:val="none"/>
        </w:rPr>
        <w:t>电子邮箱：</w:t>
      </w:r>
      <w:r>
        <w:rPr>
          <w:rFonts w:ascii="黑体" w:hAnsi="华文楷体" w:eastAsia="黑体"/>
          <w:b/>
          <w:color w:val="auto"/>
          <w:sz w:val="24"/>
          <w:highlight w:val="none"/>
        </w:rPr>
        <w:fldChar w:fldCharType="begin"/>
      </w:r>
      <w:r>
        <w:rPr>
          <w:rFonts w:ascii="黑体" w:hAnsi="华文楷体" w:eastAsia="黑体"/>
          <w:b/>
          <w:color w:val="auto"/>
          <w:sz w:val="24"/>
          <w:highlight w:val="none"/>
        </w:rPr>
        <w:instrText xml:space="preserve"> HYPERLINK "mailto:quotation@shmtu.edu.cn" </w:instrText>
      </w:r>
      <w:r>
        <w:rPr>
          <w:rFonts w:ascii="黑体" w:hAnsi="华文楷体" w:eastAsia="黑体"/>
          <w:b/>
          <w:color w:val="auto"/>
          <w:sz w:val="24"/>
          <w:highlight w:val="none"/>
        </w:rPr>
        <w:fldChar w:fldCharType="separate"/>
      </w:r>
      <w:r>
        <w:rPr>
          <w:rStyle w:val="18"/>
          <w:rFonts w:ascii="黑体" w:hAnsi="华文楷体" w:eastAsia="黑体"/>
          <w:b/>
          <w:color w:val="auto"/>
          <w:sz w:val="24"/>
          <w:highlight w:val="none"/>
        </w:rPr>
        <w:t>quotation@shmtu.edu.cn</w:t>
      </w:r>
      <w:r>
        <w:rPr>
          <w:rFonts w:ascii="黑体" w:hAnsi="华文楷体" w:eastAsia="黑体"/>
          <w:b/>
          <w:color w:val="auto"/>
          <w:sz w:val="24"/>
          <w:highlight w:val="none"/>
        </w:rPr>
        <w:fldChar w:fldCharType="end"/>
      </w:r>
    </w:p>
    <w:p w14:paraId="1D25A65B">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公司名称：</w:t>
      </w:r>
      <w:r>
        <w:rPr>
          <w:rFonts w:hint="eastAsia" w:ascii="黑体" w:hAnsi="华文楷体" w:eastAsia="黑体"/>
          <w:color w:val="auto"/>
          <w:sz w:val="24"/>
          <w:highlight w:val="none"/>
        </w:rPr>
        <w:t xml:space="preserve">                                                </w:t>
      </w:r>
      <w:r>
        <w:rPr>
          <w:rFonts w:hint="eastAsia" w:ascii="黑体" w:hAnsi="华文楷体" w:eastAsia="黑体"/>
          <w:b/>
          <w:color w:val="auto"/>
          <w:sz w:val="24"/>
          <w:highlight w:val="none"/>
        </w:rPr>
        <w:t>联系人：</w:t>
      </w:r>
    </w:p>
    <w:p w14:paraId="0416696A">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电子邮箱：                                                公司地址：</w:t>
      </w:r>
    </w:p>
    <w:p w14:paraId="096E10B9">
      <w:pPr>
        <w:spacing w:line="440" w:lineRule="exact"/>
        <w:rPr>
          <w:rFonts w:hint="eastAsia" w:ascii="黑体" w:hAnsi="华文楷体" w:eastAsia="黑体"/>
          <w:b/>
          <w:color w:val="auto"/>
          <w:sz w:val="24"/>
          <w:highlight w:val="none"/>
        </w:rPr>
      </w:pPr>
      <w:r>
        <w:rPr>
          <w:rFonts w:hint="eastAsia" w:ascii="黑体" w:hAnsi="华文楷体" w:eastAsia="黑体"/>
          <w:b/>
          <w:color w:val="auto"/>
          <w:sz w:val="24"/>
          <w:highlight w:val="none"/>
        </w:rPr>
        <w:t>电话：                                                    联系人手机：</w:t>
      </w:r>
    </w:p>
    <w:p w14:paraId="35F2988C">
      <w:pPr>
        <w:spacing w:line="440" w:lineRule="exact"/>
        <w:rPr>
          <w:rFonts w:hint="eastAsia" w:ascii="黑体" w:hAnsi="华文楷体" w:eastAsia="黑体"/>
          <w:b/>
          <w:color w:val="auto"/>
          <w:sz w:val="24"/>
          <w:highlight w:val="none"/>
        </w:rPr>
      </w:pPr>
    </w:p>
    <w:tbl>
      <w:tblPr>
        <w:tblStyle w:val="14"/>
        <w:tblW w:w="4989" w:type="pct"/>
        <w:jc w:val="center"/>
        <w:tblLayout w:type="autofit"/>
        <w:tblCellMar>
          <w:top w:w="0" w:type="dxa"/>
          <w:left w:w="108" w:type="dxa"/>
          <w:bottom w:w="0" w:type="dxa"/>
          <w:right w:w="108" w:type="dxa"/>
        </w:tblCellMar>
      </w:tblPr>
      <w:tblGrid>
        <w:gridCol w:w="1576"/>
        <w:gridCol w:w="2516"/>
        <w:gridCol w:w="2108"/>
        <w:gridCol w:w="886"/>
        <w:gridCol w:w="1290"/>
        <w:gridCol w:w="1558"/>
      </w:tblGrid>
      <w:tr w14:paraId="3F6977F6">
        <w:tblPrEx>
          <w:tblCellMar>
            <w:top w:w="0" w:type="dxa"/>
            <w:left w:w="108" w:type="dxa"/>
            <w:bottom w:w="0" w:type="dxa"/>
            <w:right w:w="108" w:type="dxa"/>
          </w:tblCellMar>
        </w:tblPrEx>
        <w:trPr>
          <w:trHeight w:val="624" w:hRule="atLeast"/>
          <w:jc w:val="center"/>
        </w:trPr>
        <w:tc>
          <w:tcPr>
            <w:tcW w:w="793" w:type="pct"/>
            <w:tcBorders>
              <w:top w:val="single" w:color="auto" w:sz="4" w:space="0"/>
              <w:left w:val="single" w:color="auto" w:sz="4" w:space="0"/>
              <w:bottom w:val="single" w:color="auto" w:sz="4" w:space="0"/>
              <w:right w:val="single" w:color="auto" w:sz="4" w:space="0"/>
            </w:tcBorders>
            <w:shd w:val="clear" w:color="auto" w:fill="auto"/>
            <w:vAlign w:val="center"/>
          </w:tcPr>
          <w:p w14:paraId="77B7D8F3">
            <w:pPr>
              <w:spacing w:line="440" w:lineRule="exact"/>
              <w:jc w:val="center"/>
              <w:rPr>
                <w:rFonts w:hint="eastAsia" w:ascii="黑体" w:hAnsi="华文楷体" w:eastAsia="黑体"/>
                <w:color w:val="auto"/>
                <w:kern w:val="0"/>
                <w:sz w:val="24"/>
                <w:highlight w:val="none"/>
              </w:rPr>
            </w:pPr>
            <w:r>
              <w:rPr>
                <w:rFonts w:hint="eastAsia" w:ascii="黑体" w:hAnsi="华文楷体" w:eastAsia="黑体"/>
                <w:color w:val="auto"/>
                <w:kern w:val="0"/>
                <w:sz w:val="24"/>
                <w:highlight w:val="none"/>
              </w:rPr>
              <w:t>分类</w:t>
            </w:r>
          </w:p>
        </w:tc>
        <w:tc>
          <w:tcPr>
            <w:tcW w:w="1266" w:type="pct"/>
            <w:tcBorders>
              <w:top w:val="single" w:color="auto" w:sz="4" w:space="0"/>
              <w:left w:val="nil"/>
              <w:bottom w:val="single" w:color="auto" w:sz="4" w:space="0"/>
              <w:right w:val="single" w:color="auto" w:sz="4" w:space="0"/>
            </w:tcBorders>
            <w:shd w:val="clear" w:color="auto" w:fill="auto"/>
            <w:vAlign w:val="center"/>
          </w:tcPr>
          <w:p w14:paraId="630AE301">
            <w:pPr>
              <w:spacing w:line="440" w:lineRule="exact"/>
              <w:jc w:val="center"/>
              <w:rPr>
                <w:rFonts w:hint="eastAsia" w:ascii="黑体" w:hAnsi="华文楷体" w:eastAsia="黑体"/>
                <w:color w:val="auto"/>
                <w:kern w:val="0"/>
                <w:sz w:val="24"/>
                <w:highlight w:val="none"/>
              </w:rPr>
            </w:pPr>
            <w:r>
              <w:rPr>
                <w:rFonts w:hint="eastAsia" w:ascii="黑体" w:hAnsi="华文楷体" w:eastAsia="黑体"/>
                <w:color w:val="auto"/>
                <w:kern w:val="0"/>
                <w:sz w:val="24"/>
                <w:highlight w:val="none"/>
              </w:rPr>
              <w:t>软硬件名称</w:t>
            </w:r>
          </w:p>
        </w:tc>
        <w:tc>
          <w:tcPr>
            <w:tcW w:w="1061" w:type="pct"/>
            <w:tcBorders>
              <w:top w:val="single" w:color="auto" w:sz="4" w:space="0"/>
              <w:left w:val="nil"/>
              <w:bottom w:val="single" w:color="auto" w:sz="4" w:space="0"/>
              <w:right w:val="single" w:color="auto" w:sz="4" w:space="0"/>
            </w:tcBorders>
            <w:shd w:val="clear" w:color="auto" w:fill="auto"/>
            <w:vAlign w:val="center"/>
          </w:tcPr>
          <w:p w14:paraId="33B3799A">
            <w:pPr>
              <w:spacing w:line="440" w:lineRule="exact"/>
              <w:jc w:val="center"/>
              <w:rPr>
                <w:rFonts w:hint="eastAsia" w:ascii="黑体" w:hAnsi="华文楷体" w:eastAsia="黑体"/>
                <w:color w:val="auto"/>
                <w:kern w:val="0"/>
                <w:sz w:val="24"/>
                <w:highlight w:val="none"/>
              </w:rPr>
            </w:pPr>
            <w:r>
              <w:rPr>
                <w:rFonts w:hint="eastAsia" w:ascii="黑体" w:hAnsi="华文楷体" w:eastAsia="黑体"/>
                <w:color w:val="auto"/>
                <w:kern w:val="0"/>
                <w:sz w:val="24"/>
                <w:highlight w:val="none"/>
              </w:rPr>
              <w:t>功能简述</w:t>
            </w:r>
          </w:p>
        </w:tc>
        <w:tc>
          <w:tcPr>
            <w:tcW w:w="446" w:type="pct"/>
            <w:tcBorders>
              <w:top w:val="single" w:color="auto" w:sz="4" w:space="0"/>
              <w:left w:val="nil"/>
              <w:bottom w:val="single" w:color="auto" w:sz="4" w:space="0"/>
              <w:right w:val="single" w:color="auto" w:sz="4" w:space="0"/>
            </w:tcBorders>
            <w:shd w:val="clear" w:color="auto" w:fill="auto"/>
            <w:noWrap/>
            <w:vAlign w:val="center"/>
          </w:tcPr>
          <w:p w14:paraId="074CD36E">
            <w:pPr>
              <w:spacing w:line="440" w:lineRule="exact"/>
              <w:jc w:val="center"/>
              <w:rPr>
                <w:rFonts w:hint="eastAsia" w:ascii="黑体" w:hAnsi="华文楷体" w:eastAsia="黑体"/>
                <w:color w:val="auto"/>
                <w:kern w:val="0"/>
                <w:sz w:val="24"/>
                <w:highlight w:val="none"/>
              </w:rPr>
            </w:pPr>
            <w:r>
              <w:rPr>
                <w:rFonts w:hint="eastAsia" w:ascii="黑体" w:hAnsi="华文楷体" w:eastAsia="黑体"/>
                <w:color w:val="auto"/>
                <w:kern w:val="0"/>
                <w:sz w:val="24"/>
                <w:highlight w:val="none"/>
              </w:rPr>
              <w:t>数量</w:t>
            </w:r>
          </w:p>
        </w:tc>
        <w:tc>
          <w:tcPr>
            <w:tcW w:w="648" w:type="pct"/>
            <w:tcBorders>
              <w:top w:val="single" w:color="auto" w:sz="4" w:space="0"/>
              <w:left w:val="nil"/>
              <w:bottom w:val="single" w:color="auto" w:sz="4" w:space="0"/>
              <w:right w:val="single" w:color="auto" w:sz="4" w:space="0"/>
            </w:tcBorders>
            <w:shd w:val="clear" w:color="auto" w:fill="auto"/>
            <w:vAlign w:val="center"/>
          </w:tcPr>
          <w:p w14:paraId="2957C534">
            <w:pPr>
              <w:spacing w:line="440" w:lineRule="exact"/>
              <w:jc w:val="center"/>
              <w:rPr>
                <w:rFonts w:hint="eastAsia" w:ascii="黑体" w:hAnsi="华文楷体" w:eastAsia="黑体"/>
                <w:color w:val="auto"/>
                <w:kern w:val="0"/>
                <w:sz w:val="24"/>
                <w:highlight w:val="none"/>
                <w:lang w:eastAsia="zh-CN"/>
              </w:rPr>
            </w:pPr>
            <w:r>
              <w:rPr>
                <w:rFonts w:hint="eastAsia" w:ascii="黑体" w:hAnsi="华文楷体" w:eastAsia="黑体"/>
                <w:color w:val="auto"/>
                <w:kern w:val="0"/>
                <w:sz w:val="24"/>
                <w:highlight w:val="none"/>
              </w:rPr>
              <w:t>单价</w:t>
            </w:r>
            <w:r>
              <w:rPr>
                <w:rFonts w:hint="eastAsia" w:ascii="黑体" w:hAnsi="华文楷体" w:eastAsia="黑体"/>
                <w:color w:val="auto"/>
                <w:kern w:val="0"/>
                <w:sz w:val="24"/>
                <w:highlight w:val="none"/>
                <w:lang w:eastAsia="zh-CN"/>
              </w:rPr>
              <w:t>（</w:t>
            </w:r>
            <w:r>
              <w:rPr>
                <w:rFonts w:hint="eastAsia" w:ascii="黑体" w:hAnsi="华文楷体" w:eastAsia="黑体"/>
                <w:color w:val="auto"/>
                <w:kern w:val="0"/>
                <w:sz w:val="24"/>
                <w:highlight w:val="none"/>
                <w:lang w:val="en-US" w:eastAsia="zh-CN"/>
              </w:rPr>
              <w:t>元</w:t>
            </w:r>
            <w:r>
              <w:rPr>
                <w:rFonts w:hint="eastAsia" w:ascii="黑体" w:hAnsi="华文楷体" w:eastAsia="黑体"/>
                <w:color w:val="auto"/>
                <w:kern w:val="0"/>
                <w:sz w:val="24"/>
                <w:highlight w:val="none"/>
                <w:lang w:eastAsia="zh-CN"/>
              </w:rPr>
              <w:t>）</w:t>
            </w:r>
          </w:p>
        </w:tc>
        <w:tc>
          <w:tcPr>
            <w:tcW w:w="784" w:type="pct"/>
            <w:tcBorders>
              <w:top w:val="single" w:color="auto" w:sz="4" w:space="0"/>
              <w:left w:val="nil"/>
              <w:bottom w:val="single" w:color="auto" w:sz="4" w:space="0"/>
              <w:right w:val="single" w:color="auto" w:sz="4" w:space="0"/>
            </w:tcBorders>
            <w:shd w:val="clear" w:color="auto" w:fill="auto"/>
            <w:noWrap/>
            <w:vAlign w:val="center"/>
          </w:tcPr>
          <w:p w14:paraId="2735361B">
            <w:pPr>
              <w:spacing w:line="440" w:lineRule="exact"/>
              <w:jc w:val="center"/>
              <w:rPr>
                <w:rFonts w:hint="eastAsia" w:ascii="黑体" w:hAnsi="华文楷体" w:eastAsia="黑体"/>
                <w:color w:val="auto"/>
                <w:kern w:val="0"/>
                <w:sz w:val="24"/>
                <w:highlight w:val="none"/>
                <w:lang w:eastAsia="zh-CN"/>
              </w:rPr>
            </w:pPr>
            <w:r>
              <w:rPr>
                <w:rFonts w:hint="eastAsia" w:ascii="黑体" w:hAnsi="华文楷体" w:eastAsia="黑体"/>
                <w:color w:val="auto"/>
                <w:kern w:val="0"/>
                <w:sz w:val="24"/>
                <w:highlight w:val="none"/>
              </w:rPr>
              <w:t>总价</w:t>
            </w:r>
            <w:r>
              <w:rPr>
                <w:rFonts w:hint="eastAsia" w:ascii="黑体" w:hAnsi="华文楷体" w:eastAsia="黑体"/>
                <w:color w:val="auto"/>
                <w:kern w:val="0"/>
                <w:sz w:val="24"/>
                <w:highlight w:val="none"/>
                <w:lang w:eastAsia="zh-CN"/>
              </w:rPr>
              <w:t>（</w:t>
            </w:r>
            <w:r>
              <w:rPr>
                <w:rFonts w:hint="eastAsia" w:ascii="黑体" w:hAnsi="华文楷体" w:eastAsia="黑体"/>
                <w:color w:val="auto"/>
                <w:kern w:val="0"/>
                <w:sz w:val="24"/>
                <w:highlight w:val="none"/>
                <w:lang w:val="en-US" w:eastAsia="zh-CN"/>
              </w:rPr>
              <w:t>元</w:t>
            </w:r>
            <w:r>
              <w:rPr>
                <w:rFonts w:hint="eastAsia" w:ascii="黑体" w:hAnsi="华文楷体" w:eastAsia="黑体"/>
                <w:color w:val="auto"/>
                <w:kern w:val="0"/>
                <w:sz w:val="24"/>
                <w:highlight w:val="none"/>
                <w:lang w:eastAsia="zh-CN"/>
              </w:rPr>
              <w:t>）</w:t>
            </w:r>
          </w:p>
        </w:tc>
      </w:tr>
      <w:tr w14:paraId="5DEA249D">
        <w:tblPrEx>
          <w:tblCellMar>
            <w:top w:w="0" w:type="dxa"/>
            <w:left w:w="108" w:type="dxa"/>
            <w:bottom w:w="0" w:type="dxa"/>
            <w:right w:w="108" w:type="dxa"/>
          </w:tblCellMar>
        </w:tblPrEx>
        <w:trPr>
          <w:trHeight w:val="624" w:hRule="atLeast"/>
          <w:jc w:val="center"/>
        </w:trPr>
        <w:tc>
          <w:tcPr>
            <w:tcW w:w="7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003FB8">
            <w:pPr>
              <w:spacing w:line="440" w:lineRule="exact"/>
              <w:jc w:val="center"/>
              <w:rPr>
                <w:rFonts w:hint="eastAsia" w:ascii="黑体" w:hAnsi="华文楷体" w:eastAsia="黑体"/>
                <w:color w:val="auto"/>
                <w:kern w:val="0"/>
                <w:sz w:val="24"/>
                <w:highlight w:val="none"/>
              </w:rPr>
            </w:pPr>
            <w:r>
              <w:rPr>
                <w:rFonts w:hint="eastAsia" w:ascii="黑体" w:hAnsi="华文楷体" w:eastAsia="黑体"/>
                <w:color w:val="auto"/>
                <w:kern w:val="0"/>
                <w:sz w:val="24"/>
                <w:highlight w:val="none"/>
              </w:rPr>
              <w:t>智慧餐饮管理平台</w:t>
            </w:r>
          </w:p>
        </w:tc>
        <w:tc>
          <w:tcPr>
            <w:tcW w:w="1266" w:type="pct"/>
            <w:tcBorders>
              <w:top w:val="single" w:color="auto" w:sz="4" w:space="0"/>
              <w:left w:val="nil"/>
              <w:bottom w:val="single" w:color="auto" w:sz="4" w:space="0"/>
              <w:right w:val="single" w:color="auto" w:sz="4" w:space="0"/>
            </w:tcBorders>
            <w:shd w:val="clear" w:color="auto" w:fill="auto"/>
            <w:vAlign w:val="center"/>
          </w:tcPr>
          <w:p w14:paraId="3A993994">
            <w:pPr>
              <w:spacing w:line="440" w:lineRule="exact"/>
              <w:jc w:val="center"/>
              <w:rPr>
                <w:rFonts w:hint="eastAsia" w:ascii="黑体" w:hAnsi="华文楷体" w:eastAsia="黑体"/>
                <w:color w:val="auto"/>
                <w:kern w:val="0"/>
                <w:sz w:val="24"/>
                <w:highlight w:val="none"/>
              </w:rPr>
            </w:pPr>
            <w:r>
              <w:rPr>
                <w:rFonts w:hint="eastAsia" w:ascii="黑体" w:hAnsi="华文楷体" w:eastAsia="黑体"/>
                <w:color w:val="auto"/>
                <w:kern w:val="0"/>
                <w:sz w:val="24"/>
                <w:highlight w:val="none"/>
              </w:rPr>
              <w:t>基础信息管理</w:t>
            </w:r>
          </w:p>
        </w:tc>
        <w:tc>
          <w:tcPr>
            <w:tcW w:w="1061" w:type="pct"/>
            <w:tcBorders>
              <w:top w:val="single" w:color="auto" w:sz="4" w:space="0"/>
              <w:left w:val="nil"/>
              <w:bottom w:val="single" w:color="auto" w:sz="4" w:space="0"/>
              <w:right w:val="single" w:color="auto" w:sz="4" w:space="0"/>
            </w:tcBorders>
            <w:shd w:val="clear" w:color="auto" w:fill="auto"/>
            <w:vAlign w:val="center"/>
          </w:tcPr>
          <w:p w14:paraId="2342C466">
            <w:pPr>
              <w:spacing w:line="440" w:lineRule="exact"/>
              <w:jc w:val="center"/>
              <w:rPr>
                <w:rFonts w:hint="eastAsia" w:ascii="黑体" w:hAnsi="华文楷体" w:eastAsia="黑体"/>
                <w:color w:val="auto"/>
                <w:kern w:val="0"/>
                <w:sz w:val="24"/>
                <w:highlight w:val="none"/>
              </w:rPr>
            </w:pPr>
          </w:p>
        </w:tc>
        <w:tc>
          <w:tcPr>
            <w:tcW w:w="446" w:type="pct"/>
            <w:tcBorders>
              <w:top w:val="single" w:color="auto" w:sz="4" w:space="0"/>
              <w:left w:val="nil"/>
              <w:bottom w:val="single" w:color="auto" w:sz="4" w:space="0"/>
              <w:right w:val="single" w:color="auto" w:sz="4" w:space="0"/>
            </w:tcBorders>
            <w:shd w:val="clear" w:color="auto" w:fill="auto"/>
            <w:noWrap/>
            <w:vAlign w:val="center"/>
          </w:tcPr>
          <w:p w14:paraId="53754A88">
            <w:pPr>
              <w:spacing w:line="440" w:lineRule="exact"/>
              <w:jc w:val="center"/>
              <w:rPr>
                <w:rFonts w:hint="eastAsia" w:ascii="黑体" w:hAnsi="华文楷体" w:eastAsia="黑体"/>
                <w:color w:val="auto"/>
                <w:kern w:val="0"/>
                <w:sz w:val="24"/>
                <w:highlight w:val="none"/>
              </w:rPr>
            </w:pPr>
            <w:r>
              <w:rPr>
                <w:rFonts w:hint="eastAsia" w:ascii="黑体" w:hAnsi="华文楷体" w:eastAsia="黑体"/>
                <w:color w:val="auto"/>
                <w:kern w:val="0"/>
                <w:sz w:val="24"/>
                <w:highlight w:val="none"/>
              </w:rPr>
              <w:t>1</w:t>
            </w:r>
          </w:p>
        </w:tc>
        <w:tc>
          <w:tcPr>
            <w:tcW w:w="648" w:type="pct"/>
            <w:tcBorders>
              <w:top w:val="single" w:color="auto" w:sz="4" w:space="0"/>
              <w:left w:val="nil"/>
              <w:bottom w:val="single" w:color="auto" w:sz="4" w:space="0"/>
              <w:right w:val="single" w:color="auto" w:sz="4" w:space="0"/>
            </w:tcBorders>
            <w:shd w:val="clear" w:color="auto" w:fill="auto"/>
            <w:vAlign w:val="center"/>
          </w:tcPr>
          <w:p w14:paraId="55B91633">
            <w:pPr>
              <w:spacing w:line="440" w:lineRule="exact"/>
              <w:jc w:val="center"/>
              <w:rPr>
                <w:rFonts w:hint="eastAsia" w:ascii="黑体" w:hAnsi="华文楷体" w:eastAsia="黑体"/>
                <w:color w:val="auto"/>
                <w:kern w:val="0"/>
                <w:sz w:val="24"/>
                <w:highlight w:val="none"/>
              </w:rPr>
            </w:pPr>
          </w:p>
        </w:tc>
        <w:tc>
          <w:tcPr>
            <w:tcW w:w="784" w:type="pct"/>
            <w:tcBorders>
              <w:top w:val="single" w:color="auto" w:sz="4" w:space="0"/>
              <w:left w:val="nil"/>
              <w:bottom w:val="single" w:color="auto" w:sz="4" w:space="0"/>
              <w:right w:val="single" w:color="auto" w:sz="4" w:space="0"/>
            </w:tcBorders>
            <w:shd w:val="clear" w:color="auto" w:fill="auto"/>
            <w:noWrap/>
            <w:vAlign w:val="center"/>
          </w:tcPr>
          <w:p w14:paraId="389597B7">
            <w:pPr>
              <w:spacing w:line="440" w:lineRule="exact"/>
              <w:jc w:val="center"/>
              <w:rPr>
                <w:rFonts w:hint="eastAsia" w:ascii="黑体" w:hAnsi="华文楷体" w:eastAsia="黑体"/>
                <w:color w:val="auto"/>
                <w:kern w:val="0"/>
                <w:sz w:val="24"/>
                <w:highlight w:val="none"/>
              </w:rPr>
            </w:pPr>
          </w:p>
        </w:tc>
      </w:tr>
      <w:tr w14:paraId="06BFC71F">
        <w:tblPrEx>
          <w:tblCellMar>
            <w:top w:w="0" w:type="dxa"/>
            <w:left w:w="108" w:type="dxa"/>
            <w:bottom w:w="0" w:type="dxa"/>
            <w:right w:w="108" w:type="dxa"/>
          </w:tblCellMar>
        </w:tblPrEx>
        <w:trPr>
          <w:trHeight w:val="624" w:hRule="atLeast"/>
          <w:jc w:val="center"/>
        </w:trPr>
        <w:tc>
          <w:tcPr>
            <w:tcW w:w="793" w:type="pct"/>
            <w:vMerge w:val="continue"/>
            <w:tcBorders>
              <w:top w:val="single" w:color="auto" w:sz="4" w:space="0"/>
              <w:left w:val="single" w:color="auto" w:sz="4" w:space="0"/>
              <w:bottom w:val="single" w:color="auto" w:sz="4" w:space="0"/>
              <w:right w:val="single" w:color="auto" w:sz="4" w:space="0"/>
            </w:tcBorders>
            <w:vAlign w:val="center"/>
          </w:tcPr>
          <w:p w14:paraId="7A8B92C4">
            <w:pPr>
              <w:spacing w:line="440" w:lineRule="exact"/>
              <w:jc w:val="center"/>
              <w:rPr>
                <w:rFonts w:hint="eastAsia" w:ascii="黑体" w:hAnsi="华文楷体" w:eastAsia="黑体"/>
                <w:color w:val="auto"/>
                <w:kern w:val="0"/>
                <w:sz w:val="24"/>
                <w:highlight w:val="none"/>
              </w:rPr>
            </w:pPr>
          </w:p>
        </w:tc>
        <w:tc>
          <w:tcPr>
            <w:tcW w:w="1266" w:type="pct"/>
            <w:tcBorders>
              <w:top w:val="single" w:color="auto" w:sz="4" w:space="0"/>
              <w:left w:val="nil"/>
              <w:bottom w:val="single" w:color="auto" w:sz="4" w:space="0"/>
              <w:right w:val="single" w:color="auto" w:sz="4" w:space="0"/>
            </w:tcBorders>
            <w:shd w:val="clear" w:color="auto" w:fill="auto"/>
            <w:vAlign w:val="center"/>
          </w:tcPr>
          <w:p w14:paraId="578A7372">
            <w:pPr>
              <w:spacing w:line="440" w:lineRule="exact"/>
              <w:jc w:val="center"/>
              <w:rPr>
                <w:rFonts w:hint="eastAsia" w:ascii="黑体" w:hAnsi="华文楷体" w:eastAsia="黑体"/>
                <w:color w:val="auto"/>
                <w:kern w:val="0"/>
                <w:sz w:val="24"/>
                <w:highlight w:val="none"/>
              </w:rPr>
            </w:pPr>
            <w:r>
              <w:rPr>
                <w:rFonts w:hint="eastAsia" w:ascii="黑体" w:hAnsi="华文楷体" w:eastAsia="黑体"/>
                <w:color w:val="auto"/>
                <w:kern w:val="0"/>
                <w:sz w:val="24"/>
                <w:highlight w:val="none"/>
              </w:rPr>
              <w:t>晨检管理</w:t>
            </w:r>
          </w:p>
        </w:tc>
        <w:tc>
          <w:tcPr>
            <w:tcW w:w="1061" w:type="pct"/>
            <w:tcBorders>
              <w:top w:val="single" w:color="auto" w:sz="4" w:space="0"/>
              <w:left w:val="nil"/>
              <w:bottom w:val="single" w:color="auto" w:sz="4" w:space="0"/>
              <w:right w:val="single" w:color="auto" w:sz="4" w:space="0"/>
            </w:tcBorders>
            <w:shd w:val="clear" w:color="auto" w:fill="auto"/>
            <w:vAlign w:val="center"/>
          </w:tcPr>
          <w:p w14:paraId="757BBB32">
            <w:pPr>
              <w:spacing w:line="440" w:lineRule="exact"/>
              <w:jc w:val="center"/>
              <w:rPr>
                <w:rFonts w:hint="eastAsia" w:ascii="黑体" w:hAnsi="华文楷体" w:eastAsia="黑体"/>
                <w:color w:val="auto"/>
                <w:kern w:val="0"/>
                <w:sz w:val="24"/>
                <w:highlight w:val="none"/>
              </w:rPr>
            </w:pPr>
          </w:p>
        </w:tc>
        <w:tc>
          <w:tcPr>
            <w:tcW w:w="446" w:type="pct"/>
            <w:tcBorders>
              <w:top w:val="single" w:color="auto" w:sz="4" w:space="0"/>
              <w:left w:val="nil"/>
              <w:bottom w:val="single" w:color="auto" w:sz="4" w:space="0"/>
              <w:right w:val="single" w:color="auto" w:sz="4" w:space="0"/>
            </w:tcBorders>
            <w:shd w:val="clear" w:color="auto" w:fill="auto"/>
            <w:noWrap/>
            <w:vAlign w:val="center"/>
          </w:tcPr>
          <w:p w14:paraId="26C964C0">
            <w:pPr>
              <w:spacing w:line="440" w:lineRule="exact"/>
              <w:jc w:val="center"/>
              <w:rPr>
                <w:rFonts w:hint="eastAsia" w:ascii="黑体" w:hAnsi="华文楷体" w:eastAsia="黑体"/>
                <w:color w:val="auto"/>
                <w:kern w:val="0"/>
                <w:sz w:val="24"/>
                <w:highlight w:val="none"/>
              </w:rPr>
            </w:pPr>
            <w:r>
              <w:rPr>
                <w:rFonts w:hint="eastAsia" w:ascii="黑体" w:hAnsi="华文楷体" w:eastAsia="黑体"/>
                <w:color w:val="auto"/>
                <w:kern w:val="0"/>
                <w:sz w:val="24"/>
                <w:highlight w:val="none"/>
              </w:rPr>
              <w:t>1</w:t>
            </w:r>
          </w:p>
        </w:tc>
        <w:tc>
          <w:tcPr>
            <w:tcW w:w="648" w:type="pct"/>
            <w:tcBorders>
              <w:top w:val="single" w:color="auto" w:sz="4" w:space="0"/>
              <w:left w:val="nil"/>
              <w:bottom w:val="single" w:color="auto" w:sz="4" w:space="0"/>
              <w:right w:val="single" w:color="auto" w:sz="4" w:space="0"/>
            </w:tcBorders>
            <w:shd w:val="clear" w:color="auto" w:fill="auto"/>
            <w:vAlign w:val="center"/>
          </w:tcPr>
          <w:p w14:paraId="172AEFB2">
            <w:pPr>
              <w:spacing w:line="440" w:lineRule="exact"/>
              <w:jc w:val="center"/>
              <w:rPr>
                <w:rFonts w:hint="eastAsia" w:ascii="黑体" w:hAnsi="华文楷体" w:eastAsia="黑体"/>
                <w:color w:val="auto"/>
                <w:kern w:val="0"/>
                <w:sz w:val="24"/>
                <w:highlight w:val="none"/>
              </w:rPr>
            </w:pPr>
          </w:p>
        </w:tc>
        <w:tc>
          <w:tcPr>
            <w:tcW w:w="784" w:type="pct"/>
            <w:tcBorders>
              <w:top w:val="single" w:color="auto" w:sz="4" w:space="0"/>
              <w:left w:val="nil"/>
              <w:bottom w:val="single" w:color="auto" w:sz="4" w:space="0"/>
              <w:right w:val="single" w:color="auto" w:sz="4" w:space="0"/>
            </w:tcBorders>
            <w:shd w:val="clear" w:color="auto" w:fill="auto"/>
            <w:noWrap/>
            <w:vAlign w:val="center"/>
          </w:tcPr>
          <w:p w14:paraId="653A4040">
            <w:pPr>
              <w:spacing w:line="440" w:lineRule="exact"/>
              <w:jc w:val="center"/>
              <w:rPr>
                <w:rFonts w:hint="eastAsia" w:ascii="黑体" w:hAnsi="华文楷体" w:eastAsia="黑体"/>
                <w:color w:val="auto"/>
                <w:kern w:val="0"/>
                <w:sz w:val="24"/>
                <w:highlight w:val="none"/>
              </w:rPr>
            </w:pPr>
          </w:p>
        </w:tc>
      </w:tr>
      <w:tr w14:paraId="7DD064AE">
        <w:tblPrEx>
          <w:tblCellMar>
            <w:top w:w="0" w:type="dxa"/>
            <w:left w:w="108" w:type="dxa"/>
            <w:bottom w:w="0" w:type="dxa"/>
            <w:right w:w="108" w:type="dxa"/>
          </w:tblCellMar>
        </w:tblPrEx>
        <w:trPr>
          <w:trHeight w:val="624" w:hRule="atLeast"/>
          <w:jc w:val="center"/>
        </w:trPr>
        <w:tc>
          <w:tcPr>
            <w:tcW w:w="793" w:type="pct"/>
            <w:vMerge w:val="continue"/>
            <w:tcBorders>
              <w:top w:val="single" w:color="auto" w:sz="4" w:space="0"/>
              <w:left w:val="single" w:color="auto" w:sz="4" w:space="0"/>
              <w:bottom w:val="single" w:color="auto" w:sz="4" w:space="0"/>
              <w:right w:val="single" w:color="auto" w:sz="4" w:space="0"/>
            </w:tcBorders>
            <w:vAlign w:val="center"/>
          </w:tcPr>
          <w:p w14:paraId="0646AB02">
            <w:pPr>
              <w:spacing w:line="440" w:lineRule="exact"/>
              <w:jc w:val="center"/>
              <w:rPr>
                <w:rFonts w:hint="eastAsia" w:ascii="黑体" w:hAnsi="华文楷体" w:eastAsia="黑体"/>
                <w:color w:val="auto"/>
                <w:kern w:val="0"/>
                <w:sz w:val="24"/>
                <w:highlight w:val="none"/>
              </w:rPr>
            </w:pPr>
          </w:p>
        </w:tc>
        <w:tc>
          <w:tcPr>
            <w:tcW w:w="1266" w:type="pct"/>
            <w:tcBorders>
              <w:top w:val="single" w:color="auto" w:sz="4" w:space="0"/>
              <w:left w:val="nil"/>
              <w:bottom w:val="single" w:color="auto" w:sz="4" w:space="0"/>
              <w:right w:val="single" w:color="auto" w:sz="4" w:space="0"/>
            </w:tcBorders>
            <w:shd w:val="clear" w:color="auto" w:fill="auto"/>
            <w:vAlign w:val="center"/>
          </w:tcPr>
          <w:p w14:paraId="601B2EC9">
            <w:pPr>
              <w:spacing w:line="440" w:lineRule="exact"/>
              <w:jc w:val="center"/>
              <w:rPr>
                <w:rFonts w:hint="eastAsia" w:ascii="黑体" w:hAnsi="华文楷体" w:eastAsia="黑体"/>
                <w:color w:val="auto"/>
                <w:kern w:val="0"/>
                <w:sz w:val="24"/>
                <w:highlight w:val="none"/>
              </w:rPr>
            </w:pPr>
            <w:r>
              <w:rPr>
                <w:rFonts w:hint="eastAsia" w:ascii="黑体" w:hAnsi="华文楷体" w:eastAsia="黑体"/>
                <w:color w:val="auto"/>
                <w:kern w:val="0"/>
                <w:sz w:val="24"/>
                <w:highlight w:val="none"/>
              </w:rPr>
              <w:t>投诉建议</w:t>
            </w:r>
          </w:p>
        </w:tc>
        <w:tc>
          <w:tcPr>
            <w:tcW w:w="1061" w:type="pct"/>
            <w:tcBorders>
              <w:top w:val="single" w:color="auto" w:sz="4" w:space="0"/>
              <w:left w:val="nil"/>
              <w:bottom w:val="single" w:color="auto" w:sz="4" w:space="0"/>
              <w:right w:val="single" w:color="auto" w:sz="4" w:space="0"/>
            </w:tcBorders>
            <w:shd w:val="clear" w:color="auto" w:fill="auto"/>
            <w:vAlign w:val="center"/>
          </w:tcPr>
          <w:p w14:paraId="0DDEC4AB">
            <w:pPr>
              <w:spacing w:line="440" w:lineRule="exact"/>
              <w:jc w:val="center"/>
              <w:rPr>
                <w:rFonts w:hint="eastAsia" w:ascii="黑体" w:hAnsi="华文楷体" w:eastAsia="黑体"/>
                <w:color w:val="auto"/>
                <w:kern w:val="0"/>
                <w:sz w:val="24"/>
                <w:highlight w:val="none"/>
              </w:rPr>
            </w:pPr>
          </w:p>
        </w:tc>
        <w:tc>
          <w:tcPr>
            <w:tcW w:w="446" w:type="pct"/>
            <w:tcBorders>
              <w:top w:val="single" w:color="auto" w:sz="4" w:space="0"/>
              <w:left w:val="nil"/>
              <w:bottom w:val="single" w:color="auto" w:sz="4" w:space="0"/>
              <w:right w:val="single" w:color="auto" w:sz="4" w:space="0"/>
            </w:tcBorders>
            <w:shd w:val="clear" w:color="auto" w:fill="auto"/>
            <w:noWrap/>
            <w:vAlign w:val="center"/>
          </w:tcPr>
          <w:p w14:paraId="362B79F6">
            <w:pPr>
              <w:spacing w:line="440" w:lineRule="exact"/>
              <w:jc w:val="center"/>
              <w:rPr>
                <w:rFonts w:hint="eastAsia" w:ascii="黑体" w:hAnsi="华文楷体" w:eastAsia="黑体"/>
                <w:color w:val="auto"/>
                <w:kern w:val="0"/>
                <w:sz w:val="24"/>
                <w:highlight w:val="none"/>
              </w:rPr>
            </w:pPr>
            <w:r>
              <w:rPr>
                <w:rFonts w:hint="eastAsia" w:ascii="黑体" w:hAnsi="华文楷体" w:eastAsia="黑体"/>
                <w:color w:val="auto"/>
                <w:kern w:val="0"/>
                <w:sz w:val="24"/>
                <w:highlight w:val="none"/>
              </w:rPr>
              <w:t>1</w:t>
            </w:r>
          </w:p>
        </w:tc>
        <w:tc>
          <w:tcPr>
            <w:tcW w:w="648" w:type="pct"/>
            <w:tcBorders>
              <w:top w:val="single" w:color="auto" w:sz="4" w:space="0"/>
              <w:left w:val="nil"/>
              <w:bottom w:val="single" w:color="auto" w:sz="4" w:space="0"/>
              <w:right w:val="single" w:color="auto" w:sz="4" w:space="0"/>
            </w:tcBorders>
            <w:shd w:val="clear" w:color="auto" w:fill="auto"/>
            <w:vAlign w:val="center"/>
          </w:tcPr>
          <w:p w14:paraId="3CF2A1CB">
            <w:pPr>
              <w:spacing w:line="440" w:lineRule="exact"/>
              <w:jc w:val="center"/>
              <w:rPr>
                <w:rFonts w:hint="eastAsia" w:ascii="黑体" w:hAnsi="华文楷体" w:eastAsia="黑体"/>
                <w:color w:val="auto"/>
                <w:kern w:val="0"/>
                <w:sz w:val="24"/>
                <w:highlight w:val="none"/>
              </w:rPr>
            </w:pPr>
          </w:p>
        </w:tc>
        <w:tc>
          <w:tcPr>
            <w:tcW w:w="784" w:type="pct"/>
            <w:tcBorders>
              <w:top w:val="single" w:color="auto" w:sz="4" w:space="0"/>
              <w:left w:val="nil"/>
              <w:bottom w:val="single" w:color="auto" w:sz="4" w:space="0"/>
              <w:right w:val="single" w:color="auto" w:sz="4" w:space="0"/>
            </w:tcBorders>
            <w:shd w:val="clear" w:color="auto" w:fill="auto"/>
            <w:noWrap/>
            <w:vAlign w:val="center"/>
          </w:tcPr>
          <w:p w14:paraId="4335B0E7">
            <w:pPr>
              <w:spacing w:line="440" w:lineRule="exact"/>
              <w:jc w:val="center"/>
              <w:rPr>
                <w:rFonts w:hint="eastAsia" w:ascii="黑体" w:hAnsi="华文楷体" w:eastAsia="黑体"/>
                <w:color w:val="auto"/>
                <w:kern w:val="0"/>
                <w:sz w:val="24"/>
                <w:highlight w:val="none"/>
              </w:rPr>
            </w:pPr>
          </w:p>
        </w:tc>
      </w:tr>
      <w:tr w14:paraId="31F11F61">
        <w:tblPrEx>
          <w:tblCellMar>
            <w:top w:w="0" w:type="dxa"/>
            <w:left w:w="108" w:type="dxa"/>
            <w:bottom w:w="0" w:type="dxa"/>
            <w:right w:w="108" w:type="dxa"/>
          </w:tblCellMar>
        </w:tblPrEx>
        <w:trPr>
          <w:trHeight w:val="624" w:hRule="atLeast"/>
          <w:jc w:val="center"/>
        </w:trPr>
        <w:tc>
          <w:tcPr>
            <w:tcW w:w="793" w:type="pct"/>
            <w:vMerge w:val="continue"/>
            <w:tcBorders>
              <w:top w:val="single" w:color="auto" w:sz="4" w:space="0"/>
              <w:left w:val="single" w:color="auto" w:sz="4" w:space="0"/>
              <w:bottom w:val="single" w:color="auto" w:sz="4" w:space="0"/>
              <w:right w:val="single" w:color="auto" w:sz="4" w:space="0"/>
            </w:tcBorders>
            <w:vAlign w:val="center"/>
          </w:tcPr>
          <w:p w14:paraId="3EB37474">
            <w:pPr>
              <w:spacing w:line="440" w:lineRule="exact"/>
              <w:jc w:val="center"/>
              <w:rPr>
                <w:rFonts w:hint="eastAsia" w:ascii="黑体" w:hAnsi="华文楷体" w:eastAsia="黑体"/>
                <w:color w:val="auto"/>
                <w:kern w:val="0"/>
                <w:sz w:val="24"/>
                <w:highlight w:val="none"/>
              </w:rPr>
            </w:pPr>
          </w:p>
        </w:tc>
        <w:tc>
          <w:tcPr>
            <w:tcW w:w="1266" w:type="pct"/>
            <w:tcBorders>
              <w:top w:val="single" w:color="auto" w:sz="4" w:space="0"/>
              <w:left w:val="nil"/>
              <w:bottom w:val="single" w:color="auto" w:sz="4" w:space="0"/>
              <w:right w:val="single" w:color="auto" w:sz="4" w:space="0"/>
            </w:tcBorders>
            <w:shd w:val="clear" w:color="auto" w:fill="auto"/>
            <w:vAlign w:val="center"/>
          </w:tcPr>
          <w:p w14:paraId="058748C1">
            <w:pPr>
              <w:spacing w:line="440" w:lineRule="exact"/>
              <w:jc w:val="center"/>
              <w:rPr>
                <w:rFonts w:hint="eastAsia" w:ascii="黑体" w:hAnsi="华文楷体" w:eastAsia="黑体"/>
                <w:color w:val="auto"/>
                <w:kern w:val="0"/>
                <w:sz w:val="24"/>
                <w:highlight w:val="none"/>
              </w:rPr>
            </w:pPr>
            <w:r>
              <w:rPr>
                <w:rFonts w:hint="eastAsia" w:ascii="黑体" w:hAnsi="华文楷体" w:eastAsia="黑体"/>
                <w:color w:val="auto"/>
                <w:kern w:val="0"/>
                <w:sz w:val="24"/>
                <w:highlight w:val="none"/>
              </w:rPr>
              <w:t>日常监管</w:t>
            </w:r>
          </w:p>
        </w:tc>
        <w:tc>
          <w:tcPr>
            <w:tcW w:w="1061" w:type="pct"/>
            <w:tcBorders>
              <w:top w:val="single" w:color="auto" w:sz="4" w:space="0"/>
              <w:left w:val="nil"/>
              <w:bottom w:val="single" w:color="auto" w:sz="4" w:space="0"/>
              <w:right w:val="single" w:color="auto" w:sz="4" w:space="0"/>
            </w:tcBorders>
            <w:shd w:val="clear" w:color="auto" w:fill="auto"/>
            <w:vAlign w:val="center"/>
          </w:tcPr>
          <w:p w14:paraId="31FED9F3">
            <w:pPr>
              <w:spacing w:line="440" w:lineRule="exact"/>
              <w:jc w:val="center"/>
              <w:rPr>
                <w:rFonts w:hint="eastAsia" w:ascii="黑体" w:hAnsi="华文楷体" w:eastAsia="黑体"/>
                <w:color w:val="auto"/>
                <w:kern w:val="0"/>
                <w:sz w:val="24"/>
                <w:highlight w:val="none"/>
              </w:rPr>
            </w:pPr>
          </w:p>
        </w:tc>
        <w:tc>
          <w:tcPr>
            <w:tcW w:w="446" w:type="pct"/>
            <w:tcBorders>
              <w:top w:val="single" w:color="auto" w:sz="4" w:space="0"/>
              <w:left w:val="nil"/>
              <w:bottom w:val="single" w:color="auto" w:sz="4" w:space="0"/>
              <w:right w:val="single" w:color="auto" w:sz="4" w:space="0"/>
            </w:tcBorders>
            <w:shd w:val="clear" w:color="auto" w:fill="auto"/>
            <w:noWrap/>
            <w:vAlign w:val="center"/>
          </w:tcPr>
          <w:p w14:paraId="18FBFDD8">
            <w:pPr>
              <w:spacing w:line="440" w:lineRule="exact"/>
              <w:jc w:val="center"/>
              <w:rPr>
                <w:rFonts w:hint="eastAsia" w:ascii="黑体" w:hAnsi="华文楷体" w:eastAsia="黑体"/>
                <w:color w:val="auto"/>
                <w:kern w:val="0"/>
                <w:sz w:val="24"/>
                <w:highlight w:val="none"/>
              </w:rPr>
            </w:pPr>
            <w:r>
              <w:rPr>
                <w:rFonts w:hint="eastAsia" w:ascii="黑体" w:hAnsi="华文楷体" w:eastAsia="黑体"/>
                <w:color w:val="auto"/>
                <w:kern w:val="0"/>
                <w:sz w:val="24"/>
                <w:highlight w:val="none"/>
              </w:rPr>
              <w:t>1</w:t>
            </w:r>
          </w:p>
        </w:tc>
        <w:tc>
          <w:tcPr>
            <w:tcW w:w="648" w:type="pct"/>
            <w:tcBorders>
              <w:top w:val="single" w:color="auto" w:sz="4" w:space="0"/>
              <w:left w:val="nil"/>
              <w:bottom w:val="single" w:color="auto" w:sz="4" w:space="0"/>
              <w:right w:val="single" w:color="auto" w:sz="4" w:space="0"/>
            </w:tcBorders>
            <w:shd w:val="clear" w:color="auto" w:fill="auto"/>
            <w:vAlign w:val="center"/>
          </w:tcPr>
          <w:p w14:paraId="164614A6">
            <w:pPr>
              <w:spacing w:line="440" w:lineRule="exact"/>
              <w:jc w:val="center"/>
              <w:rPr>
                <w:rFonts w:hint="eastAsia" w:ascii="黑体" w:hAnsi="华文楷体" w:eastAsia="黑体"/>
                <w:color w:val="auto"/>
                <w:kern w:val="0"/>
                <w:sz w:val="24"/>
                <w:highlight w:val="none"/>
              </w:rPr>
            </w:pPr>
          </w:p>
        </w:tc>
        <w:tc>
          <w:tcPr>
            <w:tcW w:w="784" w:type="pct"/>
            <w:tcBorders>
              <w:top w:val="single" w:color="auto" w:sz="4" w:space="0"/>
              <w:left w:val="nil"/>
              <w:bottom w:val="single" w:color="auto" w:sz="4" w:space="0"/>
              <w:right w:val="single" w:color="auto" w:sz="4" w:space="0"/>
            </w:tcBorders>
            <w:shd w:val="clear" w:color="auto" w:fill="auto"/>
            <w:noWrap/>
            <w:vAlign w:val="center"/>
          </w:tcPr>
          <w:p w14:paraId="1992DB3B">
            <w:pPr>
              <w:spacing w:line="440" w:lineRule="exact"/>
              <w:jc w:val="center"/>
              <w:rPr>
                <w:rFonts w:hint="eastAsia" w:ascii="黑体" w:hAnsi="华文楷体" w:eastAsia="黑体"/>
                <w:color w:val="auto"/>
                <w:kern w:val="0"/>
                <w:sz w:val="24"/>
                <w:highlight w:val="none"/>
              </w:rPr>
            </w:pPr>
          </w:p>
        </w:tc>
      </w:tr>
      <w:tr w14:paraId="06AE83E9">
        <w:tblPrEx>
          <w:tblCellMar>
            <w:top w:w="0" w:type="dxa"/>
            <w:left w:w="108" w:type="dxa"/>
            <w:bottom w:w="0" w:type="dxa"/>
            <w:right w:w="108" w:type="dxa"/>
          </w:tblCellMar>
        </w:tblPrEx>
        <w:trPr>
          <w:trHeight w:val="624" w:hRule="atLeast"/>
          <w:jc w:val="center"/>
        </w:trPr>
        <w:tc>
          <w:tcPr>
            <w:tcW w:w="793" w:type="pct"/>
            <w:vMerge w:val="continue"/>
            <w:tcBorders>
              <w:top w:val="single" w:color="auto" w:sz="4" w:space="0"/>
              <w:left w:val="single" w:color="auto" w:sz="4" w:space="0"/>
              <w:bottom w:val="single" w:color="auto" w:sz="4" w:space="0"/>
              <w:right w:val="single" w:color="auto" w:sz="4" w:space="0"/>
            </w:tcBorders>
            <w:vAlign w:val="center"/>
          </w:tcPr>
          <w:p w14:paraId="0A4DA7E1">
            <w:pPr>
              <w:spacing w:line="440" w:lineRule="exact"/>
              <w:jc w:val="center"/>
              <w:rPr>
                <w:rFonts w:hint="eastAsia" w:ascii="黑体" w:hAnsi="华文楷体" w:eastAsia="黑体"/>
                <w:color w:val="auto"/>
                <w:kern w:val="0"/>
                <w:sz w:val="24"/>
                <w:highlight w:val="none"/>
              </w:rPr>
            </w:pPr>
          </w:p>
        </w:tc>
        <w:tc>
          <w:tcPr>
            <w:tcW w:w="1266" w:type="pct"/>
            <w:tcBorders>
              <w:top w:val="single" w:color="auto" w:sz="4" w:space="0"/>
              <w:left w:val="nil"/>
              <w:bottom w:val="single" w:color="auto" w:sz="4" w:space="0"/>
              <w:right w:val="single" w:color="auto" w:sz="4" w:space="0"/>
            </w:tcBorders>
            <w:shd w:val="clear" w:color="auto" w:fill="auto"/>
            <w:vAlign w:val="center"/>
          </w:tcPr>
          <w:p w14:paraId="602E1BD5">
            <w:pPr>
              <w:spacing w:line="440" w:lineRule="exact"/>
              <w:jc w:val="center"/>
              <w:rPr>
                <w:rFonts w:hint="eastAsia" w:ascii="黑体" w:hAnsi="华文楷体" w:eastAsia="黑体"/>
                <w:color w:val="auto"/>
                <w:kern w:val="0"/>
                <w:sz w:val="24"/>
                <w:highlight w:val="none"/>
              </w:rPr>
            </w:pPr>
            <w:r>
              <w:rPr>
                <w:rFonts w:hint="eastAsia" w:ascii="黑体" w:hAnsi="华文楷体" w:eastAsia="黑体"/>
                <w:color w:val="auto"/>
                <w:kern w:val="0"/>
                <w:sz w:val="24"/>
                <w:highlight w:val="none"/>
              </w:rPr>
              <w:t>设备管理</w:t>
            </w:r>
          </w:p>
        </w:tc>
        <w:tc>
          <w:tcPr>
            <w:tcW w:w="1061" w:type="pct"/>
            <w:tcBorders>
              <w:top w:val="single" w:color="auto" w:sz="4" w:space="0"/>
              <w:left w:val="nil"/>
              <w:bottom w:val="single" w:color="auto" w:sz="4" w:space="0"/>
              <w:right w:val="single" w:color="auto" w:sz="4" w:space="0"/>
            </w:tcBorders>
            <w:shd w:val="clear" w:color="auto" w:fill="auto"/>
            <w:vAlign w:val="center"/>
          </w:tcPr>
          <w:p w14:paraId="63EEA3F3">
            <w:pPr>
              <w:spacing w:line="440" w:lineRule="exact"/>
              <w:jc w:val="center"/>
              <w:rPr>
                <w:rFonts w:hint="eastAsia" w:ascii="黑体" w:hAnsi="华文楷体" w:eastAsia="黑体"/>
                <w:color w:val="auto"/>
                <w:kern w:val="0"/>
                <w:sz w:val="24"/>
                <w:highlight w:val="none"/>
              </w:rPr>
            </w:pPr>
          </w:p>
        </w:tc>
        <w:tc>
          <w:tcPr>
            <w:tcW w:w="446" w:type="pct"/>
            <w:tcBorders>
              <w:top w:val="single" w:color="auto" w:sz="4" w:space="0"/>
              <w:left w:val="nil"/>
              <w:bottom w:val="single" w:color="auto" w:sz="4" w:space="0"/>
              <w:right w:val="single" w:color="auto" w:sz="4" w:space="0"/>
            </w:tcBorders>
            <w:shd w:val="clear" w:color="auto" w:fill="auto"/>
            <w:noWrap/>
            <w:vAlign w:val="center"/>
          </w:tcPr>
          <w:p w14:paraId="55149EDB">
            <w:pPr>
              <w:spacing w:line="440" w:lineRule="exact"/>
              <w:jc w:val="center"/>
              <w:rPr>
                <w:rFonts w:hint="eastAsia" w:ascii="黑体" w:hAnsi="华文楷体" w:eastAsia="黑体"/>
                <w:color w:val="auto"/>
                <w:kern w:val="0"/>
                <w:sz w:val="24"/>
                <w:highlight w:val="none"/>
              </w:rPr>
            </w:pPr>
            <w:r>
              <w:rPr>
                <w:rFonts w:hint="eastAsia" w:ascii="黑体" w:hAnsi="华文楷体" w:eastAsia="黑体"/>
                <w:color w:val="auto"/>
                <w:kern w:val="0"/>
                <w:sz w:val="24"/>
                <w:highlight w:val="none"/>
              </w:rPr>
              <w:t>1</w:t>
            </w:r>
          </w:p>
        </w:tc>
        <w:tc>
          <w:tcPr>
            <w:tcW w:w="648" w:type="pct"/>
            <w:tcBorders>
              <w:top w:val="single" w:color="auto" w:sz="4" w:space="0"/>
              <w:left w:val="nil"/>
              <w:bottom w:val="single" w:color="auto" w:sz="4" w:space="0"/>
              <w:right w:val="single" w:color="auto" w:sz="4" w:space="0"/>
            </w:tcBorders>
            <w:shd w:val="clear" w:color="auto" w:fill="auto"/>
            <w:vAlign w:val="center"/>
          </w:tcPr>
          <w:p w14:paraId="131F21E3">
            <w:pPr>
              <w:spacing w:line="440" w:lineRule="exact"/>
              <w:jc w:val="center"/>
              <w:rPr>
                <w:rFonts w:hint="eastAsia" w:ascii="黑体" w:hAnsi="华文楷体" w:eastAsia="黑体"/>
                <w:color w:val="auto"/>
                <w:kern w:val="0"/>
                <w:sz w:val="24"/>
                <w:highlight w:val="none"/>
              </w:rPr>
            </w:pPr>
          </w:p>
        </w:tc>
        <w:tc>
          <w:tcPr>
            <w:tcW w:w="784" w:type="pct"/>
            <w:tcBorders>
              <w:top w:val="single" w:color="auto" w:sz="4" w:space="0"/>
              <w:left w:val="nil"/>
              <w:bottom w:val="single" w:color="auto" w:sz="4" w:space="0"/>
              <w:right w:val="single" w:color="auto" w:sz="4" w:space="0"/>
            </w:tcBorders>
            <w:shd w:val="clear" w:color="auto" w:fill="auto"/>
            <w:noWrap/>
            <w:vAlign w:val="center"/>
          </w:tcPr>
          <w:p w14:paraId="2C63AB47">
            <w:pPr>
              <w:spacing w:line="440" w:lineRule="exact"/>
              <w:jc w:val="center"/>
              <w:rPr>
                <w:rFonts w:hint="eastAsia" w:ascii="黑体" w:hAnsi="华文楷体" w:eastAsia="黑体"/>
                <w:color w:val="auto"/>
                <w:kern w:val="0"/>
                <w:sz w:val="24"/>
                <w:highlight w:val="none"/>
              </w:rPr>
            </w:pPr>
          </w:p>
        </w:tc>
      </w:tr>
      <w:tr w14:paraId="5004F370">
        <w:tblPrEx>
          <w:tblCellMar>
            <w:top w:w="0" w:type="dxa"/>
            <w:left w:w="108" w:type="dxa"/>
            <w:bottom w:w="0" w:type="dxa"/>
            <w:right w:w="108" w:type="dxa"/>
          </w:tblCellMar>
        </w:tblPrEx>
        <w:trPr>
          <w:trHeight w:val="624" w:hRule="atLeast"/>
          <w:jc w:val="center"/>
        </w:trPr>
        <w:tc>
          <w:tcPr>
            <w:tcW w:w="7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072F33">
            <w:pPr>
              <w:spacing w:line="440" w:lineRule="exact"/>
              <w:jc w:val="center"/>
              <w:rPr>
                <w:rFonts w:hint="eastAsia" w:ascii="黑体" w:hAnsi="华文楷体" w:eastAsia="黑体"/>
                <w:color w:val="auto"/>
                <w:kern w:val="0"/>
                <w:sz w:val="24"/>
                <w:highlight w:val="none"/>
              </w:rPr>
            </w:pPr>
            <w:r>
              <w:rPr>
                <w:rFonts w:hint="eastAsia" w:ascii="黑体" w:hAnsi="华文楷体" w:eastAsia="黑体"/>
                <w:color w:val="auto"/>
                <w:kern w:val="0"/>
                <w:sz w:val="24"/>
                <w:highlight w:val="none"/>
              </w:rPr>
              <w:t>硬件设备</w:t>
            </w:r>
          </w:p>
        </w:tc>
        <w:tc>
          <w:tcPr>
            <w:tcW w:w="1266" w:type="pct"/>
            <w:tcBorders>
              <w:top w:val="single" w:color="auto" w:sz="4" w:space="0"/>
              <w:left w:val="nil"/>
              <w:bottom w:val="single" w:color="auto" w:sz="4" w:space="0"/>
              <w:right w:val="single" w:color="auto" w:sz="4" w:space="0"/>
            </w:tcBorders>
            <w:shd w:val="clear" w:color="auto" w:fill="auto"/>
            <w:vAlign w:val="center"/>
          </w:tcPr>
          <w:p w14:paraId="5EAAA226">
            <w:pPr>
              <w:spacing w:line="440" w:lineRule="exact"/>
              <w:jc w:val="center"/>
              <w:rPr>
                <w:rFonts w:hint="eastAsia" w:ascii="黑体" w:hAnsi="华文楷体" w:eastAsia="黑体"/>
                <w:color w:val="auto"/>
                <w:kern w:val="0"/>
                <w:sz w:val="24"/>
                <w:highlight w:val="none"/>
              </w:rPr>
            </w:pPr>
            <w:r>
              <w:rPr>
                <w:rFonts w:hint="eastAsia" w:ascii="黑体" w:hAnsi="华文楷体" w:eastAsia="黑体"/>
                <w:color w:val="auto"/>
                <w:kern w:val="0"/>
                <w:sz w:val="24"/>
                <w:highlight w:val="none"/>
              </w:rPr>
              <w:t>综合检查牌</w:t>
            </w:r>
          </w:p>
        </w:tc>
        <w:tc>
          <w:tcPr>
            <w:tcW w:w="1061" w:type="pct"/>
            <w:tcBorders>
              <w:top w:val="single" w:color="auto" w:sz="4" w:space="0"/>
              <w:left w:val="nil"/>
              <w:bottom w:val="single" w:color="auto" w:sz="4" w:space="0"/>
              <w:right w:val="single" w:color="auto" w:sz="4" w:space="0"/>
            </w:tcBorders>
            <w:shd w:val="clear" w:color="auto" w:fill="auto"/>
            <w:vAlign w:val="center"/>
          </w:tcPr>
          <w:p w14:paraId="531B77ED">
            <w:pPr>
              <w:spacing w:line="440" w:lineRule="exact"/>
              <w:jc w:val="center"/>
              <w:rPr>
                <w:rFonts w:hint="eastAsia" w:ascii="黑体" w:hAnsi="华文楷体" w:eastAsia="黑体"/>
                <w:color w:val="auto"/>
                <w:kern w:val="0"/>
                <w:sz w:val="24"/>
                <w:highlight w:val="none"/>
              </w:rPr>
            </w:pPr>
          </w:p>
        </w:tc>
        <w:tc>
          <w:tcPr>
            <w:tcW w:w="446" w:type="pct"/>
            <w:tcBorders>
              <w:top w:val="single" w:color="auto" w:sz="4" w:space="0"/>
              <w:left w:val="nil"/>
              <w:bottom w:val="single" w:color="auto" w:sz="4" w:space="0"/>
              <w:right w:val="single" w:color="auto" w:sz="4" w:space="0"/>
            </w:tcBorders>
            <w:shd w:val="clear" w:color="auto" w:fill="auto"/>
            <w:noWrap/>
            <w:vAlign w:val="center"/>
          </w:tcPr>
          <w:p w14:paraId="5FD49D0E">
            <w:pPr>
              <w:spacing w:line="440" w:lineRule="exact"/>
              <w:jc w:val="center"/>
              <w:rPr>
                <w:rFonts w:hint="eastAsia" w:ascii="黑体" w:hAnsi="华文楷体" w:eastAsia="黑体"/>
                <w:color w:val="auto"/>
                <w:kern w:val="0"/>
                <w:sz w:val="24"/>
                <w:highlight w:val="none"/>
              </w:rPr>
            </w:pPr>
            <w:r>
              <w:rPr>
                <w:rFonts w:hint="eastAsia" w:ascii="黑体" w:hAnsi="华文楷体" w:eastAsia="黑体"/>
                <w:color w:val="auto"/>
                <w:kern w:val="0"/>
                <w:sz w:val="24"/>
                <w:highlight w:val="none"/>
              </w:rPr>
              <w:t>100</w:t>
            </w:r>
          </w:p>
        </w:tc>
        <w:tc>
          <w:tcPr>
            <w:tcW w:w="648" w:type="pct"/>
            <w:tcBorders>
              <w:top w:val="single" w:color="auto" w:sz="4" w:space="0"/>
              <w:left w:val="nil"/>
              <w:bottom w:val="single" w:color="auto" w:sz="4" w:space="0"/>
              <w:right w:val="single" w:color="auto" w:sz="4" w:space="0"/>
            </w:tcBorders>
            <w:shd w:val="clear" w:color="auto" w:fill="auto"/>
            <w:vAlign w:val="center"/>
          </w:tcPr>
          <w:p w14:paraId="7A9A19BE">
            <w:pPr>
              <w:spacing w:line="440" w:lineRule="exact"/>
              <w:jc w:val="center"/>
              <w:rPr>
                <w:rFonts w:hint="eastAsia" w:ascii="黑体" w:hAnsi="华文楷体" w:eastAsia="黑体"/>
                <w:color w:val="auto"/>
                <w:kern w:val="0"/>
                <w:sz w:val="24"/>
                <w:highlight w:val="none"/>
              </w:rPr>
            </w:pPr>
          </w:p>
        </w:tc>
        <w:tc>
          <w:tcPr>
            <w:tcW w:w="784" w:type="pct"/>
            <w:tcBorders>
              <w:top w:val="single" w:color="auto" w:sz="4" w:space="0"/>
              <w:left w:val="nil"/>
              <w:bottom w:val="single" w:color="auto" w:sz="4" w:space="0"/>
              <w:right w:val="single" w:color="auto" w:sz="4" w:space="0"/>
            </w:tcBorders>
            <w:shd w:val="clear" w:color="auto" w:fill="auto"/>
            <w:noWrap/>
            <w:vAlign w:val="center"/>
          </w:tcPr>
          <w:p w14:paraId="04DA914D">
            <w:pPr>
              <w:spacing w:line="440" w:lineRule="exact"/>
              <w:jc w:val="center"/>
              <w:rPr>
                <w:rFonts w:hint="eastAsia" w:ascii="黑体" w:hAnsi="华文楷体" w:eastAsia="黑体"/>
                <w:color w:val="auto"/>
                <w:kern w:val="0"/>
                <w:sz w:val="24"/>
                <w:highlight w:val="none"/>
              </w:rPr>
            </w:pPr>
          </w:p>
        </w:tc>
      </w:tr>
      <w:tr w14:paraId="4289F49D">
        <w:tblPrEx>
          <w:tblCellMar>
            <w:top w:w="0" w:type="dxa"/>
            <w:left w:w="108" w:type="dxa"/>
            <w:bottom w:w="0" w:type="dxa"/>
            <w:right w:w="108" w:type="dxa"/>
          </w:tblCellMar>
        </w:tblPrEx>
        <w:trPr>
          <w:trHeight w:val="624" w:hRule="atLeast"/>
          <w:jc w:val="center"/>
        </w:trPr>
        <w:tc>
          <w:tcPr>
            <w:tcW w:w="793" w:type="pct"/>
            <w:vMerge w:val="continue"/>
            <w:tcBorders>
              <w:top w:val="single" w:color="auto" w:sz="4" w:space="0"/>
              <w:left w:val="single" w:color="auto" w:sz="4" w:space="0"/>
              <w:bottom w:val="single" w:color="auto" w:sz="4" w:space="0"/>
              <w:right w:val="single" w:color="auto" w:sz="4" w:space="0"/>
            </w:tcBorders>
            <w:vAlign w:val="center"/>
          </w:tcPr>
          <w:p w14:paraId="68FBFFEE">
            <w:pPr>
              <w:spacing w:line="440" w:lineRule="exact"/>
              <w:jc w:val="center"/>
              <w:rPr>
                <w:rFonts w:hint="eastAsia" w:ascii="黑体" w:hAnsi="华文楷体" w:eastAsia="黑体"/>
                <w:color w:val="auto"/>
                <w:kern w:val="0"/>
                <w:sz w:val="24"/>
                <w:highlight w:val="none"/>
              </w:rPr>
            </w:pPr>
          </w:p>
        </w:tc>
        <w:tc>
          <w:tcPr>
            <w:tcW w:w="1266" w:type="pct"/>
            <w:tcBorders>
              <w:top w:val="single" w:color="auto" w:sz="4" w:space="0"/>
              <w:left w:val="nil"/>
              <w:bottom w:val="single" w:color="auto" w:sz="4" w:space="0"/>
              <w:right w:val="single" w:color="auto" w:sz="4" w:space="0"/>
            </w:tcBorders>
            <w:shd w:val="clear" w:color="auto" w:fill="auto"/>
            <w:vAlign w:val="center"/>
          </w:tcPr>
          <w:p w14:paraId="26962B0C">
            <w:pPr>
              <w:spacing w:line="440" w:lineRule="exact"/>
              <w:jc w:val="center"/>
              <w:rPr>
                <w:rFonts w:hint="eastAsia" w:ascii="黑体" w:hAnsi="华文楷体" w:eastAsia="黑体"/>
                <w:color w:val="auto"/>
                <w:kern w:val="0"/>
                <w:sz w:val="24"/>
                <w:highlight w:val="none"/>
              </w:rPr>
            </w:pPr>
            <w:r>
              <w:rPr>
                <w:rFonts w:hint="eastAsia" w:ascii="黑体" w:hAnsi="华文楷体" w:eastAsia="黑体"/>
                <w:color w:val="auto"/>
                <w:kern w:val="0"/>
                <w:sz w:val="24"/>
                <w:highlight w:val="none"/>
              </w:rPr>
              <w:t>晨检仪</w:t>
            </w:r>
          </w:p>
        </w:tc>
        <w:tc>
          <w:tcPr>
            <w:tcW w:w="1061" w:type="pct"/>
            <w:tcBorders>
              <w:top w:val="single" w:color="auto" w:sz="4" w:space="0"/>
              <w:left w:val="nil"/>
              <w:bottom w:val="single" w:color="auto" w:sz="4" w:space="0"/>
              <w:right w:val="single" w:color="auto" w:sz="4" w:space="0"/>
            </w:tcBorders>
            <w:shd w:val="clear" w:color="auto" w:fill="auto"/>
            <w:vAlign w:val="center"/>
          </w:tcPr>
          <w:p w14:paraId="69FE402D">
            <w:pPr>
              <w:spacing w:line="440" w:lineRule="exact"/>
              <w:jc w:val="center"/>
              <w:rPr>
                <w:rFonts w:hint="eastAsia" w:ascii="黑体" w:hAnsi="华文楷体" w:eastAsia="黑体"/>
                <w:color w:val="auto"/>
                <w:kern w:val="0"/>
                <w:sz w:val="24"/>
                <w:highlight w:val="none"/>
              </w:rPr>
            </w:pPr>
          </w:p>
        </w:tc>
        <w:tc>
          <w:tcPr>
            <w:tcW w:w="446" w:type="pct"/>
            <w:tcBorders>
              <w:top w:val="single" w:color="auto" w:sz="4" w:space="0"/>
              <w:left w:val="nil"/>
              <w:bottom w:val="single" w:color="auto" w:sz="4" w:space="0"/>
              <w:right w:val="single" w:color="auto" w:sz="4" w:space="0"/>
            </w:tcBorders>
            <w:shd w:val="clear" w:color="auto" w:fill="auto"/>
            <w:noWrap/>
            <w:vAlign w:val="center"/>
          </w:tcPr>
          <w:p w14:paraId="59F0EFDD">
            <w:pPr>
              <w:spacing w:line="440" w:lineRule="exact"/>
              <w:jc w:val="center"/>
              <w:rPr>
                <w:rFonts w:hint="eastAsia" w:ascii="黑体" w:hAnsi="华文楷体" w:eastAsia="黑体"/>
                <w:color w:val="auto"/>
                <w:kern w:val="0"/>
                <w:sz w:val="24"/>
                <w:highlight w:val="none"/>
              </w:rPr>
            </w:pPr>
            <w:r>
              <w:rPr>
                <w:rFonts w:hint="eastAsia" w:ascii="黑体" w:hAnsi="华文楷体" w:eastAsia="黑体"/>
                <w:color w:val="auto"/>
                <w:kern w:val="0"/>
                <w:sz w:val="24"/>
                <w:highlight w:val="none"/>
              </w:rPr>
              <w:t>7</w:t>
            </w:r>
          </w:p>
        </w:tc>
        <w:tc>
          <w:tcPr>
            <w:tcW w:w="648" w:type="pct"/>
            <w:tcBorders>
              <w:top w:val="single" w:color="auto" w:sz="4" w:space="0"/>
              <w:left w:val="nil"/>
              <w:bottom w:val="single" w:color="auto" w:sz="4" w:space="0"/>
              <w:right w:val="single" w:color="auto" w:sz="4" w:space="0"/>
            </w:tcBorders>
            <w:shd w:val="clear" w:color="auto" w:fill="auto"/>
            <w:vAlign w:val="center"/>
          </w:tcPr>
          <w:p w14:paraId="0B2ED23F">
            <w:pPr>
              <w:spacing w:line="440" w:lineRule="exact"/>
              <w:jc w:val="center"/>
              <w:rPr>
                <w:rFonts w:hint="eastAsia" w:ascii="黑体" w:hAnsi="华文楷体" w:eastAsia="黑体"/>
                <w:color w:val="auto"/>
                <w:kern w:val="0"/>
                <w:sz w:val="24"/>
                <w:highlight w:val="none"/>
              </w:rPr>
            </w:pPr>
          </w:p>
        </w:tc>
        <w:tc>
          <w:tcPr>
            <w:tcW w:w="784" w:type="pct"/>
            <w:tcBorders>
              <w:top w:val="single" w:color="auto" w:sz="4" w:space="0"/>
              <w:left w:val="nil"/>
              <w:bottom w:val="single" w:color="auto" w:sz="4" w:space="0"/>
              <w:right w:val="single" w:color="auto" w:sz="4" w:space="0"/>
            </w:tcBorders>
            <w:shd w:val="clear" w:color="auto" w:fill="auto"/>
            <w:noWrap/>
            <w:vAlign w:val="center"/>
          </w:tcPr>
          <w:p w14:paraId="1E447003">
            <w:pPr>
              <w:spacing w:line="440" w:lineRule="exact"/>
              <w:jc w:val="center"/>
              <w:rPr>
                <w:rFonts w:hint="eastAsia" w:ascii="黑体" w:hAnsi="华文楷体" w:eastAsia="黑体"/>
                <w:color w:val="auto"/>
                <w:kern w:val="0"/>
                <w:sz w:val="24"/>
                <w:highlight w:val="none"/>
              </w:rPr>
            </w:pPr>
          </w:p>
        </w:tc>
      </w:tr>
      <w:tr w14:paraId="70CFB4AA">
        <w:tblPrEx>
          <w:tblCellMar>
            <w:top w:w="0" w:type="dxa"/>
            <w:left w:w="108" w:type="dxa"/>
            <w:bottom w:w="0" w:type="dxa"/>
            <w:right w:w="108" w:type="dxa"/>
          </w:tblCellMar>
        </w:tblPrEx>
        <w:trPr>
          <w:trHeight w:val="624" w:hRule="atLeast"/>
          <w:jc w:val="center"/>
        </w:trPr>
        <w:tc>
          <w:tcPr>
            <w:tcW w:w="7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79F67D">
            <w:pPr>
              <w:spacing w:line="440" w:lineRule="exact"/>
              <w:jc w:val="center"/>
              <w:rPr>
                <w:rFonts w:hint="eastAsia" w:ascii="黑体" w:hAnsi="华文楷体" w:eastAsia="黑体"/>
                <w:color w:val="auto"/>
                <w:kern w:val="0"/>
                <w:sz w:val="24"/>
                <w:highlight w:val="none"/>
              </w:rPr>
            </w:pPr>
            <w:r>
              <w:rPr>
                <w:rFonts w:hint="eastAsia" w:ascii="黑体" w:hAnsi="华文楷体" w:eastAsia="黑体"/>
                <w:color w:val="auto"/>
                <w:kern w:val="0"/>
                <w:sz w:val="24"/>
                <w:highlight w:val="none"/>
              </w:rPr>
              <w:t>项目实施</w:t>
            </w:r>
          </w:p>
        </w:tc>
        <w:tc>
          <w:tcPr>
            <w:tcW w:w="1266" w:type="pct"/>
            <w:tcBorders>
              <w:top w:val="single" w:color="auto" w:sz="4" w:space="0"/>
              <w:left w:val="nil"/>
              <w:bottom w:val="single" w:color="auto" w:sz="4" w:space="0"/>
              <w:right w:val="single" w:color="auto" w:sz="4" w:space="0"/>
            </w:tcBorders>
            <w:shd w:val="clear" w:color="auto" w:fill="auto"/>
            <w:vAlign w:val="center"/>
          </w:tcPr>
          <w:p w14:paraId="7EF1EFE0">
            <w:pPr>
              <w:spacing w:line="440" w:lineRule="exact"/>
              <w:jc w:val="center"/>
              <w:rPr>
                <w:rFonts w:hint="eastAsia" w:ascii="黑体" w:hAnsi="华文楷体" w:eastAsia="黑体"/>
                <w:color w:val="auto"/>
                <w:kern w:val="0"/>
                <w:sz w:val="24"/>
                <w:highlight w:val="none"/>
              </w:rPr>
            </w:pPr>
            <w:r>
              <w:rPr>
                <w:rFonts w:hint="eastAsia" w:ascii="黑体" w:hAnsi="华文楷体" w:eastAsia="黑体"/>
                <w:color w:val="auto"/>
                <w:kern w:val="0"/>
                <w:sz w:val="24"/>
                <w:highlight w:val="none"/>
              </w:rPr>
              <w:t>门禁对接</w:t>
            </w:r>
          </w:p>
        </w:tc>
        <w:tc>
          <w:tcPr>
            <w:tcW w:w="1061" w:type="pct"/>
            <w:tcBorders>
              <w:top w:val="single" w:color="auto" w:sz="4" w:space="0"/>
              <w:left w:val="nil"/>
              <w:bottom w:val="single" w:color="auto" w:sz="4" w:space="0"/>
              <w:right w:val="single" w:color="auto" w:sz="4" w:space="0"/>
            </w:tcBorders>
            <w:shd w:val="clear" w:color="auto" w:fill="auto"/>
            <w:vAlign w:val="center"/>
          </w:tcPr>
          <w:p w14:paraId="228C55BE">
            <w:pPr>
              <w:spacing w:line="440" w:lineRule="exact"/>
              <w:jc w:val="center"/>
              <w:rPr>
                <w:rFonts w:hint="eastAsia" w:ascii="黑体" w:hAnsi="华文楷体" w:eastAsia="黑体"/>
                <w:color w:val="auto"/>
                <w:kern w:val="0"/>
                <w:sz w:val="24"/>
                <w:highlight w:val="none"/>
              </w:rPr>
            </w:pPr>
          </w:p>
        </w:tc>
        <w:tc>
          <w:tcPr>
            <w:tcW w:w="446" w:type="pct"/>
            <w:tcBorders>
              <w:top w:val="single" w:color="auto" w:sz="4" w:space="0"/>
              <w:left w:val="nil"/>
              <w:bottom w:val="single" w:color="auto" w:sz="4" w:space="0"/>
              <w:right w:val="single" w:color="auto" w:sz="4" w:space="0"/>
            </w:tcBorders>
            <w:shd w:val="clear" w:color="auto" w:fill="auto"/>
            <w:noWrap/>
            <w:vAlign w:val="center"/>
          </w:tcPr>
          <w:p w14:paraId="7CC22D1E">
            <w:pPr>
              <w:spacing w:line="440" w:lineRule="exact"/>
              <w:jc w:val="center"/>
              <w:rPr>
                <w:rFonts w:hint="eastAsia" w:ascii="黑体" w:hAnsi="华文楷体" w:eastAsia="黑体"/>
                <w:color w:val="auto"/>
                <w:kern w:val="0"/>
                <w:sz w:val="24"/>
                <w:highlight w:val="none"/>
              </w:rPr>
            </w:pPr>
            <w:r>
              <w:rPr>
                <w:rFonts w:hint="eastAsia" w:ascii="黑体" w:hAnsi="华文楷体" w:eastAsia="黑体"/>
                <w:color w:val="auto"/>
                <w:kern w:val="0"/>
                <w:sz w:val="24"/>
                <w:highlight w:val="none"/>
              </w:rPr>
              <w:t>1</w:t>
            </w:r>
          </w:p>
        </w:tc>
        <w:tc>
          <w:tcPr>
            <w:tcW w:w="648" w:type="pct"/>
            <w:tcBorders>
              <w:top w:val="single" w:color="auto" w:sz="4" w:space="0"/>
              <w:left w:val="nil"/>
              <w:bottom w:val="single" w:color="auto" w:sz="4" w:space="0"/>
              <w:right w:val="single" w:color="auto" w:sz="4" w:space="0"/>
            </w:tcBorders>
            <w:shd w:val="clear" w:color="auto" w:fill="auto"/>
            <w:vAlign w:val="center"/>
          </w:tcPr>
          <w:p w14:paraId="4049C299">
            <w:pPr>
              <w:spacing w:line="440" w:lineRule="exact"/>
              <w:jc w:val="center"/>
              <w:rPr>
                <w:rFonts w:hint="eastAsia" w:ascii="黑体" w:hAnsi="华文楷体" w:eastAsia="黑体"/>
                <w:color w:val="auto"/>
                <w:kern w:val="0"/>
                <w:sz w:val="24"/>
                <w:highlight w:val="none"/>
              </w:rPr>
            </w:pPr>
          </w:p>
        </w:tc>
        <w:tc>
          <w:tcPr>
            <w:tcW w:w="784" w:type="pct"/>
            <w:tcBorders>
              <w:top w:val="single" w:color="auto" w:sz="4" w:space="0"/>
              <w:left w:val="nil"/>
              <w:bottom w:val="single" w:color="auto" w:sz="4" w:space="0"/>
              <w:right w:val="single" w:color="auto" w:sz="4" w:space="0"/>
            </w:tcBorders>
            <w:shd w:val="clear" w:color="auto" w:fill="auto"/>
            <w:noWrap/>
            <w:vAlign w:val="center"/>
          </w:tcPr>
          <w:p w14:paraId="68BB343B">
            <w:pPr>
              <w:spacing w:line="440" w:lineRule="exact"/>
              <w:jc w:val="center"/>
              <w:rPr>
                <w:rFonts w:hint="eastAsia" w:ascii="黑体" w:hAnsi="华文楷体" w:eastAsia="黑体"/>
                <w:color w:val="auto"/>
                <w:kern w:val="0"/>
                <w:sz w:val="24"/>
                <w:highlight w:val="none"/>
              </w:rPr>
            </w:pPr>
          </w:p>
        </w:tc>
      </w:tr>
      <w:tr w14:paraId="2CB7275B">
        <w:tblPrEx>
          <w:tblCellMar>
            <w:top w:w="0" w:type="dxa"/>
            <w:left w:w="108" w:type="dxa"/>
            <w:bottom w:w="0" w:type="dxa"/>
            <w:right w:w="108" w:type="dxa"/>
          </w:tblCellMar>
        </w:tblPrEx>
        <w:trPr>
          <w:trHeight w:val="624" w:hRule="atLeast"/>
          <w:jc w:val="center"/>
        </w:trPr>
        <w:tc>
          <w:tcPr>
            <w:tcW w:w="793" w:type="pct"/>
            <w:vMerge w:val="continue"/>
            <w:tcBorders>
              <w:top w:val="single" w:color="auto" w:sz="4" w:space="0"/>
              <w:left w:val="single" w:color="auto" w:sz="4" w:space="0"/>
              <w:bottom w:val="single" w:color="auto" w:sz="4" w:space="0"/>
              <w:right w:val="single" w:color="auto" w:sz="4" w:space="0"/>
            </w:tcBorders>
            <w:vAlign w:val="center"/>
          </w:tcPr>
          <w:p w14:paraId="6B52D9E9">
            <w:pPr>
              <w:spacing w:line="440" w:lineRule="exact"/>
              <w:jc w:val="center"/>
              <w:rPr>
                <w:rFonts w:hint="eastAsia" w:ascii="黑体" w:hAnsi="华文楷体" w:eastAsia="黑体"/>
                <w:color w:val="auto"/>
                <w:kern w:val="0"/>
                <w:sz w:val="24"/>
                <w:highlight w:val="none"/>
              </w:rPr>
            </w:pPr>
          </w:p>
        </w:tc>
        <w:tc>
          <w:tcPr>
            <w:tcW w:w="1266" w:type="pct"/>
            <w:tcBorders>
              <w:top w:val="single" w:color="auto" w:sz="4" w:space="0"/>
              <w:left w:val="nil"/>
              <w:bottom w:val="single" w:color="auto" w:sz="4" w:space="0"/>
              <w:right w:val="single" w:color="auto" w:sz="4" w:space="0"/>
            </w:tcBorders>
            <w:shd w:val="clear" w:color="auto" w:fill="auto"/>
            <w:vAlign w:val="center"/>
          </w:tcPr>
          <w:p w14:paraId="647EBF18">
            <w:pPr>
              <w:spacing w:line="440" w:lineRule="exact"/>
              <w:jc w:val="center"/>
              <w:rPr>
                <w:rFonts w:hint="eastAsia" w:ascii="黑体" w:hAnsi="华文楷体" w:eastAsia="黑体"/>
                <w:color w:val="auto"/>
                <w:kern w:val="0"/>
                <w:sz w:val="24"/>
                <w:highlight w:val="none"/>
              </w:rPr>
            </w:pPr>
            <w:r>
              <w:rPr>
                <w:rFonts w:hint="eastAsia" w:ascii="黑体" w:hAnsi="华文楷体" w:eastAsia="黑体"/>
                <w:color w:val="auto"/>
                <w:kern w:val="0"/>
                <w:sz w:val="24"/>
                <w:highlight w:val="none"/>
              </w:rPr>
              <w:t>设备安装、系统联调</w:t>
            </w:r>
          </w:p>
        </w:tc>
        <w:tc>
          <w:tcPr>
            <w:tcW w:w="1061" w:type="pct"/>
            <w:tcBorders>
              <w:top w:val="single" w:color="auto" w:sz="4" w:space="0"/>
              <w:left w:val="nil"/>
              <w:bottom w:val="single" w:color="auto" w:sz="4" w:space="0"/>
              <w:right w:val="single" w:color="auto" w:sz="4" w:space="0"/>
            </w:tcBorders>
            <w:shd w:val="clear" w:color="auto" w:fill="auto"/>
            <w:vAlign w:val="center"/>
          </w:tcPr>
          <w:p w14:paraId="6D75FADF">
            <w:pPr>
              <w:spacing w:line="440" w:lineRule="exact"/>
              <w:jc w:val="center"/>
              <w:rPr>
                <w:rFonts w:hint="eastAsia" w:ascii="黑体" w:hAnsi="华文楷体" w:eastAsia="黑体"/>
                <w:color w:val="auto"/>
                <w:kern w:val="0"/>
                <w:sz w:val="24"/>
                <w:highlight w:val="none"/>
              </w:rPr>
            </w:pPr>
          </w:p>
        </w:tc>
        <w:tc>
          <w:tcPr>
            <w:tcW w:w="446" w:type="pct"/>
            <w:tcBorders>
              <w:top w:val="single" w:color="auto" w:sz="4" w:space="0"/>
              <w:left w:val="nil"/>
              <w:bottom w:val="single" w:color="auto" w:sz="4" w:space="0"/>
              <w:right w:val="single" w:color="auto" w:sz="4" w:space="0"/>
            </w:tcBorders>
            <w:shd w:val="clear" w:color="auto" w:fill="auto"/>
            <w:noWrap/>
            <w:vAlign w:val="center"/>
          </w:tcPr>
          <w:p w14:paraId="62262037">
            <w:pPr>
              <w:spacing w:line="440" w:lineRule="exact"/>
              <w:jc w:val="center"/>
              <w:rPr>
                <w:rFonts w:hint="eastAsia" w:ascii="黑体" w:hAnsi="华文楷体" w:eastAsia="黑体"/>
                <w:color w:val="auto"/>
                <w:kern w:val="0"/>
                <w:sz w:val="24"/>
                <w:highlight w:val="none"/>
              </w:rPr>
            </w:pPr>
            <w:r>
              <w:rPr>
                <w:rFonts w:hint="eastAsia" w:ascii="黑体" w:hAnsi="华文楷体" w:eastAsia="黑体"/>
                <w:color w:val="auto"/>
                <w:kern w:val="0"/>
                <w:sz w:val="24"/>
                <w:highlight w:val="none"/>
              </w:rPr>
              <w:t>1</w:t>
            </w:r>
          </w:p>
        </w:tc>
        <w:tc>
          <w:tcPr>
            <w:tcW w:w="648" w:type="pct"/>
            <w:tcBorders>
              <w:top w:val="single" w:color="auto" w:sz="4" w:space="0"/>
              <w:left w:val="nil"/>
              <w:bottom w:val="single" w:color="auto" w:sz="4" w:space="0"/>
              <w:right w:val="single" w:color="auto" w:sz="4" w:space="0"/>
            </w:tcBorders>
            <w:shd w:val="clear" w:color="auto" w:fill="auto"/>
            <w:vAlign w:val="center"/>
          </w:tcPr>
          <w:p w14:paraId="6BAECAB3">
            <w:pPr>
              <w:spacing w:line="440" w:lineRule="exact"/>
              <w:jc w:val="center"/>
              <w:rPr>
                <w:rFonts w:hint="eastAsia" w:ascii="黑体" w:hAnsi="华文楷体" w:eastAsia="黑体"/>
                <w:color w:val="auto"/>
                <w:kern w:val="0"/>
                <w:sz w:val="24"/>
                <w:highlight w:val="none"/>
              </w:rPr>
            </w:pPr>
          </w:p>
        </w:tc>
        <w:tc>
          <w:tcPr>
            <w:tcW w:w="784" w:type="pct"/>
            <w:tcBorders>
              <w:top w:val="single" w:color="auto" w:sz="4" w:space="0"/>
              <w:left w:val="nil"/>
              <w:bottom w:val="single" w:color="auto" w:sz="4" w:space="0"/>
              <w:right w:val="single" w:color="auto" w:sz="4" w:space="0"/>
            </w:tcBorders>
            <w:shd w:val="clear" w:color="auto" w:fill="auto"/>
            <w:noWrap/>
            <w:vAlign w:val="center"/>
          </w:tcPr>
          <w:p w14:paraId="2BA3245F">
            <w:pPr>
              <w:spacing w:line="440" w:lineRule="exact"/>
              <w:jc w:val="center"/>
              <w:rPr>
                <w:rFonts w:hint="eastAsia" w:ascii="黑体" w:hAnsi="华文楷体" w:eastAsia="黑体"/>
                <w:color w:val="auto"/>
                <w:kern w:val="0"/>
                <w:sz w:val="24"/>
                <w:highlight w:val="none"/>
              </w:rPr>
            </w:pPr>
          </w:p>
        </w:tc>
      </w:tr>
      <w:tr w14:paraId="3306716A">
        <w:tblPrEx>
          <w:tblCellMar>
            <w:top w:w="0" w:type="dxa"/>
            <w:left w:w="108" w:type="dxa"/>
            <w:bottom w:w="0" w:type="dxa"/>
            <w:right w:w="108" w:type="dxa"/>
          </w:tblCellMar>
        </w:tblPrEx>
        <w:trPr>
          <w:trHeight w:val="624" w:hRule="atLeast"/>
          <w:jc w:val="center"/>
        </w:trPr>
        <w:tc>
          <w:tcPr>
            <w:tcW w:w="4215"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C0EB3E9">
            <w:pPr>
              <w:spacing w:line="440" w:lineRule="exact"/>
              <w:jc w:val="center"/>
              <w:rPr>
                <w:rFonts w:hint="eastAsia" w:ascii="黑体" w:hAnsi="华文楷体" w:eastAsia="黑体"/>
                <w:color w:val="auto"/>
                <w:kern w:val="0"/>
                <w:sz w:val="24"/>
                <w:highlight w:val="none"/>
              </w:rPr>
            </w:pPr>
            <w:r>
              <w:rPr>
                <w:rFonts w:hint="eastAsia" w:ascii="黑体" w:hAnsi="华文楷体" w:eastAsia="黑体"/>
                <w:color w:val="auto"/>
                <w:kern w:val="0"/>
                <w:sz w:val="24"/>
                <w:highlight w:val="none"/>
              </w:rPr>
              <w:t xml:space="preserve"> 合计金额 </w:t>
            </w:r>
          </w:p>
        </w:tc>
        <w:tc>
          <w:tcPr>
            <w:tcW w:w="784" w:type="pct"/>
            <w:tcBorders>
              <w:top w:val="single" w:color="auto" w:sz="4" w:space="0"/>
              <w:left w:val="nil"/>
              <w:bottom w:val="single" w:color="auto" w:sz="4" w:space="0"/>
              <w:right w:val="single" w:color="auto" w:sz="4" w:space="0"/>
            </w:tcBorders>
            <w:shd w:val="clear" w:color="auto" w:fill="auto"/>
            <w:noWrap/>
            <w:vAlign w:val="center"/>
          </w:tcPr>
          <w:p w14:paraId="6B18D73F">
            <w:pPr>
              <w:spacing w:line="440" w:lineRule="exact"/>
              <w:jc w:val="center"/>
              <w:rPr>
                <w:rFonts w:hint="eastAsia" w:ascii="黑体" w:hAnsi="华文楷体" w:eastAsia="黑体"/>
                <w:color w:val="auto"/>
                <w:kern w:val="0"/>
                <w:sz w:val="24"/>
                <w:highlight w:val="none"/>
              </w:rPr>
            </w:pPr>
          </w:p>
        </w:tc>
      </w:tr>
    </w:tbl>
    <w:p w14:paraId="5E23D6EF">
      <w:pPr>
        <w:pStyle w:val="13"/>
        <w:ind w:left="0" w:leftChars="0" w:firstLine="0" w:firstLineChars="0"/>
        <w:rPr>
          <w:rFonts w:hint="eastAsia"/>
          <w:color w:val="auto"/>
          <w:highlight w:val="none"/>
        </w:rPr>
      </w:pPr>
    </w:p>
    <w:p w14:paraId="296AA70E">
      <w:pPr>
        <w:spacing w:line="440" w:lineRule="exact"/>
        <w:rPr>
          <w:rFonts w:ascii="黑体" w:hAnsi="华文楷体" w:eastAsia="黑体"/>
          <w:color w:val="auto"/>
          <w:sz w:val="24"/>
          <w:highlight w:val="none"/>
        </w:rPr>
      </w:pPr>
      <w:r>
        <w:rPr>
          <w:rFonts w:hint="eastAsia" w:ascii="黑体" w:hAnsi="华文楷体" w:eastAsia="黑体"/>
          <w:color w:val="auto"/>
          <w:sz w:val="24"/>
          <w:highlight w:val="none"/>
        </w:rPr>
        <w:t>公司名称（盖章）：          委托代理人（签字）：        报价日期：      年    月   日</w:t>
      </w:r>
    </w:p>
    <w:p w14:paraId="345567A0">
      <w:pPr>
        <w:rPr>
          <w:rFonts w:hint="eastAsia" w:ascii="黑体" w:hAnsi="华文楷体" w:eastAsia="黑体"/>
          <w:color w:val="auto"/>
          <w:szCs w:val="21"/>
          <w:highlight w:val="none"/>
        </w:rPr>
      </w:pPr>
    </w:p>
    <w:p w14:paraId="24F3C11F">
      <w:pPr>
        <w:rPr>
          <w:rFonts w:ascii="黑体" w:hAnsi="华文楷体" w:eastAsia="黑体"/>
          <w:color w:val="auto"/>
          <w:szCs w:val="21"/>
          <w:highlight w:val="none"/>
        </w:rPr>
      </w:pPr>
      <w:r>
        <w:rPr>
          <w:rFonts w:hint="eastAsia" w:ascii="黑体" w:hAnsi="华文楷体" w:eastAsia="黑体"/>
          <w:color w:val="auto"/>
          <w:szCs w:val="21"/>
          <w:highlight w:val="none"/>
        </w:rPr>
        <w:t>报价说明：1、报价公司提供的上述产品，应完全满足或者优于我校提出的需求。</w:t>
      </w:r>
    </w:p>
    <w:p w14:paraId="6C546935">
      <w:pPr>
        <w:rPr>
          <w:rFonts w:ascii="黑体" w:hAnsi="华文楷体" w:eastAsia="黑体"/>
          <w:color w:val="auto"/>
          <w:szCs w:val="21"/>
          <w:highlight w:val="none"/>
        </w:rPr>
      </w:pPr>
      <w:r>
        <w:rPr>
          <w:rFonts w:hint="eastAsia" w:ascii="黑体" w:hAnsi="华文楷体" w:eastAsia="黑体"/>
          <w:color w:val="auto"/>
          <w:szCs w:val="21"/>
          <w:highlight w:val="none"/>
        </w:rPr>
        <w:t xml:space="preserve">          2、如属非标配产品，其技术指标（特别是优于我校需求的部分）请另行附页说明。</w:t>
      </w:r>
    </w:p>
    <w:p w14:paraId="360E75B8">
      <w:pPr>
        <w:rPr>
          <w:rFonts w:ascii="黑体" w:hAnsi="华文楷体" w:eastAsia="黑体"/>
          <w:color w:val="auto"/>
          <w:szCs w:val="21"/>
          <w:highlight w:val="none"/>
        </w:rPr>
      </w:pPr>
      <w:r>
        <w:rPr>
          <w:rFonts w:hint="eastAsia" w:ascii="黑体" w:hAnsi="华文楷体" w:eastAsia="黑体"/>
          <w:color w:val="auto"/>
          <w:szCs w:val="21"/>
          <w:highlight w:val="none"/>
        </w:rPr>
        <w:t xml:space="preserve">          3、特殊的售后服务措施、代理证明情况等需要说明的，请另行附页说明。</w:t>
      </w:r>
    </w:p>
    <w:p w14:paraId="4A21681F">
      <w:pPr>
        <w:rPr>
          <w:rFonts w:hint="eastAsia" w:ascii="黑体" w:hAnsi="华文楷体" w:eastAsia="黑体"/>
          <w:color w:val="auto"/>
          <w:szCs w:val="21"/>
          <w:highlight w:val="none"/>
        </w:rPr>
      </w:pPr>
      <w:r>
        <w:rPr>
          <w:rFonts w:hint="eastAsia" w:ascii="黑体" w:hAnsi="华文楷体" w:eastAsia="黑体"/>
          <w:color w:val="auto"/>
          <w:szCs w:val="21"/>
          <w:highlight w:val="none"/>
        </w:rPr>
        <w:t xml:space="preserve">          4、报价单附页（如有）共</w:t>
      </w:r>
      <w:r>
        <w:rPr>
          <w:rFonts w:hint="eastAsia" w:ascii="黑体" w:hAnsi="华文楷体" w:eastAsia="黑体"/>
          <w:color w:val="auto"/>
          <w:szCs w:val="21"/>
          <w:highlight w:val="none"/>
          <w:u w:val="single"/>
        </w:rPr>
        <w:t xml:space="preserve">      </w:t>
      </w:r>
      <w:r>
        <w:rPr>
          <w:rFonts w:hint="eastAsia" w:ascii="黑体" w:hAnsi="华文楷体" w:eastAsia="黑体"/>
          <w:color w:val="auto"/>
          <w:szCs w:val="21"/>
          <w:highlight w:val="none"/>
        </w:rPr>
        <w:t>页。</w:t>
      </w:r>
    </w:p>
    <w:p w14:paraId="4403A77C">
      <w:pPr>
        <w:rPr>
          <w:rFonts w:hint="eastAsia" w:ascii="仿宋" w:hAnsi="仿宋" w:eastAsia="仿宋"/>
          <w:b/>
          <w:bCs/>
          <w:color w:val="auto"/>
          <w:kern w:val="0"/>
          <w:sz w:val="36"/>
          <w:szCs w:val="36"/>
          <w:highlight w:val="none"/>
          <w:lang w:val="en-US" w:eastAsia="zh-CN"/>
        </w:rPr>
      </w:pPr>
      <w:r>
        <w:rPr>
          <w:rFonts w:hint="eastAsia" w:ascii="仿宋" w:hAnsi="仿宋" w:eastAsia="仿宋"/>
          <w:b/>
          <w:bCs/>
          <w:color w:val="auto"/>
          <w:kern w:val="0"/>
          <w:sz w:val="36"/>
          <w:szCs w:val="36"/>
          <w:highlight w:val="none"/>
          <w:lang w:val="en-US" w:eastAsia="zh-CN"/>
        </w:rPr>
        <w:br w:type="page"/>
      </w:r>
    </w:p>
    <w:p w14:paraId="0D7FB27B">
      <w:pPr>
        <w:spacing w:after="120" w:afterLines="50" w:line="240" w:lineRule="auto"/>
        <w:ind w:left="0" w:leftChars="0" w:firstLine="0" w:firstLineChars="0"/>
        <w:jc w:val="center"/>
        <w:rPr>
          <w:rFonts w:ascii="仿宋" w:hAnsi="仿宋" w:eastAsia="仿宋"/>
          <w:b/>
          <w:bCs/>
          <w:color w:val="auto"/>
          <w:kern w:val="0"/>
          <w:sz w:val="36"/>
          <w:szCs w:val="36"/>
          <w:highlight w:val="none"/>
        </w:rPr>
      </w:pPr>
      <w:r>
        <w:rPr>
          <w:rFonts w:hint="eastAsia" w:ascii="仿宋" w:hAnsi="仿宋" w:eastAsia="仿宋"/>
          <w:b/>
          <w:bCs/>
          <w:color w:val="auto"/>
          <w:kern w:val="0"/>
          <w:sz w:val="36"/>
          <w:szCs w:val="36"/>
          <w:highlight w:val="none"/>
          <w:lang w:val="en-US" w:eastAsia="zh-CN"/>
        </w:rPr>
        <w:t>报价</w:t>
      </w:r>
      <w:r>
        <w:rPr>
          <w:rFonts w:hint="eastAsia" w:ascii="仿宋" w:hAnsi="仿宋" w:eastAsia="仿宋"/>
          <w:b/>
          <w:bCs/>
          <w:color w:val="auto"/>
          <w:kern w:val="0"/>
          <w:sz w:val="36"/>
          <w:szCs w:val="36"/>
          <w:highlight w:val="none"/>
        </w:rPr>
        <w:t>承诺函</w:t>
      </w:r>
    </w:p>
    <w:p w14:paraId="154139ED">
      <w:pPr>
        <w:spacing w:after="120" w:afterLines="50" w:line="240" w:lineRule="auto"/>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rPr>
        <w:t>致：</w:t>
      </w:r>
      <w:r>
        <w:rPr>
          <w:rFonts w:hint="eastAsia" w:ascii="仿宋" w:hAnsi="仿宋" w:eastAsia="仿宋" w:cs="宋体"/>
          <w:color w:val="auto"/>
          <w:sz w:val="24"/>
          <w:szCs w:val="24"/>
          <w:highlight w:val="none"/>
          <w:lang w:val="en-US" w:eastAsia="zh-CN"/>
        </w:rPr>
        <w:t>上海海事大学</w:t>
      </w:r>
    </w:p>
    <w:p w14:paraId="37C42137">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我</w:t>
      </w:r>
      <w:r>
        <w:rPr>
          <w:rFonts w:ascii="仿宋" w:hAnsi="仿宋" w:eastAsia="仿宋" w:cs="宋体"/>
          <w:color w:val="auto"/>
          <w:sz w:val="24"/>
          <w:szCs w:val="24"/>
          <w:highlight w:val="none"/>
          <w:lang w:val="zh-CN"/>
        </w:rPr>
        <w:t>公司在参加本次</w:t>
      </w:r>
      <w:r>
        <w:rPr>
          <w:rFonts w:hint="eastAsia" w:ascii="仿宋" w:hAnsi="仿宋" w:eastAsia="仿宋" w:cs="宋体"/>
          <w:color w:val="auto"/>
          <w:sz w:val="24"/>
          <w:szCs w:val="24"/>
          <w:highlight w:val="none"/>
          <w:lang w:val="en-US" w:eastAsia="zh-CN"/>
        </w:rPr>
        <w:t>比选采购</w:t>
      </w:r>
      <w:r>
        <w:rPr>
          <w:rFonts w:ascii="仿宋" w:hAnsi="仿宋" w:eastAsia="仿宋" w:cs="宋体"/>
          <w:color w:val="auto"/>
          <w:sz w:val="24"/>
          <w:szCs w:val="24"/>
          <w:highlight w:val="none"/>
          <w:lang w:val="zh-CN"/>
        </w:rPr>
        <w:t>活动中，</w:t>
      </w:r>
      <w:r>
        <w:rPr>
          <w:rFonts w:hint="eastAsia" w:ascii="仿宋" w:hAnsi="仿宋" w:eastAsia="仿宋" w:cs="宋体"/>
          <w:color w:val="auto"/>
          <w:sz w:val="24"/>
          <w:szCs w:val="24"/>
          <w:highlight w:val="none"/>
          <w:lang w:val="zh-CN"/>
        </w:rPr>
        <w:t>作如下</w:t>
      </w:r>
      <w:r>
        <w:rPr>
          <w:rFonts w:ascii="仿宋" w:hAnsi="仿宋" w:eastAsia="仿宋" w:cs="宋体"/>
          <w:color w:val="auto"/>
          <w:sz w:val="24"/>
          <w:szCs w:val="24"/>
          <w:highlight w:val="none"/>
          <w:lang w:val="zh-CN"/>
        </w:rPr>
        <w:t>承诺：</w:t>
      </w:r>
    </w:p>
    <w:p w14:paraId="46C0BB39">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eastAsia="zh-CN"/>
        </w:rPr>
        <w:t>一、</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具备独立法人资格，能够独立承担民事责任。</w:t>
      </w:r>
    </w:p>
    <w:p w14:paraId="50EE2300">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财务状况良好，具备履行合同所需资金实力。</w:t>
      </w:r>
    </w:p>
    <w:p w14:paraId="3F8FCAE5">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拥有履行项目所需的专业技术人员和先进的生产设备。</w:t>
      </w:r>
    </w:p>
    <w:p w14:paraId="45943AA8">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四、我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依法纳税，并按时缴纳社会保险费。</w:t>
      </w:r>
    </w:p>
    <w:p w14:paraId="0F0C6E90">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五、我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在最近三年内无任何违法违规行为，信誉良好。</w:t>
      </w:r>
    </w:p>
    <w:p w14:paraId="3EF4200C">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六、我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完全符合政府采购法及其他相关法律法规的规定。</w:t>
      </w:r>
    </w:p>
    <w:p w14:paraId="072F3ABB">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七</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eastAsia="zh-CN"/>
        </w:rPr>
        <w:t>公司提供的相关文件均真实、有效。</w:t>
      </w:r>
    </w:p>
    <w:p w14:paraId="1E86BCEA">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八、我</w:t>
      </w:r>
      <w:r>
        <w:rPr>
          <w:rFonts w:hint="eastAsia" w:ascii="仿宋" w:hAnsi="仿宋" w:eastAsia="仿宋" w:cs="宋体"/>
          <w:color w:val="auto"/>
          <w:sz w:val="24"/>
          <w:szCs w:val="24"/>
          <w:highlight w:val="none"/>
          <w:lang w:val="zh-CN" w:eastAsia="zh-CN"/>
        </w:rPr>
        <w:t>公司未挂靠、借用资质进行投标等违法违规行为。</w:t>
      </w:r>
    </w:p>
    <w:p w14:paraId="1961C25F">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九、</w:t>
      </w:r>
      <w:r>
        <w:rPr>
          <w:rFonts w:hint="eastAsia" w:ascii="仿宋" w:hAnsi="仿宋" w:eastAsia="仿宋" w:cs="宋体"/>
          <w:color w:val="auto"/>
          <w:sz w:val="24"/>
          <w:szCs w:val="24"/>
          <w:highlight w:val="none"/>
          <w:lang w:val="zh-CN" w:eastAsia="zh-CN"/>
        </w:rPr>
        <w:t>我公司承诺在参加本</w:t>
      </w:r>
      <w:r>
        <w:rPr>
          <w:rFonts w:hint="eastAsia" w:ascii="仿宋" w:hAnsi="仿宋" w:eastAsia="仿宋" w:cs="宋体"/>
          <w:color w:val="auto"/>
          <w:sz w:val="24"/>
          <w:szCs w:val="24"/>
          <w:highlight w:val="none"/>
          <w:lang w:val="en-US" w:eastAsia="zh-CN"/>
        </w:rPr>
        <w:t>次</w:t>
      </w:r>
      <w:r>
        <w:rPr>
          <w:rFonts w:hint="eastAsia" w:ascii="仿宋" w:hAnsi="仿宋" w:eastAsia="仿宋" w:cs="宋体"/>
          <w:color w:val="auto"/>
          <w:sz w:val="24"/>
          <w:szCs w:val="24"/>
          <w:highlight w:val="none"/>
          <w:lang w:val="zh-CN" w:eastAsia="zh-CN"/>
        </w:rPr>
        <w:t>采购活动中，</w:t>
      </w:r>
      <w:r>
        <w:rPr>
          <w:rFonts w:hint="eastAsia" w:ascii="仿宋" w:hAnsi="仿宋" w:eastAsia="仿宋" w:cs="宋体"/>
          <w:color w:val="auto"/>
          <w:sz w:val="24"/>
          <w:szCs w:val="24"/>
          <w:highlight w:val="none"/>
          <w:lang w:val="en-US" w:eastAsia="zh-CN"/>
        </w:rPr>
        <w:t>不存在串标围标行为</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不存在</w:t>
      </w:r>
      <w:r>
        <w:rPr>
          <w:rFonts w:hint="eastAsia" w:ascii="仿宋" w:hAnsi="仿宋" w:eastAsia="仿宋" w:cs="宋体"/>
          <w:color w:val="auto"/>
          <w:sz w:val="24"/>
          <w:szCs w:val="24"/>
          <w:highlight w:val="none"/>
          <w:lang w:val="zh-CN" w:eastAsia="zh-CN"/>
        </w:rPr>
        <w:t>损害</w:t>
      </w:r>
      <w:r>
        <w:rPr>
          <w:rFonts w:hint="eastAsia" w:ascii="仿宋" w:hAnsi="仿宋" w:eastAsia="仿宋" w:cs="宋体"/>
          <w:color w:val="auto"/>
          <w:sz w:val="24"/>
          <w:szCs w:val="24"/>
          <w:highlight w:val="none"/>
          <w:lang w:val="en-US" w:eastAsia="zh-CN"/>
        </w:rPr>
        <w:t>校方</w:t>
      </w:r>
      <w:r>
        <w:rPr>
          <w:rFonts w:hint="eastAsia" w:ascii="仿宋" w:hAnsi="仿宋" w:eastAsia="仿宋" w:cs="宋体"/>
          <w:color w:val="auto"/>
          <w:sz w:val="24"/>
          <w:szCs w:val="24"/>
          <w:highlight w:val="none"/>
          <w:lang w:val="zh-CN" w:eastAsia="zh-CN"/>
        </w:rPr>
        <w:t>或者其他</w:t>
      </w:r>
      <w:r>
        <w:rPr>
          <w:rFonts w:hint="eastAsia" w:ascii="仿宋" w:hAnsi="仿宋" w:eastAsia="仿宋" w:cs="宋体"/>
          <w:color w:val="auto"/>
          <w:sz w:val="24"/>
          <w:szCs w:val="24"/>
          <w:highlight w:val="none"/>
          <w:lang w:val="en-US" w:eastAsia="zh-CN"/>
        </w:rPr>
        <w:t>报价单位</w:t>
      </w:r>
      <w:r>
        <w:rPr>
          <w:rFonts w:hint="eastAsia" w:ascii="仿宋" w:hAnsi="仿宋" w:eastAsia="仿宋" w:cs="宋体"/>
          <w:color w:val="auto"/>
          <w:sz w:val="24"/>
          <w:szCs w:val="24"/>
          <w:highlight w:val="none"/>
          <w:lang w:val="zh-CN" w:eastAsia="zh-CN"/>
        </w:rPr>
        <w:t>利益的行为。</w:t>
      </w:r>
    </w:p>
    <w:p w14:paraId="1B3C8AA7">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十、</w:t>
      </w:r>
      <w:r>
        <w:rPr>
          <w:rFonts w:hint="eastAsia" w:ascii="仿宋" w:hAnsi="仿宋" w:eastAsia="仿宋" w:cs="宋体"/>
          <w:color w:val="auto"/>
          <w:sz w:val="24"/>
          <w:szCs w:val="24"/>
          <w:highlight w:val="none"/>
          <w:lang w:val="zh-CN" w:eastAsia="zh-CN"/>
        </w:rPr>
        <w:t>我</w:t>
      </w:r>
      <w:r>
        <w:rPr>
          <w:rFonts w:hint="eastAsia" w:ascii="仿宋" w:hAnsi="仿宋" w:eastAsia="仿宋" w:cs="宋体"/>
          <w:color w:val="auto"/>
          <w:sz w:val="24"/>
          <w:szCs w:val="24"/>
          <w:highlight w:val="none"/>
          <w:lang w:val="en-US" w:eastAsia="zh-CN"/>
        </w:rPr>
        <w:t>公司管理层中</w:t>
      </w:r>
      <w:r>
        <w:rPr>
          <w:rFonts w:hint="eastAsia" w:ascii="仿宋" w:hAnsi="仿宋" w:eastAsia="仿宋" w:cs="宋体"/>
          <w:color w:val="auto"/>
          <w:sz w:val="24"/>
          <w:szCs w:val="24"/>
          <w:highlight w:val="none"/>
          <w:lang w:val="zh-CN" w:eastAsia="zh-CN"/>
        </w:rPr>
        <w:t>没有从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离职或退休3年以内的人员担任控股股东或实际控股人、董事、监事，也没有聘用从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w:t>
      </w:r>
    </w:p>
    <w:p w14:paraId="3FE2B1FA">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en-US" w:eastAsia="zh-CN"/>
        </w:rPr>
        <w:t>我公司保证上述声明真实无误，如有不实，愿承担相应法律责任。</w:t>
      </w:r>
    </w:p>
    <w:p w14:paraId="2C38F8B9">
      <w:pPr>
        <w:spacing w:after="120" w:afterLines="50" w:line="240" w:lineRule="auto"/>
        <w:ind w:left="0" w:leftChars="0" w:firstLine="0" w:firstLineChars="0"/>
        <w:rPr>
          <w:rFonts w:ascii="仿宋" w:hAnsi="仿宋" w:eastAsia="仿宋" w:cs="宋体"/>
          <w:color w:val="auto"/>
          <w:sz w:val="24"/>
          <w:szCs w:val="24"/>
          <w:highlight w:val="none"/>
          <w:lang w:val="zh-CN"/>
        </w:rPr>
      </w:pPr>
    </w:p>
    <w:p w14:paraId="4A13A388">
      <w:pPr>
        <w:spacing w:after="120" w:afterLines="50" w:line="240" w:lineRule="auto"/>
        <w:ind w:left="0" w:leftChars="0" w:firstLine="0" w:firstLineChars="0"/>
        <w:rPr>
          <w:rFonts w:ascii="黑体" w:hAnsi="华文楷体" w:eastAsia="黑体"/>
          <w:b/>
          <w:bCs/>
          <w:color w:val="auto"/>
          <w:sz w:val="32"/>
          <w:szCs w:val="32"/>
          <w:highlight w:val="none"/>
        </w:rPr>
      </w:pPr>
      <w:r>
        <w:rPr>
          <w:rFonts w:hint="eastAsia" w:ascii="黑体" w:hAnsi="华文楷体" w:eastAsia="黑体"/>
          <w:color w:val="auto"/>
          <w:sz w:val="24"/>
          <w:szCs w:val="24"/>
          <w:highlight w:val="none"/>
        </w:rPr>
        <w:t>公司名称（盖章）：                              委托代理人（签字）：</w:t>
      </w:r>
    </w:p>
    <w:p w14:paraId="476D3484">
      <w:pPr>
        <w:pStyle w:val="7"/>
        <w:rPr>
          <w:rFonts w:hint="default" w:ascii="方正兰亭黑简体" w:hAnsi="方正兰亭黑简体" w:eastAsia="方正兰亭黑简体" w:cs="方正兰亭黑简体"/>
          <w:color w:val="auto"/>
          <w:sz w:val="22"/>
          <w:szCs w:val="28"/>
          <w:highlight w:val="none"/>
          <w:lang w:val="en-US" w:eastAsia="zh-CN"/>
        </w:rPr>
      </w:pPr>
    </w:p>
    <w:p w14:paraId="3F5F1DB4">
      <w:pPr>
        <w:pStyle w:val="7"/>
        <w:rPr>
          <w:rFonts w:hint="default" w:ascii="方正兰亭黑简体" w:hAnsi="方正兰亭黑简体" w:eastAsia="方正兰亭黑简体" w:cs="方正兰亭黑简体"/>
          <w:color w:val="auto"/>
          <w:sz w:val="22"/>
          <w:szCs w:val="28"/>
          <w:highlight w:val="none"/>
          <w:lang w:val="en-US" w:eastAsia="zh-CN"/>
        </w:rPr>
      </w:pPr>
    </w:p>
    <w:p w14:paraId="086B01F9">
      <w:pPr>
        <w:jc w:val="left"/>
        <w:rPr>
          <w:rFonts w:hint="eastAsia" w:ascii="方正兰亭黑简体" w:hAnsi="方正兰亭黑简体" w:eastAsia="方正兰亭黑简体" w:cs="方正兰亭黑简体"/>
          <w:color w:val="auto"/>
          <w:sz w:val="22"/>
          <w:szCs w:val="28"/>
          <w:highlight w:val="none"/>
          <w:lang w:val="en-US" w:eastAsia="zh-CN"/>
        </w:rPr>
        <w:sectPr>
          <w:pgSz w:w="11906" w:h="16838"/>
          <w:pgMar w:top="1440" w:right="1083" w:bottom="1440" w:left="1083" w:header="851" w:footer="992" w:gutter="0"/>
          <w:pgNumType w:fmt="decimal"/>
          <w:cols w:space="0" w:num="1"/>
          <w:rtlGutter w:val="0"/>
          <w:docGrid w:type="lines" w:linePitch="314" w:charSpace="0"/>
        </w:sectPr>
      </w:pPr>
    </w:p>
    <w:p w14:paraId="00798ACC">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附件2：其他材料</w:t>
      </w:r>
    </w:p>
    <w:p w14:paraId="3E491ACB">
      <w:pPr>
        <w:pStyle w:val="6"/>
        <w:ind w:left="0" w:leftChars="0" w:firstLine="0" w:firstLineChars="0"/>
        <w:rPr>
          <w:rFonts w:hint="default"/>
          <w:color w:val="auto"/>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包括但不限于：</w:t>
      </w:r>
    </w:p>
    <w:p w14:paraId="0B07932C">
      <w:pPr>
        <w:pStyle w:val="6"/>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kern w:val="2"/>
          <w:sz w:val="22"/>
          <w:szCs w:val="28"/>
          <w:highlight w:val="none"/>
          <w:lang w:val="en-US" w:eastAsia="zh-CN" w:bidi="ar-SA"/>
        </w:rPr>
        <w:t>1、</w:t>
      </w:r>
      <w:r>
        <w:rPr>
          <w:rFonts w:hint="eastAsia" w:ascii="方正兰亭黑简体" w:hAnsi="方正兰亭黑简体" w:eastAsia="方正兰亭黑简体" w:cs="方正兰亭黑简体"/>
          <w:color w:val="auto"/>
          <w:sz w:val="22"/>
          <w:szCs w:val="28"/>
          <w:highlight w:val="none"/>
          <w:lang w:val="en-US" w:eastAsia="zh-CN"/>
        </w:rPr>
        <w:t>营业执照扫描件</w:t>
      </w:r>
    </w:p>
    <w:p w14:paraId="2B48E574">
      <w:pPr>
        <w:pStyle w:val="6"/>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2、</w:t>
      </w:r>
      <w:r>
        <w:rPr>
          <w:rFonts w:hint="eastAsia" w:ascii="方正兰亭黑简体" w:hAnsi="方正兰亭黑简体" w:eastAsia="方正兰亭黑简体" w:cs="方正兰亭黑简体"/>
          <w:color w:val="auto"/>
          <w:sz w:val="22"/>
          <w:szCs w:val="28"/>
          <w:highlight w:val="none"/>
          <w:lang w:val="en-US" w:eastAsia="zh-CN"/>
        </w:rPr>
        <w:t>产品资料（设备参数）</w:t>
      </w:r>
    </w:p>
    <w:p w14:paraId="0492334C">
      <w:pPr>
        <w:pStyle w:val="6"/>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3、</w:t>
      </w:r>
      <w:r>
        <w:rPr>
          <w:rFonts w:hint="eastAsia" w:ascii="方正兰亭黑简体" w:hAnsi="方正兰亭黑简体" w:eastAsia="方正兰亭黑简体" w:cs="方正兰亭黑简体"/>
          <w:color w:val="auto"/>
          <w:sz w:val="22"/>
          <w:szCs w:val="28"/>
          <w:highlight w:val="none"/>
          <w:lang w:val="en-US" w:eastAsia="zh-CN"/>
        </w:rPr>
        <w:t>实施计划</w:t>
      </w:r>
    </w:p>
    <w:p w14:paraId="5856E4F7">
      <w:pPr>
        <w:pStyle w:val="6"/>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4、</w:t>
      </w:r>
      <w:r>
        <w:rPr>
          <w:rFonts w:hint="eastAsia" w:ascii="方正兰亭黑简体" w:hAnsi="方正兰亭黑简体" w:eastAsia="方正兰亭黑简体" w:cs="方正兰亭黑简体"/>
          <w:color w:val="auto"/>
          <w:sz w:val="22"/>
          <w:szCs w:val="28"/>
          <w:highlight w:val="none"/>
          <w:lang w:val="en-US" w:eastAsia="zh-CN"/>
        </w:rPr>
        <w:t>售后方案</w:t>
      </w:r>
    </w:p>
    <w:p w14:paraId="0E222C46">
      <w:pPr>
        <w:pStyle w:val="6"/>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5、</w:t>
      </w:r>
      <w:r>
        <w:rPr>
          <w:rFonts w:hint="eastAsia" w:ascii="方正兰亭黑简体" w:hAnsi="方正兰亭黑简体" w:eastAsia="方正兰亭黑简体" w:cs="方正兰亭黑简体"/>
          <w:color w:val="auto"/>
          <w:sz w:val="22"/>
          <w:szCs w:val="28"/>
          <w:highlight w:val="none"/>
          <w:lang w:val="en-US" w:eastAsia="zh-CN"/>
        </w:rPr>
        <w:t>业绩案例</w:t>
      </w:r>
    </w:p>
    <w:p w14:paraId="1FF7242A">
      <w:pPr>
        <w:pStyle w:val="6"/>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6、其他所必须的相关材料</w:t>
      </w:r>
    </w:p>
    <w:p w14:paraId="05EB73A9">
      <w:pPr>
        <w:pStyle w:val="6"/>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p>
    <w:sectPr>
      <w:pgSz w:w="11906"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7A255D-F5C3-4C08-B7E7-EE66311F4A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Times New Roman (标题 CS)">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兰亭黑简体">
    <w:panose1 w:val="02000000000000000000"/>
    <w:charset w:val="86"/>
    <w:family w:val="auto"/>
    <w:pitch w:val="default"/>
    <w:sig w:usb0="A00002BF" w:usb1="184F6CFA" w:usb2="00000012" w:usb3="00000000" w:csb0="00040001" w:csb1="00000000"/>
    <w:embedRegular r:id="rId2" w:fontKey="{60412BE7-FBFE-44AE-97EE-1C04EC3B6768}"/>
  </w:font>
  <w:font w:name="华文楷体">
    <w:panose1 w:val="02010600040101010101"/>
    <w:charset w:val="86"/>
    <w:family w:val="auto"/>
    <w:pitch w:val="default"/>
    <w:sig w:usb0="00000287" w:usb1="080F0000" w:usb2="00000000" w:usb3="00000000" w:csb0="0004009F" w:csb1="DFD70000"/>
    <w:embedRegular r:id="rId3" w:fontKey="{0D97DED8-F302-4B46-93AB-FEE2E0F80DB7}"/>
  </w:font>
  <w:font w:name="方正仿宋_GB2312">
    <w:panose1 w:val="02000000000000000000"/>
    <w:charset w:val="86"/>
    <w:family w:val="auto"/>
    <w:pitch w:val="default"/>
    <w:sig w:usb0="A00002BF" w:usb1="184F6CFA" w:usb2="00000012" w:usb3="00000000" w:csb0="00040001" w:csb1="00000000"/>
    <w:embedRegular r:id="rId4" w:fontKey="{F7E4C512-1AD0-4EE6-AC16-E8E58DADC55C}"/>
  </w:font>
  <w:font w:name="仿宋">
    <w:panose1 w:val="02010609060101010101"/>
    <w:charset w:val="86"/>
    <w:family w:val="modern"/>
    <w:pitch w:val="default"/>
    <w:sig w:usb0="800002BF" w:usb1="38CF7CFA" w:usb2="00000016" w:usb3="00000000" w:csb0="00040001" w:csb1="00000000"/>
    <w:embedRegular r:id="rId5" w:fontKey="{BB79FB18-DFE1-4D7F-BDDF-3E8B480FB1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492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2FB9A">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62FB9A">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22401"/>
    <w:multiLevelType w:val="multilevel"/>
    <w:tmpl w:val="17722401"/>
    <w:lvl w:ilvl="0" w:tentative="0">
      <w:start w:val="1"/>
      <w:numFmt w:val="japaneseCounting"/>
      <w:pStyle w:val="2"/>
      <w:lvlText w:val="%1、"/>
      <w:lvlJc w:val="left"/>
      <w:pPr>
        <w:ind w:left="464" w:hanging="720"/>
      </w:pPr>
      <w:rPr>
        <w:rFonts w:hint="default"/>
      </w:rPr>
    </w:lvl>
    <w:lvl w:ilvl="1" w:tentative="0">
      <w:start w:val="1"/>
      <w:numFmt w:val="decimalEnclosedCircle"/>
      <w:lvlText w:val="%2"/>
      <w:lvlJc w:val="left"/>
      <w:pPr>
        <w:ind w:left="544" w:hanging="360"/>
      </w:pPr>
      <w:rPr>
        <w:rFonts w:hint="default"/>
      </w:rPr>
    </w:lvl>
    <w:lvl w:ilvl="2" w:tentative="0">
      <w:start w:val="1"/>
      <w:numFmt w:val="lowerRoman"/>
      <w:lvlText w:val="%3."/>
      <w:lvlJc w:val="right"/>
      <w:pPr>
        <w:ind w:left="1064" w:hanging="440"/>
      </w:pPr>
    </w:lvl>
    <w:lvl w:ilvl="3" w:tentative="0">
      <w:start w:val="1"/>
      <w:numFmt w:val="decimal"/>
      <w:lvlText w:val="%4."/>
      <w:lvlJc w:val="left"/>
      <w:pPr>
        <w:ind w:left="1504" w:hanging="440"/>
      </w:pPr>
    </w:lvl>
    <w:lvl w:ilvl="4" w:tentative="0">
      <w:start w:val="1"/>
      <w:numFmt w:val="lowerLetter"/>
      <w:lvlText w:val="%5)"/>
      <w:lvlJc w:val="left"/>
      <w:pPr>
        <w:ind w:left="1944" w:hanging="440"/>
      </w:pPr>
    </w:lvl>
    <w:lvl w:ilvl="5" w:tentative="0">
      <w:start w:val="1"/>
      <w:numFmt w:val="lowerRoman"/>
      <w:lvlText w:val="%6."/>
      <w:lvlJc w:val="right"/>
      <w:pPr>
        <w:ind w:left="2384" w:hanging="440"/>
      </w:pPr>
    </w:lvl>
    <w:lvl w:ilvl="6" w:tentative="0">
      <w:start w:val="1"/>
      <w:numFmt w:val="decimal"/>
      <w:lvlText w:val="%7."/>
      <w:lvlJc w:val="left"/>
      <w:pPr>
        <w:ind w:left="2824" w:hanging="440"/>
      </w:pPr>
    </w:lvl>
    <w:lvl w:ilvl="7" w:tentative="0">
      <w:start w:val="1"/>
      <w:numFmt w:val="lowerLetter"/>
      <w:lvlText w:val="%8)"/>
      <w:lvlJc w:val="left"/>
      <w:pPr>
        <w:ind w:left="3264" w:hanging="440"/>
      </w:pPr>
    </w:lvl>
    <w:lvl w:ilvl="8" w:tentative="0">
      <w:start w:val="1"/>
      <w:numFmt w:val="lowerRoman"/>
      <w:lvlText w:val="%9."/>
      <w:lvlJc w:val="right"/>
      <w:pPr>
        <w:ind w:left="3704" w:hanging="440"/>
      </w:pPr>
    </w:lvl>
  </w:abstractNum>
  <w:abstractNum w:abstractNumId="1">
    <w:nsid w:val="6EE46474"/>
    <w:multiLevelType w:val="multilevel"/>
    <w:tmpl w:val="6EE46474"/>
    <w:lvl w:ilvl="0" w:tentative="0">
      <w:start w:val="1"/>
      <w:numFmt w:val="decimal"/>
      <w:lvlText w:val="%1"/>
      <w:lvlJc w:val="left"/>
      <w:pPr>
        <w:ind w:left="425" w:hanging="425"/>
      </w:pPr>
      <w:rPr>
        <w:rFonts w:hint="eastAsia"/>
      </w:rPr>
    </w:lvl>
    <w:lvl w:ilvl="1" w:tentative="0">
      <w:start w:val="1"/>
      <w:numFmt w:val="decimal"/>
      <w:pStyle w:val="3"/>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75436"/>
    <w:rsid w:val="029C08D4"/>
    <w:rsid w:val="157E6317"/>
    <w:rsid w:val="24050543"/>
    <w:rsid w:val="2FB07FD7"/>
    <w:rsid w:val="39A725CE"/>
    <w:rsid w:val="3D6469F5"/>
    <w:rsid w:val="3FCC680A"/>
    <w:rsid w:val="41007DAA"/>
    <w:rsid w:val="480A63EB"/>
    <w:rsid w:val="4AFC4A60"/>
    <w:rsid w:val="4EFD134C"/>
    <w:rsid w:val="5AEA704B"/>
    <w:rsid w:val="5E8720EC"/>
    <w:rsid w:val="5EE9209B"/>
    <w:rsid w:val="6C313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numPr>
        <w:ilvl w:val="0"/>
        <w:numId w:val="1"/>
      </w:numPr>
      <w:spacing w:before="120" w:after="80"/>
      <w:ind w:firstLineChars="0"/>
      <w:outlineLvl w:val="0"/>
    </w:pPr>
    <w:rPr>
      <w:rFonts w:cs="Times New Roman (标题 CS)" w:asciiTheme="majorHAnsi" w:hAnsiTheme="majorHAnsi"/>
      <w:b/>
      <w:bCs/>
      <w:sz w:val="28"/>
      <w:szCs w:val="48"/>
    </w:rPr>
  </w:style>
  <w:style w:type="paragraph" w:styleId="3">
    <w:name w:val="heading 2"/>
    <w:basedOn w:val="1"/>
    <w:next w:val="1"/>
    <w:unhideWhenUsed/>
    <w:qFormat/>
    <w:uiPriority w:val="9"/>
    <w:pPr>
      <w:numPr>
        <w:ilvl w:val="1"/>
        <w:numId w:val="2"/>
      </w:numPr>
      <w:spacing w:before="80" w:after="80"/>
      <w:ind w:firstLineChars="0"/>
      <w:outlineLvl w:val="1"/>
    </w:pPr>
    <w:rPr>
      <w:rFonts w:cs="Times New Roman (标题 CS)" w:asciiTheme="majorHAnsi" w:hAnsiTheme="majorHAnsi"/>
      <w:b/>
      <w:bCs/>
      <w:color w:val="000000" w:themeColor="text1"/>
      <w:sz w:val="24"/>
      <w:szCs w:val="40"/>
      <w14:textFill>
        <w14:solidFill>
          <w14:schemeClr w14:val="tx1"/>
        </w14:solidFill>
      </w14:textFill>
    </w:rPr>
  </w:style>
  <w:style w:type="paragraph" w:styleId="4">
    <w:name w:val="heading 3"/>
    <w:basedOn w:val="1"/>
    <w:next w:val="1"/>
    <w:unhideWhenUsed/>
    <w:qFormat/>
    <w:uiPriority w:val="9"/>
    <w:pPr>
      <w:spacing w:before="160" w:after="80"/>
      <w:ind w:left="737" w:firstLine="0" w:firstLineChars="0"/>
      <w:outlineLvl w:val="2"/>
    </w:pPr>
    <w:rPr>
      <w:rFonts w:cs="Times New Roman (标题 CS)" w:asciiTheme="majorHAnsi" w:hAnsiTheme="majorHAnsi"/>
      <w:sz w:val="24"/>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ody Text Indent"/>
    <w:basedOn w:val="1"/>
    <w:qFormat/>
    <w:uiPriority w:val="0"/>
    <w:pPr>
      <w:ind w:left="420" w:leftChars="200"/>
    </w:p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rPr>
      <w:rFonts w:ascii="Calibri" w:hAnsi="Calibri" w:eastAsia="宋体" w:cs="Times New Roman"/>
    </w:rPr>
  </w:style>
  <w:style w:type="paragraph" w:styleId="11">
    <w:name w:val="Body Text Indent 3"/>
    <w:basedOn w:val="1"/>
    <w:qFormat/>
    <w:uiPriority w:val="0"/>
    <w:pPr>
      <w:ind w:firstLine="600" w:firstLineChars="200"/>
    </w:pPr>
    <w:rPr>
      <w:color w:val="FF0000"/>
      <w:sz w:val="30"/>
      <w:szCs w:val="20"/>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5"/>
    <w:qFormat/>
    <w:uiPriority w:val="0"/>
    <w:pPr>
      <w:widowControl/>
      <w:spacing w:after="120"/>
      <w:ind w:firstLine="420" w:firstLineChars="100"/>
      <w:jc w:val="left"/>
    </w:pPr>
    <w:rPr>
      <w:rFonts w:ascii="Times New Roma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Hyperlink"/>
    <w:basedOn w:val="16"/>
    <w:unhideWhenUsed/>
    <w:qFormat/>
    <w:uiPriority w:val="99"/>
    <w:rPr>
      <w:color w:val="0000FF"/>
      <w:u w:val="single"/>
    </w:rPr>
  </w:style>
  <w:style w:type="paragraph" w:customStyle="1" w:styleId="19">
    <w:name w:val="列表段落1"/>
    <w:basedOn w:val="1"/>
    <w:qFormat/>
    <w:uiPriority w:val="0"/>
    <w:pPr>
      <w:ind w:firstLine="420" w:firstLineChars="200"/>
    </w:pPr>
  </w:style>
  <w:style w:type="paragraph" w:customStyle="1" w:styleId="20">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21">
    <w:name w:val="15"/>
    <w:basedOn w:val="16"/>
    <w:qFormat/>
    <w:uiPriority w:val="0"/>
    <w:rPr>
      <w:rFonts w:hint="default" w:ascii="Calibri" w:hAnsi="Calibri" w:cs="Calibri"/>
      <w:b/>
      <w:bCs/>
    </w:rPr>
  </w:style>
  <w:style w:type="paragraph" w:styleId="2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4221</Words>
  <Characters>4487</Characters>
  <Lines>0</Lines>
  <Paragraphs>0</Paragraphs>
  <TotalTime>5</TotalTime>
  <ScaleCrop>false</ScaleCrop>
  <LinksUpToDate>false</LinksUpToDate>
  <CharactersWithSpaces>4713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2025-04-03T05:09:00Z</dcterms:created>
  <dc:creator>HP</dc:creator>
  <cp:lastModifiedBy>仲杰</cp:lastModifiedBy>
  <dcterms:modified xsi:type="dcterms:W3CDTF">2025-04-28T07:58:45Z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eyJoZGlkIjoiZDlmOGQwYjhiNmI4NDMzYTcyZjE3NmU1NDRkMTcyMTMiLCJ1c2VySWQiOiIyOTgyOTgyOTEifQ==</vt:lpwstr>
  </property>
  <property fmtid="{D5CDD505-2E9C-101B-9397-08002B2CF9AE}" pid="4" name="ICV">
    <vt:lpwstr>2BFD31D5F3FB4B709DBC969892577809_12</vt:lpwstr>
  </property>
</Properties>
</file>