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黑体"/>
          <w:b/>
          <w:color w:val="auto"/>
          <w:sz w:val="28"/>
          <w:szCs w:val="28"/>
          <w:lang w:val="en-US" w:eastAsia="zh-CN"/>
        </w:rPr>
      </w:pPr>
      <w:r>
        <w:rPr>
          <w:rFonts w:hint="eastAsia" w:ascii="黑体" w:hAnsi="黑体" w:eastAsia="黑体" w:cs="黑体"/>
          <w:b/>
          <w:color w:val="auto"/>
          <w:sz w:val="28"/>
          <w:szCs w:val="28"/>
          <w:lang w:val="en-US" w:eastAsia="zh-CN"/>
        </w:rPr>
        <w:t>2024年网络安全等保测评和加固服务技术需求指标</w:t>
      </w:r>
    </w:p>
    <w:p>
      <w:pPr>
        <w:spacing w:line="360" w:lineRule="auto"/>
        <w:rPr>
          <w:rFonts w:hint="eastAsia" w:ascii="仿宋" w:hAnsi="仿宋" w:eastAsia="仿宋" w:cs="仿宋"/>
          <w:b/>
          <w:bCs/>
          <w:color w:val="auto"/>
          <w:sz w:val="24"/>
          <w:szCs w:val="24"/>
        </w:rPr>
      </w:pPr>
      <w:r>
        <w:rPr>
          <w:rFonts w:ascii="楷体" w:hAnsi="楷体" w:eastAsia="楷体"/>
          <w:b/>
          <w:bCs/>
          <w:color w:val="auto"/>
          <w:sz w:val="24"/>
          <w:szCs w:val="24"/>
        </w:rPr>
        <w:tab/>
      </w:r>
      <w:r>
        <w:rPr>
          <w:rFonts w:hint="eastAsia" w:ascii="仿宋" w:hAnsi="仿宋" w:eastAsia="仿宋" w:cs="仿宋"/>
          <w:color w:val="auto"/>
          <w:sz w:val="24"/>
          <w:szCs w:val="24"/>
        </w:rPr>
        <w:t>随着智慧校园的建设发展，本校已建成了覆盖教学科研管理与服务</w:t>
      </w:r>
      <w:r>
        <w:rPr>
          <w:rFonts w:hint="eastAsia" w:ascii="仿宋" w:hAnsi="仿宋" w:eastAsia="仿宋" w:cs="仿宋"/>
          <w:bCs/>
          <w:color w:val="auto"/>
          <w:sz w:val="24"/>
          <w:szCs w:val="24"/>
        </w:rPr>
        <w:t>的多个重要业务信息系统，包括教务管理系统、校园一卡通系统、网站群平台、财务系统、校园信息门户系统、统一身份认证系统等</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上述</w:t>
      </w:r>
      <w:r>
        <w:rPr>
          <w:rFonts w:hint="eastAsia" w:ascii="仿宋" w:hAnsi="仿宋" w:eastAsia="仿宋" w:cs="仿宋"/>
          <w:color w:val="auto"/>
          <w:sz w:val="24"/>
          <w:szCs w:val="24"/>
        </w:rPr>
        <w:t>信息系统在</w:t>
      </w:r>
      <w:r>
        <w:rPr>
          <w:rFonts w:hint="eastAsia" w:ascii="仿宋" w:hAnsi="仿宋" w:eastAsia="仿宋" w:cs="仿宋"/>
          <w:color w:val="auto"/>
          <w:sz w:val="24"/>
          <w:szCs w:val="24"/>
          <w:lang w:val="en-US" w:eastAsia="zh-CN"/>
        </w:rPr>
        <w:t>学校</w:t>
      </w:r>
      <w:r>
        <w:rPr>
          <w:rFonts w:hint="eastAsia" w:ascii="仿宋" w:hAnsi="仿宋" w:eastAsia="仿宋" w:cs="仿宋"/>
          <w:color w:val="auto"/>
          <w:sz w:val="24"/>
          <w:szCs w:val="24"/>
        </w:rPr>
        <w:t>日常教学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服务活动中发挥着重要作用。根据教育部、市教委在信息系统安全方面的工作指导与要求，参照国家</w:t>
      </w:r>
      <w:r>
        <w:rPr>
          <w:rFonts w:hint="eastAsia" w:ascii="仿宋" w:hAnsi="仿宋" w:eastAsia="仿宋" w:cs="仿宋"/>
          <w:color w:val="auto"/>
          <w:sz w:val="24"/>
          <w:szCs w:val="24"/>
          <w:lang w:val="en-US" w:eastAsia="zh-CN"/>
        </w:rPr>
        <w:t>网络</w:t>
      </w:r>
      <w:r>
        <w:rPr>
          <w:rFonts w:hint="eastAsia" w:ascii="仿宋" w:hAnsi="仿宋" w:eastAsia="仿宋" w:cs="仿宋"/>
          <w:color w:val="auto"/>
          <w:sz w:val="24"/>
          <w:szCs w:val="24"/>
        </w:rPr>
        <w:t>安全等级保护基本要求，我校计划对学校部分重要</w:t>
      </w:r>
      <w:r>
        <w:rPr>
          <w:rFonts w:hint="eastAsia" w:ascii="仿宋" w:hAnsi="仿宋" w:eastAsia="仿宋" w:cs="仿宋"/>
          <w:bCs/>
          <w:color w:val="auto"/>
          <w:sz w:val="24"/>
          <w:szCs w:val="24"/>
        </w:rPr>
        <w:t>信息系统</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网络</w:t>
      </w:r>
      <w:r>
        <w:rPr>
          <w:rFonts w:hint="eastAsia" w:ascii="仿宋" w:hAnsi="仿宋" w:eastAsia="仿宋" w:cs="仿宋"/>
          <w:color w:val="auto"/>
          <w:sz w:val="24"/>
          <w:szCs w:val="24"/>
        </w:rPr>
        <w:t>安全等级保护</w:t>
      </w:r>
      <w:r>
        <w:rPr>
          <w:rFonts w:hint="eastAsia" w:ascii="仿宋" w:hAnsi="仿宋" w:eastAsia="仿宋" w:cs="仿宋"/>
          <w:color w:val="auto"/>
          <w:sz w:val="24"/>
          <w:szCs w:val="24"/>
          <w:lang w:val="en-US" w:eastAsia="zh-CN"/>
        </w:rPr>
        <w:t>测评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对相关系统实施定级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备案、差距分析、建设整改，并通过国家相关等级保护测评机构的测评。通过本项目建立与完善我校的</w:t>
      </w:r>
      <w:r>
        <w:rPr>
          <w:rFonts w:hint="eastAsia" w:ascii="仿宋" w:hAnsi="仿宋" w:eastAsia="仿宋" w:cs="仿宋"/>
          <w:color w:val="auto"/>
          <w:sz w:val="24"/>
          <w:szCs w:val="24"/>
          <w:lang w:val="en-US" w:eastAsia="zh-CN"/>
        </w:rPr>
        <w:t>网络</w:t>
      </w:r>
      <w:r>
        <w:rPr>
          <w:rFonts w:hint="eastAsia" w:ascii="仿宋" w:hAnsi="仿宋" w:eastAsia="仿宋" w:cs="仿宋"/>
          <w:color w:val="auto"/>
          <w:sz w:val="24"/>
          <w:szCs w:val="24"/>
        </w:rPr>
        <w:t>安全保障体系，提高校园信息化的管理与服务水平。</w:t>
      </w:r>
    </w:p>
    <w:p>
      <w:pPr>
        <w:widowControl/>
        <w:spacing w:line="360" w:lineRule="auto"/>
        <w:jc w:val="left"/>
        <w:rPr>
          <w:rFonts w:hint="eastAsia" w:ascii="仿宋" w:hAnsi="仿宋" w:eastAsia="仿宋" w:cs="仿宋"/>
          <w:b/>
          <w:color w:val="auto"/>
          <w:sz w:val="24"/>
          <w:szCs w:val="24"/>
        </w:rPr>
      </w:pPr>
      <w:r>
        <w:rPr>
          <w:rFonts w:hint="eastAsia" w:ascii="仿宋" w:hAnsi="仿宋" w:eastAsia="仿宋" w:cs="仿宋"/>
          <w:b/>
          <w:bCs/>
          <w:color w:val="auto"/>
          <w:sz w:val="24"/>
          <w:szCs w:val="24"/>
        </w:rPr>
        <w:t>一、服务内容和范围</w:t>
      </w:r>
    </w:p>
    <w:tbl>
      <w:tblPr>
        <w:tblStyle w:val="5"/>
        <w:tblW w:w="497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532"/>
        <w:gridCol w:w="723"/>
        <w:gridCol w:w="1013"/>
        <w:gridCol w:w="620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9" w:type="pct"/>
            <w:shd w:val="clear" w:color="000000" w:fill="auto"/>
            <w:vAlign w:val="center"/>
          </w:tcPr>
          <w:p>
            <w:pPr>
              <w:rPr>
                <w:rFonts w:hint="eastAsia" w:ascii="仿宋" w:hAnsi="仿宋" w:eastAsia="仿宋" w:cs="仿宋"/>
                <w:color w:val="auto"/>
                <w:sz w:val="22"/>
                <w:szCs w:val="22"/>
              </w:rPr>
            </w:pPr>
            <w:r>
              <w:rPr>
                <w:rFonts w:hint="eastAsia" w:ascii="仿宋" w:hAnsi="仿宋" w:eastAsia="仿宋" w:cs="仿宋"/>
                <w:color w:val="auto"/>
                <w:sz w:val="22"/>
                <w:szCs w:val="22"/>
              </w:rPr>
              <w:t>编号</w:t>
            </w:r>
          </w:p>
        </w:tc>
        <w:tc>
          <w:tcPr>
            <w:tcW w:w="773" w:type="pct"/>
            <w:shd w:val="clear" w:color="000000" w:fill="auto"/>
            <w:vAlign w:val="center"/>
          </w:tcPr>
          <w:p>
            <w:pP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系统名称</w:t>
            </w:r>
          </w:p>
        </w:tc>
        <w:tc>
          <w:tcPr>
            <w:tcW w:w="365" w:type="pct"/>
            <w:shd w:val="clear" w:color="000000" w:fill="auto"/>
            <w:vAlign w:val="center"/>
          </w:tcPr>
          <w:p>
            <w:pP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等保</w:t>
            </w:r>
            <w:r>
              <w:rPr>
                <w:rFonts w:hint="eastAsia" w:ascii="仿宋" w:hAnsi="仿宋" w:eastAsia="仿宋" w:cs="仿宋"/>
                <w:color w:val="auto"/>
                <w:sz w:val="22"/>
                <w:szCs w:val="22"/>
              </w:rPr>
              <w:t>定级</w:t>
            </w:r>
          </w:p>
        </w:tc>
        <w:tc>
          <w:tcPr>
            <w:tcW w:w="511" w:type="pct"/>
            <w:shd w:val="clear" w:color="000000" w:fill="auto"/>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备案测评</w:t>
            </w:r>
            <w:r>
              <w:rPr>
                <w:rFonts w:hint="eastAsia" w:ascii="仿宋" w:hAnsi="仿宋" w:eastAsia="仿宋" w:cs="仿宋"/>
                <w:color w:val="auto"/>
                <w:sz w:val="22"/>
                <w:szCs w:val="22"/>
              </w:rPr>
              <w:t>情况</w:t>
            </w:r>
          </w:p>
        </w:tc>
        <w:tc>
          <w:tcPr>
            <w:tcW w:w="3129" w:type="pct"/>
            <w:shd w:val="clear" w:color="000000" w:fill="auto"/>
            <w:vAlign w:val="center"/>
          </w:tcPr>
          <w:p>
            <w:pPr>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服务内容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9" w:type="pct"/>
            <w:vAlign w:val="center"/>
          </w:tcPr>
          <w:p>
            <w:pP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773" w:type="pct"/>
            <w:vAlign w:val="center"/>
          </w:tcPr>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i w:val="0"/>
                <w:iCs w:val="0"/>
                <w:color w:val="auto"/>
                <w:kern w:val="0"/>
                <w:sz w:val="22"/>
                <w:szCs w:val="22"/>
                <w:u w:val="none"/>
                <w:lang w:val="en-US" w:eastAsia="zh-CN" w:bidi="ar"/>
              </w:rPr>
              <w:t>校园网站系统</w:t>
            </w:r>
          </w:p>
        </w:tc>
        <w:tc>
          <w:tcPr>
            <w:tcW w:w="365" w:type="pct"/>
            <w:vAlign w:val="center"/>
          </w:tcPr>
          <w:p>
            <w:pPr>
              <w:keepNext w:val="0"/>
              <w:keepLines w:val="0"/>
              <w:widowControl/>
              <w:suppressLineNumbers w:val="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auto"/>
                <w:kern w:val="0"/>
                <w:sz w:val="22"/>
                <w:szCs w:val="22"/>
                <w:u w:val="none"/>
                <w:lang w:val="en-US" w:eastAsia="zh-CN" w:bidi="ar"/>
              </w:rPr>
              <w:t>3</w:t>
            </w:r>
          </w:p>
        </w:tc>
        <w:tc>
          <w:tcPr>
            <w:tcW w:w="511" w:type="pct"/>
            <w:vAlign w:val="center"/>
          </w:tcPr>
          <w:p>
            <w:pPr>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已备案待复测</w:t>
            </w:r>
          </w:p>
        </w:tc>
        <w:tc>
          <w:tcPr>
            <w:tcW w:w="3129" w:type="pct"/>
            <w:vAlign w:val="center"/>
          </w:tcPr>
          <w:p>
            <w:pPr>
              <w:keepNext w:val="0"/>
              <w:keepLines w:val="0"/>
              <w:widowControl/>
              <w:suppressLineNumbers w:val="0"/>
              <w:jc w:val="left"/>
              <w:textAlignment w:val="center"/>
              <w:rPr>
                <w:rFonts w:hint="default" w:ascii="仿宋" w:hAnsi="仿宋" w:eastAsia="仿宋" w:cs="仿宋"/>
                <w:color w:val="auto"/>
                <w:sz w:val="22"/>
                <w:szCs w:val="22"/>
                <w:lang w:val="en-US"/>
              </w:rPr>
            </w:pPr>
            <w:r>
              <w:rPr>
                <w:rStyle w:val="18"/>
                <w:rFonts w:hint="eastAsia" w:ascii="仿宋" w:hAnsi="仿宋" w:eastAsia="仿宋" w:cs="仿宋"/>
                <w:color w:val="auto"/>
                <w:lang w:val="en-US" w:eastAsia="zh-CN" w:bidi="ar"/>
              </w:rPr>
              <w:t>门户网站（</w:t>
            </w:r>
            <w:bookmarkStart w:id="9" w:name="_GoBack"/>
            <w:bookmarkEnd w:id="9"/>
            <w:r>
              <w:rPr>
                <w:rStyle w:val="18"/>
                <w:rFonts w:hint="eastAsia" w:ascii="仿宋" w:hAnsi="仿宋" w:eastAsia="仿宋" w:cs="仿宋"/>
                <w:color w:val="auto"/>
                <w:lang w:val="en-US" w:eastAsia="zh-CN" w:bidi="ar"/>
              </w:rPr>
              <w:t>www.shmtu.edu.cn)、</w:t>
            </w:r>
            <w:r>
              <w:rPr>
                <w:rStyle w:val="19"/>
                <w:rFonts w:hint="eastAsia" w:ascii="仿宋" w:hAnsi="仿宋" w:eastAsia="仿宋" w:cs="仿宋"/>
                <w:color w:val="auto"/>
                <w:lang w:val="en-US" w:eastAsia="zh-CN" w:bidi="ar"/>
              </w:rPr>
              <w:t>网站群所有网站</w:t>
            </w:r>
            <w:r>
              <w:rPr>
                <w:rFonts w:hint="eastAsia" w:ascii="仿宋" w:hAnsi="仿宋" w:eastAsia="仿宋" w:cs="仿宋"/>
                <w:color w:val="auto"/>
                <w:sz w:val="22"/>
                <w:szCs w:val="22"/>
              </w:rPr>
              <w:t>进行网络安全等级保护第</w:t>
            </w:r>
            <w:r>
              <w:rPr>
                <w:rFonts w:hint="eastAsia" w:ascii="仿宋" w:hAnsi="仿宋" w:eastAsia="仿宋" w:cs="仿宋"/>
                <w:color w:val="auto"/>
                <w:sz w:val="22"/>
                <w:szCs w:val="22"/>
                <w:lang w:val="en-US" w:eastAsia="zh-CN"/>
              </w:rPr>
              <w:t>三</w:t>
            </w:r>
            <w:r>
              <w:rPr>
                <w:rFonts w:hint="eastAsia" w:ascii="仿宋" w:hAnsi="仿宋" w:eastAsia="仿宋" w:cs="仿宋"/>
                <w:color w:val="auto"/>
                <w:sz w:val="22"/>
                <w:szCs w:val="22"/>
              </w:rPr>
              <w:t>级</w:t>
            </w:r>
            <w:r>
              <w:rPr>
                <w:rFonts w:hint="eastAsia" w:ascii="仿宋" w:hAnsi="仿宋" w:eastAsia="仿宋" w:cs="仿宋"/>
                <w:color w:val="auto"/>
                <w:sz w:val="22"/>
                <w:szCs w:val="22"/>
                <w:lang w:val="en-US" w:eastAsia="zh-CN"/>
              </w:rPr>
              <w:t>初</w:t>
            </w:r>
            <w:r>
              <w:rPr>
                <w:rFonts w:hint="eastAsia" w:ascii="仿宋" w:hAnsi="仿宋" w:eastAsia="仿宋" w:cs="仿宋"/>
                <w:color w:val="auto"/>
                <w:sz w:val="22"/>
                <w:szCs w:val="22"/>
              </w:rPr>
              <w:t>测，给出差距分析和整改方案，完成并通过等级保护</w:t>
            </w:r>
            <w:r>
              <w:rPr>
                <w:rFonts w:hint="eastAsia" w:ascii="仿宋" w:hAnsi="仿宋" w:eastAsia="仿宋" w:cs="仿宋"/>
                <w:color w:val="auto"/>
                <w:sz w:val="22"/>
                <w:szCs w:val="22"/>
                <w:lang w:val="en-US" w:eastAsia="zh-CN"/>
              </w:rPr>
              <w:t>三</w:t>
            </w:r>
            <w:r>
              <w:rPr>
                <w:rFonts w:hint="eastAsia" w:ascii="仿宋" w:hAnsi="仿宋" w:eastAsia="仿宋" w:cs="仿宋"/>
                <w:color w:val="auto"/>
                <w:sz w:val="22"/>
                <w:szCs w:val="22"/>
              </w:rPr>
              <w:t>级测评。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9" w:type="pct"/>
            <w:vAlign w:val="center"/>
          </w:tcPr>
          <w:p>
            <w:pP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773" w:type="pct"/>
            <w:vAlign w:val="center"/>
          </w:tcPr>
          <w:p>
            <w:pP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一体化校友会基金会信息系统</w:t>
            </w:r>
          </w:p>
        </w:tc>
        <w:tc>
          <w:tcPr>
            <w:tcW w:w="365" w:type="pct"/>
            <w:vAlign w:val="center"/>
          </w:tcPr>
          <w:p>
            <w:pPr>
              <w:keepNext w:val="0"/>
              <w:keepLines w:val="0"/>
              <w:widowControl/>
              <w:suppressLineNumbers w:val="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auto"/>
                <w:kern w:val="0"/>
                <w:sz w:val="22"/>
                <w:szCs w:val="22"/>
                <w:u w:val="none"/>
                <w:lang w:val="en-US" w:eastAsia="zh-CN" w:bidi="ar"/>
              </w:rPr>
              <w:t>3</w:t>
            </w:r>
          </w:p>
        </w:tc>
        <w:tc>
          <w:tcPr>
            <w:tcW w:w="511" w:type="pct"/>
            <w:vAlign w:val="center"/>
          </w:tcPr>
          <w:p>
            <w:pPr>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已备案待复测</w:t>
            </w:r>
          </w:p>
        </w:tc>
        <w:tc>
          <w:tcPr>
            <w:tcW w:w="3129" w:type="pct"/>
            <w:vAlign w:val="center"/>
          </w:tcPr>
          <w:p>
            <w:pPr>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一体化校友会基金会信息系统（捐赠平台</w:t>
            </w:r>
            <w:r>
              <w:rPr>
                <w:rFonts w:hint="eastAsia" w:ascii="仿宋" w:hAnsi="仿宋" w:eastAsia="仿宋" w:cs="仿宋"/>
                <w:color w:val="auto"/>
                <w:sz w:val="22"/>
                <w:szCs w:val="22"/>
              </w:rPr>
              <w:t>giving.shmtu.edu.cn、</w:t>
            </w:r>
            <w:r>
              <w:rPr>
                <w:rFonts w:hint="eastAsia" w:ascii="仿宋" w:hAnsi="仿宋" w:eastAsia="仿宋" w:cs="仿宋"/>
                <w:color w:val="auto"/>
                <w:sz w:val="22"/>
                <w:szCs w:val="22"/>
                <w:lang w:val="en-US" w:eastAsia="zh-CN"/>
              </w:rPr>
              <w:t>校友社区</w:t>
            </w:r>
            <w:r>
              <w:rPr>
                <w:rFonts w:hint="eastAsia" w:ascii="仿宋" w:hAnsi="仿宋" w:eastAsia="仿宋" w:cs="仿宋"/>
                <w:color w:val="auto"/>
                <w:sz w:val="22"/>
                <w:szCs w:val="22"/>
              </w:rPr>
              <w:t>xysq.shmtu.edu.cn、</w:t>
            </w:r>
            <w:r>
              <w:rPr>
                <w:rFonts w:hint="eastAsia" w:ascii="仿宋" w:hAnsi="仿宋" w:eastAsia="仿宋" w:cs="仿宋"/>
                <w:color w:val="auto"/>
                <w:sz w:val="22"/>
                <w:szCs w:val="22"/>
                <w:lang w:val="en-US" w:eastAsia="zh-CN"/>
              </w:rPr>
              <w:t>校友会网站</w:t>
            </w:r>
            <w:r>
              <w:rPr>
                <w:rFonts w:hint="eastAsia" w:ascii="仿宋" w:hAnsi="仿宋" w:eastAsia="仿宋" w:cs="仿宋"/>
                <w:color w:val="auto"/>
                <w:sz w:val="22"/>
                <w:szCs w:val="22"/>
              </w:rPr>
              <w:t>alumni.shmtu.edu.cn、</w:t>
            </w:r>
            <w:r>
              <w:rPr>
                <w:rFonts w:hint="eastAsia" w:ascii="仿宋" w:hAnsi="仿宋" w:eastAsia="仿宋" w:cs="仿宋"/>
                <w:color w:val="auto"/>
                <w:sz w:val="22"/>
                <w:szCs w:val="22"/>
                <w:lang w:val="en-US" w:eastAsia="zh-CN"/>
              </w:rPr>
              <w:t>基金会网站</w:t>
            </w:r>
            <w:r>
              <w:rPr>
                <w:rFonts w:hint="eastAsia" w:ascii="仿宋" w:hAnsi="仿宋" w:eastAsia="仿宋" w:cs="仿宋"/>
                <w:color w:val="auto"/>
                <w:sz w:val="22"/>
                <w:szCs w:val="22"/>
              </w:rPr>
              <w:t>edf.shmtu.edu.cn、</w:t>
            </w:r>
            <w:r>
              <w:rPr>
                <w:rFonts w:hint="eastAsia" w:ascii="仿宋" w:hAnsi="仿宋" w:eastAsia="仿宋" w:cs="仿宋"/>
                <w:color w:val="auto"/>
                <w:sz w:val="22"/>
                <w:szCs w:val="22"/>
                <w:lang w:val="en-US" w:eastAsia="zh-CN"/>
              </w:rPr>
              <w:t>校庆网</w:t>
            </w:r>
            <w:r>
              <w:rPr>
                <w:rFonts w:hint="eastAsia" w:ascii="仿宋" w:hAnsi="仿宋" w:eastAsia="仿宋" w:cs="仿宋"/>
                <w:color w:val="auto"/>
                <w:sz w:val="22"/>
                <w:szCs w:val="22"/>
              </w:rPr>
              <w:t>xq.shmtu.edu.cn</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管理后台alum.</w:t>
            </w:r>
            <w:r>
              <w:rPr>
                <w:rFonts w:hint="eastAsia" w:ascii="仿宋" w:hAnsi="仿宋" w:eastAsia="仿宋" w:cs="仿宋"/>
                <w:color w:val="auto"/>
                <w:sz w:val="22"/>
                <w:szCs w:val="22"/>
              </w:rPr>
              <w:t>shmtu.edu.cn</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进行网络安全等级保护第三级</w:t>
            </w:r>
            <w:r>
              <w:rPr>
                <w:rFonts w:hint="eastAsia" w:ascii="仿宋" w:hAnsi="仿宋" w:eastAsia="仿宋" w:cs="仿宋"/>
                <w:color w:val="auto"/>
                <w:sz w:val="22"/>
                <w:szCs w:val="22"/>
                <w:lang w:val="en-US" w:eastAsia="zh-CN"/>
              </w:rPr>
              <w:t>复测，给出差距分析和整改方案，完成并通过等级保护三级</w:t>
            </w:r>
            <w:r>
              <w:rPr>
                <w:rFonts w:hint="eastAsia" w:ascii="仿宋" w:hAnsi="仿宋" w:eastAsia="仿宋" w:cs="仿宋"/>
                <w:color w:val="auto"/>
                <w:sz w:val="22"/>
                <w:szCs w:val="22"/>
              </w:rPr>
              <w:t>测评</w:t>
            </w:r>
            <w:r>
              <w:rPr>
                <w:rFonts w:hint="eastAsia" w:ascii="仿宋" w:hAnsi="仿宋" w:eastAsia="仿宋" w:cs="仿宋"/>
                <w:color w:val="auto"/>
                <w:sz w:val="22"/>
                <w:szCs w:val="22"/>
                <w:lang w:eastAsia="zh-CN"/>
              </w:rPr>
              <w:t>。</w:t>
            </w:r>
          </w:p>
        </w:tc>
      </w:tr>
    </w:tbl>
    <w:p>
      <w:pPr>
        <w:spacing w:line="360" w:lineRule="auto"/>
        <w:ind w:firstLine="480" w:firstLineChars="200"/>
        <w:rPr>
          <w:rFonts w:hint="default" w:ascii="仿宋" w:hAnsi="仿宋" w:eastAsia="仿宋" w:cs="仿宋"/>
          <w:color w:val="auto"/>
          <w:sz w:val="24"/>
          <w:szCs w:val="24"/>
          <w:lang w:val="en-US" w:eastAsia="zh-CN"/>
        </w:rPr>
      </w:pPr>
      <w:bookmarkStart w:id="0" w:name="_Toc445675050"/>
      <w:r>
        <w:rPr>
          <w:rFonts w:hint="eastAsia" w:ascii="仿宋" w:hAnsi="仿宋" w:eastAsia="仿宋" w:cs="仿宋"/>
          <w:color w:val="auto"/>
          <w:sz w:val="24"/>
          <w:szCs w:val="24"/>
          <w:lang w:val="en-US" w:eastAsia="zh-CN"/>
        </w:rPr>
        <w:t>本次共有2</w:t>
      </w:r>
      <w:r>
        <w:rPr>
          <w:rFonts w:hint="eastAsia" w:ascii="仿宋" w:hAnsi="仿宋" w:eastAsia="仿宋" w:cs="仿宋"/>
          <w:color w:val="auto"/>
          <w:sz w:val="24"/>
          <w:szCs w:val="24"/>
        </w:rPr>
        <w:t>个系统，这</w:t>
      </w:r>
      <w:r>
        <w:rPr>
          <w:rFonts w:hint="eastAsia" w:ascii="仿宋" w:hAnsi="仿宋" w:eastAsia="仿宋" w:cs="仿宋"/>
          <w:color w:val="auto"/>
          <w:sz w:val="24"/>
          <w:szCs w:val="24"/>
          <w:lang w:val="en-US" w:eastAsia="zh-CN"/>
        </w:rPr>
        <w:t>些信息</w:t>
      </w:r>
      <w:r>
        <w:rPr>
          <w:rFonts w:hint="eastAsia" w:ascii="仿宋" w:hAnsi="仿宋" w:eastAsia="仿宋" w:cs="仿宋"/>
          <w:color w:val="auto"/>
          <w:sz w:val="24"/>
          <w:szCs w:val="24"/>
        </w:rPr>
        <w:t>系统共</w:t>
      </w:r>
      <w:r>
        <w:rPr>
          <w:rFonts w:hint="eastAsia" w:ascii="仿宋" w:hAnsi="仿宋" w:eastAsia="仿宋" w:cs="仿宋"/>
          <w:color w:val="auto"/>
          <w:sz w:val="24"/>
          <w:szCs w:val="24"/>
          <w:lang w:val="en-US" w:eastAsia="zh-CN"/>
        </w:rPr>
        <w:t>用</w:t>
      </w:r>
      <w:r>
        <w:rPr>
          <w:rFonts w:hint="eastAsia" w:ascii="仿宋" w:hAnsi="仿宋" w:eastAsia="仿宋" w:cs="仿宋"/>
          <w:color w:val="auto"/>
          <w:sz w:val="24"/>
          <w:szCs w:val="24"/>
        </w:rPr>
        <w:t>物理、网络环境</w:t>
      </w:r>
      <w:r>
        <w:rPr>
          <w:rFonts w:hint="eastAsia" w:ascii="仿宋" w:hAnsi="仿宋" w:eastAsia="仿宋" w:cs="仿宋"/>
          <w:color w:val="auto"/>
          <w:sz w:val="24"/>
          <w:szCs w:val="24"/>
          <w:lang w:val="en-US" w:eastAsia="zh-CN"/>
        </w:rPr>
        <w:t>和安全防护监测设备，</w:t>
      </w:r>
      <w:r>
        <w:rPr>
          <w:rFonts w:hint="eastAsia" w:ascii="仿宋" w:hAnsi="仿宋" w:eastAsia="仿宋" w:cs="仿宋"/>
          <w:color w:val="auto"/>
          <w:sz w:val="24"/>
          <w:szCs w:val="24"/>
        </w:rPr>
        <w:t>以及使用同一套管理制度，只需测</w:t>
      </w:r>
      <w:r>
        <w:rPr>
          <w:rFonts w:hint="eastAsia" w:ascii="仿宋" w:hAnsi="仿宋" w:eastAsia="仿宋" w:cs="仿宋"/>
          <w:color w:val="auto"/>
          <w:sz w:val="24"/>
          <w:szCs w:val="24"/>
          <w:lang w:val="en-US" w:eastAsia="zh-CN"/>
        </w:rPr>
        <w:t>评</w:t>
      </w:r>
      <w:r>
        <w:rPr>
          <w:rFonts w:hint="eastAsia" w:ascii="仿宋" w:hAnsi="仿宋" w:eastAsia="仿宋" w:cs="仿宋"/>
          <w:color w:val="auto"/>
          <w:sz w:val="24"/>
          <w:szCs w:val="24"/>
        </w:rPr>
        <w:t>一次。这</w:t>
      </w:r>
      <w:r>
        <w:rPr>
          <w:rFonts w:hint="eastAsia" w:ascii="仿宋" w:hAnsi="仿宋" w:eastAsia="仿宋" w:cs="仿宋"/>
          <w:color w:val="auto"/>
          <w:sz w:val="24"/>
          <w:szCs w:val="24"/>
          <w:lang w:val="en-US" w:eastAsia="zh-CN"/>
        </w:rPr>
        <w:t>些信息</w:t>
      </w:r>
      <w:r>
        <w:rPr>
          <w:rFonts w:hint="eastAsia" w:ascii="仿宋" w:hAnsi="仿宋" w:eastAsia="仿宋" w:cs="仿宋"/>
          <w:color w:val="auto"/>
          <w:sz w:val="24"/>
          <w:szCs w:val="24"/>
        </w:rPr>
        <w:t>系统</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主机安全、数据安全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应用安全等测评细项相对独立，需要单独</w:t>
      </w:r>
      <w:r>
        <w:rPr>
          <w:rFonts w:hint="eastAsia" w:ascii="仿宋" w:hAnsi="仿宋" w:eastAsia="仿宋" w:cs="仿宋"/>
          <w:color w:val="auto"/>
          <w:sz w:val="24"/>
          <w:szCs w:val="24"/>
          <w:lang w:val="en-US" w:eastAsia="zh-CN"/>
        </w:rPr>
        <w:t>分别</w:t>
      </w:r>
      <w:r>
        <w:rPr>
          <w:rFonts w:hint="eastAsia" w:ascii="仿宋" w:hAnsi="仿宋" w:eastAsia="仿宋" w:cs="仿宋"/>
          <w:color w:val="auto"/>
          <w:sz w:val="24"/>
          <w:szCs w:val="24"/>
        </w:rPr>
        <w:t>检查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涉及定级变更的，需协助完成定级变更手续。</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服务需求及相关要求</w:t>
      </w:r>
      <w:bookmarkEnd w:id="0"/>
    </w:p>
    <w:p>
      <w:pPr>
        <w:spacing w:line="360" w:lineRule="auto"/>
        <w:ind w:firstLine="480" w:firstLineChars="200"/>
        <w:rPr>
          <w:rFonts w:hint="eastAsia" w:ascii="仿宋" w:hAnsi="仿宋" w:eastAsia="仿宋" w:cs="仿宋"/>
          <w:color w:val="auto"/>
          <w:sz w:val="24"/>
          <w:szCs w:val="24"/>
        </w:rPr>
      </w:pPr>
      <w:bookmarkStart w:id="1" w:name="_Toc445674783"/>
      <w:bookmarkStart w:id="2" w:name="_Toc445675051"/>
      <w:r>
        <w:rPr>
          <w:rFonts w:hint="eastAsia" w:ascii="仿宋" w:hAnsi="仿宋" w:eastAsia="仿宋" w:cs="仿宋"/>
          <w:color w:val="auto"/>
          <w:sz w:val="24"/>
          <w:szCs w:val="24"/>
        </w:rPr>
        <w:t>1、完成</w:t>
      </w:r>
      <w:r>
        <w:rPr>
          <w:rFonts w:hint="eastAsia" w:ascii="仿宋" w:hAnsi="仿宋" w:eastAsia="仿宋" w:cs="仿宋"/>
          <w:color w:val="auto"/>
          <w:sz w:val="24"/>
          <w:szCs w:val="24"/>
          <w:lang w:eastAsia="zh-CN"/>
        </w:rPr>
        <w:t>上表所列信息系统</w:t>
      </w:r>
      <w:r>
        <w:rPr>
          <w:rFonts w:hint="eastAsia" w:ascii="仿宋" w:hAnsi="仿宋" w:eastAsia="仿宋" w:cs="仿宋"/>
          <w:color w:val="auto"/>
          <w:sz w:val="24"/>
          <w:szCs w:val="24"/>
        </w:rPr>
        <w:t>的等保差距分析与</w:t>
      </w:r>
      <w:bookmarkEnd w:id="1"/>
      <w:r>
        <w:rPr>
          <w:rFonts w:hint="eastAsia" w:ascii="仿宋" w:hAnsi="仿宋" w:eastAsia="仿宋" w:cs="仿宋"/>
          <w:color w:val="auto"/>
          <w:sz w:val="24"/>
          <w:szCs w:val="24"/>
        </w:rPr>
        <w:t>测评方案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完成</w:t>
      </w:r>
      <w:r>
        <w:rPr>
          <w:rFonts w:hint="eastAsia" w:ascii="仿宋" w:hAnsi="仿宋" w:eastAsia="仿宋" w:cs="仿宋"/>
          <w:color w:val="auto"/>
          <w:sz w:val="24"/>
          <w:szCs w:val="24"/>
          <w:lang w:eastAsia="zh-CN"/>
        </w:rPr>
        <w:t>上表所列信息系统</w:t>
      </w:r>
      <w:r>
        <w:rPr>
          <w:rFonts w:hint="eastAsia" w:ascii="仿宋" w:hAnsi="仿宋" w:eastAsia="仿宋" w:cs="仿宋"/>
          <w:color w:val="auto"/>
          <w:sz w:val="24"/>
          <w:szCs w:val="24"/>
        </w:rPr>
        <w:t>的预评估，进行等级保护差异分析并形成初期测评方案，具体工作包括：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"_Toc430701100"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等级保护差异分析评估：</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信息安全等级保护整改差距分析是开展等级保护整改工作的前提和依据，将行业等级保护整改的各项要求与学校信息安全管理现状进行比较分析，从管理和技术两个层面找出存在的问题。等保整改差异分析主要是以《信息系统安全等级保护基本要求2.0》中安全通用要求为指导，首先要求进行安全现状调研和风险评估，根据风险评估的结果与等级保护基本要求进行差距分析，为等保整改方案提供依据和指导。承建测评机构须根据等保要求，对系统进行全面预评测检查和评估，并在此基础上形成分析报告。</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"_Toc430701100"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等级保护测评服务：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信息安全等级保护整改方案是在梳理差距分析的基础上，</w:t>
      </w:r>
      <w:bookmarkStart w:id="3" w:name="_Toc430701121"/>
      <w:bookmarkStart w:id="4" w:name="_Toc445674784"/>
      <w:r>
        <w:rPr>
          <w:rFonts w:hint="eastAsia" w:ascii="仿宋" w:hAnsi="仿宋" w:eastAsia="仿宋" w:cs="仿宋"/>
          <w:color w:val="auto"/>
          <w:sz w:val="24"/>
          <w:szCs w:val="24"/>
          <w:lang w:val="en-US" w:eastAsia="zh-CN"/>
        </w:rPr>
        <w:t>学校的系统</w:t>
      </w:r>
      <w:r>
        <w:rPr>
          <w:rFonts w:hint="eastAsia" w:ascii="仿宋" w:hAnsi="仿宋" w:eastAsia="仿宋" w:cs="仿宋"/>
          <w:color w:val="auto"/>
          <w:sz w:val="24"/>
          <w:szCs w:val="24"/>
        </w:rPr>
        <w:t>完成相关整改工作后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按照国家相关等保测评标准及要求进行最终等级保护测评工作，并按照实际情况出具安全等级测评报告。</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2、等级保护测评</w:t>
      </w:r>
      <w:bookmarkEnd w:id="3"/>
      <w:bookmarkEnd w:id="4"/>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参照GB/T 22239-2019《信息安全技术网络安全等级保护基本要求》要求开展系统等级保护安全测评</w:t>
      </w:r>
      <w:r>
        <w:rPr>
          <w:rFonts w:hint="eastAsia" w:ascii="仿宋" w:hAnsi="仿宋" w:eastAsia="仿宋" w:cs="仿宋"/>
          <w:color w:val="auto"/>
          <w:sz w:val="24"/>
          <w:szCs w:val="24"/>
          <w:lang w:eastAsia="zh-CN"/>
        </w:rPr>
        <w:t>。</w:t>
      </w:r>
    </w:p>
    <w:p>
      <w:pPr>
        <w:numPr>
          <w:ilvl w:val="0"/>
          <w:numId w:val="2"/>
        </w:num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其他安全服务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参照GB/T 22239-2019《信息安全技术网络安全等级保护基本要求》要求开展系统</w:t>
      </w:r>
      <w:r>
        <w:rPr>
          <w:rFonts w:hint="eastAsia" w:ascii="仿宋" w:hAnsi="仿宋" w:eastAsia="仿宋" w:cs="仿宋"/>
          <w:color w:val="auto"/>
          <w:sz w:val="24"/>
          <w:szCs w:val="24"/>
          <w:lang w:val="en-US" w:eastAsia="zh-CN"/>
        </w:rPr>
        <w:t>安全整改服务、漏洞扫描服务、渗透测试服务（2个系统）。</w:t>
      </w:r>
    </w:p>
    <w:bookmarkEnd w:id="2"/>
    <w:p>
      <w:pPr>
        <w:spacing w:line="360" w:lineRule="auto"/>
        <w:rPr>
          <w:rFonts w:hint="eastAsia" w:ascii="仿宋" w:hAnsi="仿宋" w:eastAsia="仿宋" w:cs="仿宋"/>
          <w:b/>
          <w:bCs/>
          <w:color w:val="auto"/>
          <w:sz w:val="24"/>
          <w:szCs w:val="24"/>
        </w:rPr>
      </w:pPr>
      <w:bookmarkStart w:id="5" w:name="_Toc445675052"/>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、投标内容要求</w:t>
      </w:r>
      <w:bookmarkEnd w:id="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为保证招标人客观公正地选择合作伙伴，投标人提供的报价资料中除具有上述各条款要求的技术方案外，投标人还需提供以下相关材料：</w:t>
      </w:r>
    </w:p>
    <w:p>
      <w:pPr>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公司营业执照复印件（加盖公章）。</w:t>
      </w:r>
    </w:p>
    <w:p>
      <w:pPr>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报价单。</w:t>
      </w:r>
    </w:p>
    <w:p>
      <w:pPr>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拟选派的项目组成员名单及相关技能证明以及项目小组的组织结构等的描述。</w:t>
      </w:r>
    </w:p>
    <w:p>
      <w:pPr>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项目实施方案、项目质量控制措施、项目文档管理措施等的详细说明。</w:t>
      </w:r>
    </w:p>
    <w:p>
      <w:pPr>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项目完成周期。</w:t>
      </w:r>
    </w:p>
    <w:p>
      <w:pPr>
        <w:spacing w:line="360" w:lineRule="auto"/>
        <w:rPr>
          <w:rFonts w:hint="eastAsia" w:ascii="仿宋" w:hAnsi="仿宋" w:eastAsia="仿宋" w:cs="仿宋"/>
          <w:b/>
          <w:bCs/>
          <w:color w:val="auto"/>
          <w:sz w:val="24"/>
          <w:szCs w:val="24"/>
        </w:rPr>
      </w:pPr>
      <w:bookmarkStart w:id="6" w:name="_Toc445675053"/>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、投标人资质要求</w:t>
      </w:r>
      <w:bookmarkEnd w:id="6"/>
    </w:p>
    <w:p>
      <w:pPr>
        <w:spacing w:line="360" w:lineRule="auto"/>
        <w:ind w:firstLine="239"/>
        <w:rPr>
          <w:rFonts w:hint="eastAsia" w:ascii="仿宋" w:hAnsi="仿宋" w:eastAsia="仿宋" w:cs="仿宋"/>
          <w:b/>
          <w:color w:val="auto"/>
          <w:sz w:val="24"/>
          <w:szCs w:val="24"/>
        </w:rPr>
      </w:pPr>
      <w:bookmarkStart w:id="7" w:name="_Toc445674788"/>
      <w:r>
        <w:rPr>
          <w:rFonts w:hint="eastAsia" w:ascii="仿宋" w:hAnsi="仿宋" w:eastAsia="仿宋" w:cs="仿宋"/>
          <w:b/>
          <w:color w:val="auto"/>
          <w:sz w:val="24"/>
          <w:szCs w:val="24"/>
        </w:rPr>
        <w:t>参与我校等级保护项目的投标人，具有以下资质和案例，将优先选择：</w:t>
      </w:r>
      <w:bookmarkEnd w:id="7"/>
    </w:p>
    <w:p>
      <w:pPr>
        <w:numPr>
          <w:ilvl w:val="0"/>
          <w:numId w:val="4"/>
        </w:numPr>
        <w:spacing w:line="360"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投标人应在中国境内（不包括香港、澳门、台湾地区）有效注册，具有独立承担民事责任的能力（须提供营业执照复印件并加盖公章）；</w:t>
      </w:r>
    </w:p>
    <w:p>
      <w:pPr>
        <w:numPr>
          <w:ilvl w:val="0"/>
          <w:numId w:val="4"/>
        </w:numPr>
        <w:spacing w:line="360" w:lineRule="auto"/>
        <w:ind w:left="845" w:leftChars="0" w:hanging="425" w:firstLineChars="0"/>
        <w:rPr>
          <w:rFonts w:hint="eastAsia" w:ascii="仿宋" w:hAnsi="仿宋" w:eastAsia="仿宋" w:cs="仿宋"/>
          <w:strike w:val="0"/>
          <w:dstrike w:val="0"/>
          <w:color w:val="auto"/>
          <w:sz w:val="24"/>
          <w:szCs w:val="24"/>
          <w:u w:val="none"/>
        </w:rPr>
      </w:pPr>
      <w:r>
        <w:rPr>
          <w:rFonts w:hint="eastAsia" w:ascii="仿宋" w:hAnsi="仿宋" w:eastAsia="仿宋" w:cs="仿宋"/>
          <w:strike w:val="0"/>
          <w:dstrike w:val="0"/>
          <w:color w:val="auto"/>
          <w:sz w:val="24"/>
          <w:szCs w:val="24"/>
          <w:u w:val="none"/>
        </w:rPr>
        <w:t>投标人须</w:t>
      </w:r>
      <w:r>
        <w:rPr>
          <w:rFonts w:hint="eastAsia" w:ascii="仿宋" w:hAnsi="仿宋" w:eastAsia="仿宋" w:cs="仿宋"/>
          <w:strike w:val="0"/>
          <w:dstrike w:val="0"/>
          <w:color w:val="auto"/>
          <w:sz w:val="24"/>
          <w:szCs w:val="24"/>
          <w:u w:val="none"/>
          <w:lang w:val="en-US" w:eastAsia="zh-CN"/>
        </w:rPr>
        <w:t>在中标后提供测评机构对本项目的授权函或战略合作协议方可签订合同</w:t>
      </w:r>
      <w:r>
        <w:rPr>
          <w:rFonts w:hint="eastAsia" w:ascii="仿宋" w:hAnsi="仿宋" w:eastAsia="仿宋" w:cs="仿宋"/>
          <w:strike w:val="0"/>
          <w:dstrike w:val="0"/>
          <w:color w:val="auto"/>
          <w:sz w:val="24"/>
          <w:szCs w:val="24"/>
          <w:u w:val="none"/>
        </w:rPr>
        <w:t>；</w:t>
      </w:r>
    </w:p>
    <w:p>
      <w:pPr>
        <w:numPr>
          <w:ilvl w:val="0"/>
          <w:numId w:val="4"/>
        </w:numPr>
        <w:spacing w:line="360"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投标人具</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履行合同所必需的设备和专业技术能力；</w:t>
      </w:r>
    </w:p>
    <w:p>
      <w:pPr>
        <w:numPr>
          <w:ilvl w:val="0"/>
          <w:numId w:val="4"/>
        </w:numPr>
        <w:spacing w:line="360"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投标人具</w:t>
      </w:r>
      <w:r>
        <w:rPr>
          <w:rFonts w:hint="eastAsia" w:ascii="仿宋" w:hAnsi="仿宋" w:eastAsia="仿宋" w:cs="仿宋"/>
          <w:color w:val="auto"/>
          <w:sz w:val="24"/>
          <w:szCs w:val="24"/>
          <w:lang w:val="en-US" w:eastAsia="zh-CN"/>
        </w:rPr>
        <w:t>有网络安全等级保护测评</w:t>
      </w:r>
      <w:r>
        <w:rPr>
          <w:rFonts w:hint="eastAsia" w:ascii="仿宋" w:hAnsi="仿宋" w:eastAsia="仿宋" w:cs="仿宋"/>
          <w:color w:val="auto"/>
          <w:sz w:val="24"/>
          <w:szCs w:val="24"/>
        </w:rPr>
        <w:t>服务业绩（须提供合同复印件并加盖公章）；</w:t>
      </w:r>
    </w:p>
    <w:p>
      <w:pPr>
        <w:numPr>
          <w:ilvl w:val="0"/>
          <w:numId w:val="4"/>
        </w:numPr>
        <w:spacing w:line="360" w:lineRule="auto"/>
        <w:ind w:left="84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参加本次招标活动前三年内，投标人在经营活动中没有重大违法记录，无利用不正当竞争手段骗取中标，无重大经济案件，无因自身的任何违约、违法及违反商业道德的行为而导致合同解除或败诉。投标时须提供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五、评分标准</w:t>
      </w:r>
    </w:p>
    <w:tbl>
      <w:tblPr>
        <w:tblStyle w:val="6"/>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574"/>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评分项目</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评分要点及说明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报价得分</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报价分＝价格分值×（评标基准价/评审价）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2服务方案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投标人结合本项目需求，针对等保服务方案从（1）服务内容（2）重难点分析（3）服务方式（4）服务流程（5）服务质量保证措施等方面进行说明。综合横向评判：服务方案（1）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（5）项，方案贴合需求、全面完善、条理清晰，针对性可行性强的得</w:t>
            </w:r>
            <w:r>
              <w:rPr>
                <w:rFonts w:hint="eastAsia" w:ascii="仿宋" w:hAnsi="仿宋" w:eastAsia="仿宋" w:cs="仿宋"/>
                <w:color w:val="auto"/>
                <w:sz w:val="24"/>
                <w:szCs w:val="24"/>
                <w:lang w:val="en-US" w:eastAsia="zh-CN"/>
              </w:rPr>
              <w:t>25—3</w:t>
            </w:r>
            <w:r>
              <w:rPr>
                <w:rFonts w:hint="eastAsia" w:ascii="仿宋" w:hAnsi="仿宋" w:eastAsia="仿宋" w:cs="仿宋"/>
                <w:color w:val="auto"/>
                <w:sz w:val="24"/>
                <w:szCs w:val="24"/>
              </w:rPr>
              <w:t>0分；方案较充分、满足基本要求的得</w:t>
            </w:r>
            <w:r>
              <w:rPr>
                <w:rFonts w:hint="eastAsia" w:ascii="仿宋" w:hAnsi="仿宋" w:eastAsia="仿宋" w:cs="仿宋"/>
                <w:color w:val="auto"/>
                <w:sz w:val="24"/>
                <w:szCs w:val="24"/>
                <w:lang w:val="en-US" w:eastAsia="zh-CN"/>
              </w:rPr>
              <w:t>18—24</w:t>
            </w:r>
            <w:r>
              <w:rPr>
                <w:rFonts w:hint="eastAsia" w:ascii="仿宋" w:hAnsi="仿宋" w:eastAsia="仿宋" w:cs="仿宋"/>
                <w:color w:val="auto"/>
                <w:sz w:val="24"/>
                <w:szCs w:val="24"/>
              </w:rPr>
              <w:t>分；方案覆盖各项、但有瑕疵或偏离漏洞的得1</w:t>
            </w:r>
            <w:r>
              <w:rPr>
                <w:rFonts w:hint="eastAsia" w:ascii="仿宋" w:hAnsi="仿宋" w:eastAsia="仿宋" w:cs="仿宋"/>
                <w:color w:val="auto"/>
                <w:sz w:val="24"/>
                <w:szCs w:val="24"/>
                <w:lang w:val="en-US" w:eastAsia="zh-CN"/>
              </w:rPr>
              <w:t>0—17</w:t>
            </w:r>
            <w:r>
              <w:rPr>
                <w:rFonts w:hint="eastAsia" w:ascii="仿宋" w:hAnsi="仿宋" w:eastAsia="仿宋" w:cs="仿宋"/>
                <w:color w:val="auto"/>
                <w:sz w:val="24"/>
                <w:szCs w:val="24"/>
              </w:rPr>
              <w:t>分；方案缺陷较多，可操作性差得1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3项目团队</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项目经理具有PMP或系统集成项目管理工程师得2分，同时具备CISP或CISAW认证得4分，满分4分。（CISP及CISAW证书需提供查询网址及截图证明）</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投标人现场一线</w:t>
            </w:r>
            <w:r>
              <w:rPr>
                <w:rFonts w:hint="eastAsia" w:ascii="仿宋" w:hAnsi="仿宋" w:eastAsia="仿宋" w:cs="仿宋"/>
                <w:color w:val="auto"/>
                <w:sz w:val="24"/>
                <w:szCs w:val="24"/>
                <w:lang w:val="en-US" w:eastAsia="zh-CN"/>
              </w:rPr>
              <w:t>工作</w:t>
            </w:r>
            <w:r>
              <w:rPr>
                <w:rFonts w:hint="eastAsia" w:ascii="仿宋" w:hAnsi="仿宋" w:eastAsia="仿宋" w:cs="仿宋"/>
                <w:color w:val="auto"/>
                <w:sz w:val="24"/>
                <w:szCs w:val="24"/>
              </w:rPr>
              <w:t>人员具有</w:t>
            </w:r>
            <w:r>
              <w:rPr>
                <w:rFonts w:hint="eastAsia" w:ascii="仿宋" w:hAnsi="仿宋" w:eastAsia="仿宋" w:cs="仿宋"/>
                <w:color w:val="auto"/>
                <w:sz w:val="24"/>
                <w:szCs w:val="24"/>
                <w:lang w:val="en-US" w:eastAsia="zh-CN"/>
              </w:rPr>
              <w:t>以下证书，</w:t>
            </w:r>
            <w:r>
              <w:rPr>
                <w:rFonts w:hint="eastAsia" w:ascii="仿宋" w:hAnsi="仿宋" w:eastAsia="仿宋" w:cs="仿宋"/>
                <w:color w:val="auto"/>
                <w:sz w:val="24"/>
                <w:szCs w:val="24"/>
              </w:rPr>
              <w:t>每有一份得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分，不提供不得分。</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CISP</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CISAW</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CCIE</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HCIE</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网络安全等级测评师证书（DJCP）</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注：所有人员证书必须提供证书复印件加盖公章， 电子版证书须提供网站来源截图并加盖公章。人员配备中涉及所有人员须提供近 6 个月或24个月（项目</w:t>
            </w:r>
            <w:r>
              <w:rPr>
                <w:rFonts w:hint="eastAsia" w:ascii="仿宋" w:hAnsi="仿宋" w:eastAsia="仿宋" w:cs="仿宋"/>
                <w:color w:val="auto"/>
                <w:sz w:val="24"/>
                <w:szCs w:val="24"/>
                <w:lang w:val="en-US" w:eastAsia="zh-CN"/>
              </w:rPr>
              <w:t>经理</w:t>
            </w:r>
            <w:r>
              <w:rPr>
                <w:rFonts w:hint="eastAsia" w:ascii="仿宋" w:hAnsi="仿宋" w:eastAsia="仿宋" w:cs="仿宋"/>
                <w:color w:val="auto"/>
                <w:sz w:val="24"/>
                <w:szCs w:val="24"/>
              </w:rPr>
              <w:t>）的劳动合同或社保证明并加盖公章， 否则本大项不得分。提供非一线人员信息的，属无效信息不得分。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4售后服务</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售后服务方案的完整性、科学性、可行性以及经济性等整体评述。（好的，得10分；一般，得6分；差的，得2分）。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现场服务以及技术支持的及时性、保证措施等情况。（好的，得10分；一般，得6分；差的，得2分）。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5综合实力</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投标人提供ISO9001证书得1分；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投标人提供ISO27001证书得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投标人提供ISO20000证书得1分；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投标人提供上海市高新技术企业证书得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投标人提供专精特新企业证书得2分；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投标人提供CCRC颁发的软件安全开发服务资质（三级）认证得1分；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投标人提供CCRC颁发的信息系统安全运维服务（三级）认证得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投标人提供CCRC颁发的信息系统安全集成服务（三级）认证得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以上证书未提供或证书不在有效期内，均不得分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6类似案例</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0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投标人必须提供自2021年1月1日以来</w:t>
            </w:r>
            <w:r>
              <w:rPr>
                <w:rFonts w:hint="eastAsia" w:ascii="仿宋" w:hAnsi="仿宋" w:eastAsia="仿宋" w:cs="仿宋"/>
                <w:color w:val="auto"/>
                <w:sz w:val="24"/>
                <w:szCs w:val="24"/>
                <w:lang w:val="en-US" w:eastAsia="zh-CN"/>
              </w:rPr>
              <w:t>高等院校</w:t>
            </w:r>
            <w:r>
              <w:rPr>
                <w:rFonts w:hint="eastAsia" w:ascii="仿宋" w:hAnsi="仿宋" w:eastAsia="仿宋" w:cs="仿宋"/>
                <w:color w:val="auto"/>
                <w:sz w:val="24"/>
                <w:szCs w:val="24"/>
              </w:rPr>
              <w:t>相关的类似案例。</w:t>
            </w:r>
            <w:r>
              <w:rPr>
                <w:rFonts w:hint="eastAsia" w:ascii="仿宋" w:hAnsi="仿宋" w:eastAsia="仿宋" w:cs="仿宋"/>
                <w:color w:val="auto"/>
                <w:sz w:val="24"/>
                <w:szCs w:val="24"/>
                <w:lang w:val="en-US" w:eastAsia="zh-CN"/>
              </w:rPr>
              <w:t>提供985/211类院校案例的</w:t>
            </w:r>
            <w:r>
              <w:rPr>
                <w:rFonts w:hint="eastAsia" w:ascii="仿宋" w:hAnsi="仿宋" w:eastAsia="仿宋" w:cs="仿宋"/>
                <w:color w:val="auto"/>
                <w:sz w:val="24"/>
                <w:szCs w:val="24"/>
              </w:rPr>
              <w:t>每个案例得2分，</w:t>
            </w:r>
            <w:r>
              <w:rPr>
                <w:rFonts w:hint="eastAsia" w:ascii="仿宋" w:hAnsi="仿宋" w:eastAsia="仿宋" w:cs="仿宋"/>
                <w:color w:val="auto"/>
                <w:sz w:val="24"/>
                <w:szCs w:val="24"/>
                <w:lang w:val="en-US" w:eastAsia="zh-CN"/>
              </w:rPr>
              <w:t>其他得1分，</w:t>
            </w:r>
            <w:r>
              <w:rPr>
                <w:rFonts w:hint="eastAsia" w:ascii="仿宋" w:hAnsi="仿宋" w:eastAsia="仿宋" w:cs="仿宋"/>
                <w:color w:val="auto"/>
                <w:sz w:val="24"/>
                <w:szCs w:val="24"/>
              </w:rPr>
              <w:t>满分10分。需提供案例合同证明文件（复印件加盖投标人公章），案例合同中需涉及双方签约盖章页、项目名称、服务内容页等关键要素页，否则不予认可。提供无关案例也不予认可。</w:t>
            </w:r>
          </w:p>
        </w:tc>
      </w:tr>
    </w:tbl>
    <w:p>
      <w:pPr>
        <w:spacing w:line="360" w:lineRule="auto"/>
        <w:rPr>
          <w:rFonts w:hint="eastAsia" w:ascii="仿宋" w:hAnsi="仿宋" w:eastAsia="仿宋" w:cs="仿宋"/>
          <w:b/>
          <w:bCs/>
          <w:color w:val="auto"/>
          <w:sz w:val="24"/>
          <w:szCs w:val="24"/>
        </w:rPr>
      </w:pPr>
      <w:bookmarkStart w:id="8" w:name="_Toc445675054"/>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、其他要求</w:t>
      </w:r>
      <w:bookmarkEnd w:id="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1．项目实施周期要求在合同签署后</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个月内完成。</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rPr>
        <w:t>报价为闭口合同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报价包含对系统的评测费用。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rPr>
        <w:tab/>
      </w:r>
      <w:r>
        <w:rPr>
          <w:rFonts w:hint="eastAsia" w:ascii="仿宋" w:hAnsi="仿宋" w:eastAsia="仿宋" w:cs="仿宋"/>
          <w:color w:val="auto"/>
          <w:sz w:val="24"/>
          <w:szCs w:val="24"/>
        </w:rPr>
        <w:t>报价不得超过</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大写：拾陆万元整）</w:t>
      </w:r>
      <w:r>
        <w:rPr>
          <w:rFonts w:hint="eastAsia" w:ascii="仿宋" w:hAnsi="仿宋" w:eastAsia="仿宋" w:cs="仿宋"/>
          <w:color w:val="auto"/>
          <w:sz w:val="24"/>
          <w:szCs w:val="24"/>
        </w:rPr>
        <w:t>人民币，否则视为无效报价。</w:t>
      </w:r>
    </w:p>
    <w:p>
      <w:pPr>
        <w:pStyle w:val="1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 鉴于</w:t>
      </w:r>
      <w:r>
        <w:rPr>
          <w:rFonts w:hint="eastAsia" w:ascii="仿宋" w:hAnsi="仿宋" w:eastAsia="仿宋" w:cs="仿宋"/>
          <w:color w:val="auto"/>
          <w:sz w:val="24"/>
          <w:szCs w:val="24"/>
          <w:lang w:val="en-US" w:eastAsia="zh-CN"/>
        </w:rPr>
        <w:t>上述信息</w:t>
      </w:r>
      <w:r>
        <w:rPr>
          <w:rFonts w:hint="eastAsia" w:ascii="仿宋" w:hAnsi="仿宋" w:eastAsia="仿宋" w:cs="仿宋"/>
          <w:color w:val="auto"/>
          <w:sz w:val="24"/>
          <w:szCs w:val="24"/>
        </w:rPr>
        <w:t>系统为学校的核心系统，若中标方实施未能满足甲方需求，甲方有权单方面无偿</w:t>
      </w:r>
      <w:r>
        <w:rPr>
          <w:rFonts w:hint="eastAsia" w:ascii="仿宋" w:hAnsi="仿宋" w:eastAsia="仿宋" w:cs="仿宋"/>
          <w:color w:val="auto"/>
          <w:sz w:val="24"/>
          <w:szCs w:val="24"/>
          <w:lang w:eastAsia="zh-CN"/>
        </w:rPr>
        <w:t>终止</w:t>
      </w:r>
      <w:r>
        <w:rPr>
          <w:rFonts w:hint="eastAsia" w:ascii="仿宋" w:hAnsi="仿宋" w:eastAsia="仿宋" w:cs="仿宋"/>
          <w:color w:val="auto"/>
          <w:sz w:val="24"/>
          <w:szCs w:val="24"/>
        </w:rPr>
        <w:t>合同。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合同签订后，甲方支付合同总价的80%款项。</w:t>
      </w:r>
      <w:r>
        <w:rPr>
          <w:rFonts w:hint="eastAsia" w:ascii="仿宋" w:hAnsi="仿宋" w:eastAsia="仿宋" w:cs="仿宋"/>
          <w:color w:val="auto"/>
          <w:sz w:val="24"/>
          <w:szCs w:val="24"/>
        </w:rPr>
        <w:t>完成所有服务工作后，乙方提出申请并出具</w:t>
      </w:r>
      <w:r>
        <w:rPr>
          <w:rFonts w:hint="eastAsia" w:ascii="仿宋" w:hAnsi="仿宋" w:eastAsia="仿宋" w:cs="仿宋"/>
          <w:color w:val="auto"/>
          <w:sz w:val="24"/>
          <w:szCs w:val="24"/>
          <w:lang w:val="en-US" w:eastAsia="zh-CN"/>
        </w:rPr>
        <w:t>全部的</w:t>
      </w:r>
      <w:r>
        <w:rPr>
          <w:rFonts w:hint="eastAsia" w:ascii="仿宋" w:hAnsi="仿宋" w:eastAsia="仿宋" w:cs="仿宋"/>
          <w:color w:val="auto"/>
          <w:sz w:val="24"/>
          <w:szCs w:val="24"/>
        </w:rPr>
        <w:t>测评报告，甲方组织对测评</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进行验收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验收通过后，支付合同总价的</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59EDA"/>
    <w:multiLevelType w:val="singleLevel"/>
    <w:tmpl w:val="1E759EDA"/>
    <w:lvl w:ilvl="0" w:tentative="0">
      <w:start w:val="1"/>
      <w:numFmt w:val="decimal"/>
      <w:lvlText w:val="%1."/>
      <w:lvlJc w:val="left"/>
      <w:pPr>
        <w:tabs>
          <w:tab w:val="left" w:pos="420"/>
        </w:tabs>
        <w:ind w:left="845" w:hanging="425"/>
      </w:pPr>
      <w:rPr>
        <w:rFonts w:hint="default"/>
      </w:rPr>
    </w:lvl>
  </w:abstractNum>
  <w:abstractNum w:abstractNumId="1">
    <w:nsid w:val="44DE982E"/>
    <w:multiLevelType w:val="singleLevel"/>
    <w:tmpl w:val="44DE982E"/>
    <w:lvl w:ilvl="0" w:tentative="0">
      <w:start w:val="3"/>
      <w:numFmt w:val="decimal"/>
      <w:suff w:val="nothing"/>
      <w:lvlText w:val="%1、"/>
      <w:lvlJc w:val="left"/>
    </w:lvl>
  </w:abstractNum>
  <w:abstractNum w:abstractNumId="2">
    <w:nsid w:val="5F26077A"/>
    <w:multiLevelType w:val="multilevel"/>
    <w:tmpl w:val="5F26077A"/>
    <w:lvl w:ilvl="0" w:tentative="0">
      <w:start w:val="1"/>
      <w:numFmt w:val="bullet"/>
      <w:pStyle w:val="14"/>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3">
    <w:nsid w:val="7A9B6A70"/>
    <w:multiLevelType w:val="multilevel"/>
    <w:tmpl w:val="7A9B6A70"/>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00B41B03"/>
    <w:rsid w:val="00014652"/>
    <w:rsid w:val="000206D3"/>
    <w:rsid w:val="00032C87"/>
    <w:rsid w:val="0008610E"/>
    <w:rsid w:val="000C7E59"/>
    <w:rsid w:val="000E44FE"/>
    <w:rsid w:val="000E4A2E"/>
    <w:rsid w:val="000F6759"/>
    <w:rsid w:val="00117E48"/>
    <w:rsid w:val="0012574B"/>
    <w:rsid w:val="0015050C"/>
    <w:rsid w:val="00162F69"/>
    <w:rsid w:val="0016648B"/>
    <w:rsid w:val="00184BF5"/>
    <w:rsid w:val="001C1BFF"/>
    <w:rsid w:val="001D7F7B"/>
    <w:rsid w:val="0022574B"/>
    <w:rsid w:val="002A7290"/>
    <w:rsid w:val="002C7F02"/>
    <w:rsid w:val="002E42D2"/>
    <w:rsid w:val="0031508B"/>
    <w:rsid w:val="0034058C"/>
    <w:rsid w:val="00345CB5"/>
    <w:rsid w:val="00362DA6"/>
    <w:rsid w:val="00390DA6"/>
    <w:rsid w:val="0039432A"/>
    <w:rsid w:val="003B04DB"/>
    <w:rsid w:val="003B7338"/>
    <w:rsid w:val="003C3D6D"/>
    <w:rsid w:val="003E32C6"/>
    <w:rsid w:val="0041088C"/>
    <w:rsid w:val="004402C7"/>
    <w:rsid w:val="00446F6D"/>
    <w:rsid w:val="00447F4A"/>
    <w:rsid w:val="004708B5"/>
    <w:rsid w:val="0047283C"/>
    <w:rsid w:val="00476CF7"/>
    <w:rsid w:val="00492A69"/>
    <w:rsid w:val="005454D7"/>
    <w:rsid w:val="005753CA"/>
    <w:rsid w:val="00576D76"/>
    <w:rsid w:val="00577852"/>
    <w:rsid w:val="0058641D"/>
    <w:rsid w:val="00633F33"/>
    <w:rsid w:val="00654C5A"/>
    <w:rsid w:val="00661B98"/>
    <w:rsid w:val="00662C23"/>
    <w:rsid w:val="00687810"/>
    <w:rsid w:val="00687BC6"/>
    <w:rsid w:val="0069066E"/>
    <w:rsid w:val="006E358E"/>
    <w:rsid w:val="00717C14"/>
    <w:rsid w:val="00726F60"/>
    <w:rsid w:val="007273F8"/>
    <w:rsid w:val="00761AAA"/>
    <w:rsid w:val="00795BC5"/>
    <w:rsid w:val="008B1D67"/>
    <w:rsid w:val="008B5930"/>
    <w:rsid w:val="00904536"/>
    <w:rsid w:val="0091127B"/>
    <w:rsid w:val="009315E8"/>
    <w:rsid w:val="0095254E"/>
    <w:rsid w:val="00965380"/>
    <w:rsid w:val="0097619C"/>
    <w:rsid w:val="009D1D46"/>
    <w:rsid w:val="00A2556B"/>
    <w:rsid w:val="00A738FA"/>
    <w:rsid w:val="00A75C95"/>
    <w:rsid w:val="00A94432"/>
    <w:rsid w:val="00AA19A6"/>
    <w:rsid w:val="00B25707"/>
    <w:rsid w:val="00B41B03"/>
    <w:rsid w:val="00B7787F"/>
    <w:rsid w:val="00BC06AD"/>
    <w:rsid w:val="00BC3A26"/>
    <w:rsid w:val="00BE7152"/>
    <w:rsid w:val="00C0391B"/>
    <w:rsid w:val="00C16A09"/>
    <w:rsid w:val="00C964C9"/>
    <w:rsid w:val="00CE3F2A"/>
    <w:rsid w:val="00D15065"/>
    <w:rsid w:val="00D26C22"/>
    <w:rsid w:val="00D36CFB"/>
    <w:rsid w:val="00D65D7A"/>
    <w:rsid w:val="00D76594"/>
    <w:rsid w:val="00D843B3"/>
    <w:rsid w:val="00D85E25"/>
    <w:rsid w:val="00D86F32"/>
    <w:rsid w:val="00DD770E"/>
    <w:rsid w:val="00DE120F"/>
    <w:rsid w:val="00DF49D0"/>
    <w:rsid w:val="00E55A57"/>
    <w:rsid w:val="00E71985"/>
    <w:rsid w:val="00EB45ED"/>
    <w:rsid w:val="00EB6FCB"/>
    <w:rsid w:val="00EF232A"/>
    <w:rsid w:val="00F02E59"/>
    <w:rsid w:val="00F25EA6"/>
    <w:rsid w:val="00F53576"/>
    <w:rsid w:val="00F569AD"/>
    <w:rsid w:val="00FB5B4F"/>
    <w:rsid w:val="00FD29AB"/>
    <w:rsid w:val="048971CB"/>
    <w:rsid w:val="075D2CB5"/>
    <w:rsid w:val="094255AE"/>
    <w:rsid w:val="0ABC601E"/>
    <w:rsid w:val="0B3E43E1"/>
    <w:rsid w:val="0C257273"/>
    <w:rsid w:val="0DA90E87"/>
    <w:rsid w:val="0FE36ADD"/>
    <w:rsid w:val="0FF87353"/>
    <w:rsid w:val="111844DB"/>
    <w:rsid w:val="111E0ECA"/>
    <w:rsid w:val="11301FEB"/>
    <w:rsid w:val="11957178"/>
    <w:rsid w:val="136F66CF"/>
    <w:rsid w:val="13CE6C31"/>
    <w:rsid w:val="18720790"/>
    <w:rsid w:val="1A6F4CA4"/>
    <w:rsid w:val="1F6055EE"/>
    <w:rsid w:val="24AE764F"/>
    <w:rsid w:val="24FD3FB6"/>
    <w:rsid w:val="25551C2C"/>
    <w:rsid w:val="26AF4C34"/>
    <w:rsid w:val="26DA5768"/>
    <w:rsid w:val="2786594A"/>
    <w:rsid w:val="2865225B"/>
    <w:rsid w:val="2A5561C7"/>
    <w:rsid w:val="2D6E75C0"/>
    <w:rsid w:val="2DBF6C91"/>
    <w:rsid w:val="2E571FBF"/>
    <w:rsid w:val="332548F4"/>
    <w:rsid w:val="35C12962"/>
    <w:rsid w:val="37270418"/>
    <w:rsid w:val="394C6378"/>
    <w:rsid w:val="3AF259C7"/>
    <w:rsid w:val="40C024EF"/>
    <w:rsid w:val="43240C58"/>
    <w:rsid w:val="48937B73"/>
    <w:rsid w:val="4BB36DD7"/>
    <w:rsid w:val="4F392A0C"/>
    <w:rsid w:val="4FBD62C6"/>
    <w:rsid w:val="52126D60"/>
    <w:rsid w:val="5338707D"/>
    <w:rsid w:val="549749C7"/>
    <w:rsid w:val="560F1C54"/>
    <w:rsid w:val="5754684A"/>
    <w:rsid w:val="595C322C"/>
    <w:rsid w:val="5B5437AD"/>
    <w:rsid w:val="5B87227F"/>
    <w:rsid w:val="5DD72473"/>
    <w:rsid w:val="62A1690C"/>
    <w:rsid w:val="643C0B1F"/>
    <w:rsid w:val="661C4733"/>
    <w:rsid w:val="674C7DC9"/>
    <w:rsid w:val="68AA03C3"/>
    <w:rsid w:val="6AE168C7"/>
    <w:rsid w:val="6D6B31E0"/>
    <w:rsid w:val="70F06502"/>
    <w:rsid w:val="7287352E"/>
    <w:rsid w:val="75160E86"/>
    <w:rsid w:val="7547562F"/>
    <w:rsid w:val="7604632A"/>
    <w:rsid w:val="762773A5"/>
    <w:rsid w:val="77CB28B3"/>
    <w:rsid w:val="792620AF"/>
    <w:rsid w:val="7E6F077A"/>
    <w:rsid w:val="7FBC432C"/>
    <w:rsid w:val="7FF33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8">
    <w:name w:val="Strong"/>
    <w:basedOn w:val="7"/>
    <w:qFormat/>
    <w:uiPriority w:val="22"/>
    <w:rPr>
      <w:b/>
    </w:rPr>
  </w:style>
  <w:style w:type="character" w:styleId="9">
    <w:name w:val="Hyperlink"/>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列表段落1"/>
    <w:qFormat/>
    <w:uiPriority w:val="34"/>
    <w:pPr>
      <w:ind w:firstLine="420" w:firstLineChars="200"/>
    </w:pPr>
    <w:rPr>
      <w:rFonts w:ascii="Times New Roman" w:hAnsi="Times New Roman" w:eastAsia="宋体" w:cs="Times New Roman"/>
      <w:lang w:val="en-US" w:eastAsia="zh-CN" w:bidi="ar-SA"/>
    </w:rPr>
  </w:style>
  <w:style w:type="paragraph" w:customStyle="1" w:styleId="14">
    <w:name w:val="bianhao1"/>
    <w:basedOn w:val="1"/>
    <w:qFormat/>
    <w:uiPriority w:val="0"/>
    <w:pPr>
      <w:numPr>
        <w:ilvl w:val="0"/>
        <w:numId w:val="1"/>
      </w:numPr>
      <w:spacing w:line="360" w:lineRule="auto"/>
    </w:pPr>
    <w:rPr>
      <w:sz w:val="24"/>
    </w:rPr>
  </w:style>
  <w:style w:type="paragraph" w:customStyle="1" w:styleId="15">
    <w:name w:val="tytytyty"/>
    <w:basedOn w:val="1"/>
    <w:qFormat/>
    <w:uiPriority w:val="0"/>
    <w:pPr>
      <w:spacing w:line="360" w:lineRule="auto"/>
      <w:ind w:left="359" w:leftChars="171" w:firstLine="480" w:firstLineChars="200"/>
    </w:pPr>
    <w:rPr>
      <w:sz w:val="24"/>
    </w:rPr>
  </w:style>
  <w:style w:type="paragraph" w:styleId="16">
    <w:name w:val="List Paragraph"/>
    <w:basedOn w:val="1"/>
    <w:qFormat/>
    <w:uiPriority w:val="34"/>
    <w:pPr>
      <w:ind w:firstLine="420" w:firstLineChars="200"/>
    </w:pPr>
  </w:style>
  <w:style w:type="character" w:customStyle="1" w:styleId="17">
    <w:name w:val="font31"/>
    <w:basedOn w:val="7"/>
    <w:qFormat/>
    <w:uiPriority w:val="0"/>
    <w:rPr>
      <w:rFonts w:hint="default" w:ascii="Arial Unicode MS" w:hAnsi="Arial Unicode MS" w:eastAsia="Arial Unicode MS" w:cs="Arial Unicode MS"/>
      <w:color w:val="000000"/>
      <w:sz w:val="24"/>
      <w:szCs w:val="24"/>
      <w:u w:val="none"/>
    </w:rPr>
  </w:style>
  <w:style w:type="character" w:customStyle="1" w:styleId="18">
    <w:name w:val="font11"/>
    <w:basedOn w:val="7"/>
    <w:qFormat/>
    <w:uiPriority w:val="0"/>
    <w:rPr>
      <w:rFonts w:hint="eastAsia" w:ascii="等线" w:hAnsi="等线" w:eastAsia="等线" w:cs="等线"/>
      <w:color w:val="70AD47"/>
      <w:sz w:val="22"/>
      <w:szCs w:val="22"/>
      <w:u w:val="none"/>
    </w:rPr>
  </w:style>
  <w:style w:type="character" w:customStyle="1" w:styleId="19">
    <w:name w:val="font21"/>
    <w:basedOn w:val="7"/>
    <w:qFormat/>
    <w:uiPriority w:val="0"/>
    <w:rPr>
      <w:rFonts w:hint="eastAsia" w:ascii="等线" w:hAnsi="等线" w:eastAsia="等线" w:cs="等线"/>
      <w:color w:val="ED7D31"/>
      <w:sz w:val="22"/>
      <w:szCs w:val="22"/>
      <w:u w:val="none"/>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3E434-61FC-4A3B-A1FA-169FE64A02FC}">
  <ds:schemaRefs/>
</ds:datastoreItem>
</file>

<file path=docProps/app.xml><?xml version="1.0" encoding="utf-8"?>
<Properties xmlns="http://schemas.openxmlformats.org/officeDocument/2006/extended-properties" xmlns:vt="http://schemas.openxmlformats.org/officeDocument/2006/docPropsVTypes">
  <Template>Normal</Template>
  <Pages>4</Pages>
  <Words>2689</Words>
  <Characters>2939</Characters>
  <Lines>7</Lines>
  <Paragraphs>2</Paragraphs>
  <TotalTime>1024</TotalTime>
  <ScaleCrop>false</ScaleCrop>
  <LinksUpToDate>false</LinksUpToDate>
  <CharactersWithSpaces>2952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2020-10-19T15:08:00Z</dcterms:created>
  <dc:creator>jerusalem</dc:creator>
  <cp:lastModifiedBy>仲杰</cp:lastModifiedBy>
  <cp:lastPrinted>2020-10-22T05:21:00Z</cp:lastPrinted>
  <dcterms:modified xsi:type="dcterms:W3CDTF">2024-06-05T07:53:00Z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CFE03752C77D4124B08A8EB88030E81A_13</vt:lpwstr>
  </property>
</Properties>
</file>