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rPr>
      </w:pPr>
      <w:bookmarkStart w:id="0" w:name="_Toc28359012"/>
      <w:r>
        <w:rPr>
          <w:rFonts w:hint="eastAsia" w:ascii="宋体" w:hAnsi="宋体"/>
          <w:b/>
          <w:color w:val="auto"/>
          <w:sz w:val="32"/>
          <w:szCs w:val="32"/>
        </w:rPr>
        <w:t>食品（月饼点心）外包装盒采购需求</w:t>
      </w:r>
    </w:p>
    <w:p>
      <w:pPr>
        <w:spacing w:line="54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一、项目基本情况</w:t>
      </w:r>
      <w:bookmarkEnd w:id="0"/>
    </w:p>
    <w:p>
      <w:pPr>
        <w:widowControl/>
        <w:spacing w:line="5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为做好校园饮食文化传承，加强食品包装销售环节安全管理，根据学校食品（月饼、点心）的品种规格大小，定制外包装套盒，拟采取单价比选方式实施采购，预计当年度耗量不低于</w:t>
      </w:r>
      <w:r>
        <w:rPr>
          <w:rFonts w:ascii="仿宋" w:hAnsi="仿宋" w:eastAsia="仿宋" w:cs="仿宋"/>
          <w:color w:val="auto"/>
          <w:sz w:val="28"/>
          <w:szCs w:val="28"/>
        </w:rPr>
        <w:t>6000</w:t>
      </w:r>
      <w:r>
        <w:rPr>
          <w:rFonts w:hint="eastAsia" w:ascii="仿宋" w:hAnsi="仿宋" w:eastAsia="仿宋" w:cs="仿宋"/>
          <w:color w:val="auto"/>
          <w:sz w:val="28"/>
          <w:szCs w:val="28"/>
        </w:rPr>
        <w:t>套，分批订购，按实结算。</w:t>
      </w:r>
    </w:p>
    <w:p>
      <w:pPr>
        <w:spacing w:line="540" w:lineRule="exact"/>
        <w:ind w:firstLine="560" w:firstLineChars="200"/>
        <w:rPr>
          <w:rFonts w:ascii="仿宋" w:hAnsi="仿宋" w:eastAsia="仿宋" w:cs="仿宋"/>
          <w:b/>
          <w:bCs/>
          <w:color w:val="auto"/>
          <w:sz w:val="28"/>
          <w:szCs w:val="28"/>
        </w:rPr>
      </w:pPr>
      <w:bookmarkStart w:id="1" w:name="_Toc28359013"/>
      <w:r>
        <w:rPr>
          <w:rFonts w:hint="eastAsia" w:ascii="黑体" w:hAnsi="黑体" w:eastAsia="黑体" w:cs="黑体"/>
          <w:color w:val="auto"/>
          <w:sz w:val="28"/>
          <w:szCs w:val="28"/>
        </w:rPr>
        <w:t>二、投标人资格要求</w:t>
      </w:r>
      <w:r>
        <w:rPr>
          <w:rFonts w:hint="eastAsia" w:ascii="仿宋" w:hAnsi="仿宋" w:eastAsia="仿宋" w:cs="仿宋"/>
          <w:b/>
          <w:bCs/>
          <w:color w:val="auto"/>
          <w:sz w:val="28"/>
          <w:szCs w:val="28"/>
        </w:rPr>
        <w:t>：</w:t>
      </w:r>
      <w:bookmarkEnd w:id="1"/>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2、具有良好的信用记录，近三年无重大违法、违规、违约行为；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w:t>
      </w:r>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3、经营范围及拟投标货物（服务）符合本次</w:t>
      </w:r>
      <w:r>
        <w:rPr>
          <w:rFonts w:hint="eastAsia" w:ascii="仿宋" w:hAnsi="仿宋" w:eastAsia="仿宋" w:cs="仿宋"/>
          <w:color w:val="auto"/>
          <w:sz w:val="28"/>
          <w:szCs w:val="28"/>
          <w:lang w:eastAsia="zh-CN"/>
        </w:rPr>
        <w:t>比选</w:t>
      </w:r>
      <w:r>
        <w:rPr>
          <w:rFonts w:hint="eastAsia" w:ascii="仿宋" w:hAnsi="仿宋" w:eastAsia="仿宋" w:cs="仿宋"/>
          <w:color w:val="auto"/>
          <w:sz w:val="28"/>
          <w:szCs w:val="28"/>
        </w:rPr>
        <w:t>要求，具有与本次投标货物（服务）相应的经营、代理（经销）资质，能全程参与并完成本项目，且具有较强的服务能力，以及畅通的问题响应机制和渠道等；</w:t>
      </w:r>
    </w:p>
    <w:p>
      <w:pPr>
        <w:spacing w:line="54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4、本项目不接受联合体投标。</w:t>
      </w:r>
    </w:p>
    <w:p>
      <w:pPr>
        <w:spacing w:line="540" w:lineRule="exact"/>
        <w:ind w:firstLine="560" w:firstLineChars="200"/>
        <w:rPr>
          <w:rFonts w:ascii="黑体" w:hAnsi="黑体" w:eastAsia="黑体" w:cs="黑体"/>
          <w:color w:val="auto"/>
          <w:sz w:val="28"/>
          <w:szCs w:val="28"/>
        </w:rPr>
      </w:pPr>
      <w:bookmarkStart w:id="2" w:name="_Toc28359092"/>
      <w:r>
        <w:rPr>
          <w:rFonts w:hint="eastAsia" w:ascii="黑体" w:hAnsi="黑体" w:eastAsia="黑体" w:cs="黑体"/>
          <w:color w:val="auto"/>
          <w:sz w:val="28"/>
          <w:szCs w:val="28"/>
        </w:rPr>
        <w:t>三、报价文件及样品提交</w:t>
      </w:r>
      <w:bookmarkEnd w:id="2"/>
    </w:p>
    <w:p>
      <w:pPr>
        <w:widowControl/>
        <w:spacing w:line="540" w:lineRule="exact"/>
        <w:ind w:firstLine="560" w:firstLineChars="200"/>
        <w:rPr>
          <w:rFonts w:ascii="仿宋" w:hAnsi="仿宋" w:eastAsia="仿宋" w:cs="仿宋"/>
          <w:b/>
          <w:color w:val="auto"/>
          <w:sz w:val="28"/>
          <w:szCs w:val="28"/>
        </w:rPr>
      </w:pPr>
      <w:r>
        <w:rPr>
          <w:rFonts w:hint="eastAsia" w:ascii="仿宋" w:hAnsi="仿宋" w:eastAsia="仿宋" w:cs="仿宋"/>
          <w:color w:val="auto"/>
          <w:sz w:val="28"/>
          <w:szCs w:val="28"/>
        </w:rPr>
        <w:t>（一）报价文件内容包括但不限于下列部分：</w:t>
      </w:r>
    </w:p>
    <w:p>
      <w:pPr>
        <w:widowControl/>
        <w:spacing w:line="540" w:lineRule="exact"/>
        <w:ind w:firstLine="560" w:firstLineChars="200"/>
        <w:jc w:val="left"/>
        <w:rPr>
          <w:rFonts w:ascii="仿宋" w:hAnsi="仿宋" w:eastAsia="仿宋" w:cs="仿宋"/>
          <w:color w:val="auto"/>
          <w:sz w:val="28"/>
          <w:szCs w:val="28"/>
          <w:lang w:eastAsia="zh-Hans"/>
        </w:rPr>
      </w:pPr>
      <w:r>
        <w:rPr>
          <w:rFonts w:hint="eastAsia" w:ascii="仿宋" w:hAnsi="仿宋" w:eastAsia="仿宋" w:cs="仿宋"/>
          <w:color w:val="auto"/>
          <w:sz w:val="28"/>
          <w:szCs w:val="28"/>
        </w:rPr>
        <w:t>1、商务部分：报价表（需加盖公章）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企业法人授权委托书原件（需有法人及代理人签字并加盖公章）、法定代表人或被委托人身份证复印件、营业执照</w:t>
      </w:r>
      <w:r>
        <w:rPr>
          <w:rFonts w:ascii="仿宋" w:hAnsi="仿宋" w:eastAsia="仿宋" w:cs="仿宋"/>
          <w:color w:val="auto"/>
          <w:sz w:val="28"/>
          <w:szCs w:val="28"/>
        </w:rPr>
        <w:t>、</w:t>
      </w:r>
      <w:r>
        <w:rPr>
          <w:rFonts w:hint="eastAsia" w:ascii="仿宋" w:hAnsi="仿宋" w:eastAsia="仿宋" w:cs="仿宋"/>
          <w:color w:val="auto"/>
          <w:sz w:val="28"/>
          <w:szCs w:val="28"/>
          <w:lang w:eastAsia="zh-Hans"/>
        </w:rPr>
        <w:t>产品质检报告</w:t>
      </w:r>
      <w:r>
        <w:rPr>
          <w:rFonts w:hint="eastAsia" w:ascii="仿宋" w:hAnsi="仿宋" w:eastAsia="仿宋" w:cs="仿宋"/>
          <w:color w:val="auto"/>
          <w:sz w:val="28"/>
          <w:szCs w:val="28"/>
        </w:rPr>
        <w:t>。</w:t>
      </w:r>
    </w:p>
    <w:p>
      <w:pPr>
        <w:widowControl/>
        <w:spacing w:line="54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、技术及服务部分：服务承诺方案（包括针对本项目所提供的材质质量、设计、交货时间等内容）、相关包装样品、印刷版式等。</w:t>
      </w:r>
    </w:p>
    <w:p>
      <w:pPr>
        <w:widowControl/>
        <w:spacing w:line="54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、其他：供应商认为可以提供的其他相关材料。</w:t>
      </w:r>
    </w:p>
    <w:p>
      <w:pPr>
        <w:pStyle w:val="2"/>
        <w:widowControl/>
        <w:spacing w:line="54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（二）报价文件要求：</w:t>
      </w:r>
    </w:p>
    <w:p>
      <w:pPr>
        <w:pStyle w:val="2"/>
        <w:widowControl/>
        <w:spacing w:line="540" w:lineRule="exact"/>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1、报价文件需法人签字或授权代理人签字并加盖公章</w:t>
      </w:r>
      <w:r>
        <w:rPr>
          <w:rFonts w:hint="eastAsia" w:ascii="仿宋" w:hAnsi="仿宋" w:eastAsia="仿宋" w:cs="仿宋"/>
          <w:b/>
          <w:bCs/>
          <w:color w:val="auto"/>
          <w:sz w:val="28"/>
          <w:szCs w:val="28"/>
        </w:rPr>
        <w:t>扫描成pdf文件发送至</w:t>
      </w:r>
      <w:r>
        <w:rPr>
          <w:rFonts w:hint="default" w:ascii="Times New Roman" w:hAnsi="Times New Roman" w:eastAsia="宋体" w:cs="Times New Roman"/>
          <w:color w:val="auto"/>
          <w:sz w:val="28"/>
          <w:szCs w:val="28"/>
          <w:highlight w:val="none"/>
        </w:rPr>
        <w:fldChar w:fldCharType="begin"/>
      </w:r>
      <w:r>
        <w:rPr>
          <w:rFonts w:hint="default" w:ascii="Times New Roman" w:hAnsi="Times New Roman" w:eastAsia="宋体" w:cs="Times New Roman"/>
          <w:color w:val="auto"/>
          <w:sz w:val="28"/>
          <w:szCs w:val="28"/>
          <w:highlight w:val="none"/>
        </w:rPr>
        <w:instrText xml:space="preserve"> HYPERLINK "mailto:quotation@shmtu.edu.cn" </w:instrText>
      </w:r>
      <w:r>
        <w:rPr>
          <w:rFonts w:hint="default" w:ascii="Times New Roman" w:hAnsi="Times New Roman" w:eastAsia="宋体" w:cs="Times New Roman"/>
          <w:color w:val="auto"/>
          <w:sz w:val="28"/>
          <w:szCs w:val="28"/>
          <w:highlight w:val="none"/>
        </w:rPr>
        <w:fldChar w:fldCharType="separate"/>
      </w:r>
      <w:r>
        <w:rPr>
          <w:rStyle w:val="11"/>
          <w:rFonts w:hint="default" w:ascii="Times New Roman" w:hAnsi="Times New Roman" w:eastAsia="宋体" w:cs="Times New Roman"/>
          <w:color w:val="auto"/>
          <w:sz w:val="28"/>
          <w:szCs w:val="28"/>
          <w:highlight w:val="none"/>
        </w:rPr>
        <w:t>quotation@shmtu.edu.cn</w:t>
      </w:r>
      <w:r>
        <w:rPr>
          <w:rStyle w:val="11"/>
          <w:rFonts w:hint="default" w:ascii="Times New Roman" w:hAnsi="Times New Roman" w:eastAsia="宋体" w:cs="Times New Roman"/>
          <w:color w:val="auto"/>
          <w:sz w:val="28"/>
          <w:szCs w:val="28"/>
          <w:highlight w:val="none"/>
        </w:rPr>
        <w:fldChar w:fldCharType="end"/>
      </w:r>
      <w:r>
        <w:rPr>
          <w:rFonts w:hint="eastAsia" w:ascii="仿宋" w:hAnsi="仿宋" w:eastAsia="仿宋" w:cs="仿宋"/>
          <w:b/>
          <w:bCs/>
          <w:color w:val="auto"/>
          <w:sz w:val="28"/>
          <w:szCs w:val="28"/>
        </w:rPr>
        <w:t>，样品寄送至上海海事大学</w:t>
      </w:r>
      <w:r>
        <w:rPr>
          <w:rFonts w:hint="eastAsia" w:ascii="仿宋" w:hAnsi="仿宋" w:eastAsia="仿宋" w:cs="仿宋"/>
          <w:b/>
          <w:bCs/>
          <w:color w:val="auto"/>
          <w:sz w:val="28"/>
          <w:szCs w:val="28"/>
          <w:lang w:val="en-US" w:eastAsia="zh-CN"/>
        </w:rPr>
        <w:t>（地址：上海市海港大道1550号，收件人：牛老师，手机：15601870107）</w:t>
      </w:r>
      <w:r>
        <w:rPr>
          <w:rFonts w:hint="eastAsia" w:ascii="仿宋" w:hAnsi="仿宋" w:eastAsia="仿宋" w:cs="仿宋"/>
          <w:b/>
          <w:bCs/>
          <w:color w:val="auto"/>
          <w:sz w:val="28"/>
          <w:szCs w:val="28"/>
        </w:rPr>
        <w:t>并备注样品来源单位</w:t>
      </w:r>
      <w:r>
        <w:rPr>
          <w:rFonts w:hint="eastAsia" w:ascii="仿宋" w:hAnsi="仿宋" w:eastAsia="仿宋" w:cs="仿宋"/>
          <w:color w:val="auto"/>
          <w:sz w:val="28"/>
          <w:szCs w:val="28"/>
        </w:rPr>
        <w:t>。</w:t>
      </w:r>
    </w:p>
    <w:p>
      <w:pPr>
        <w:widowControl/>
        <w:spacing w:line="5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2、报价文件的递交截止时间为</w:t>
      </w:r>
      <w:r>
        <w:rPr>
          <w:rFonts w:hint="eastAsia" w:ascii="仿宋" w:hAnsi="仿宋" w:eastAsia="仿宋" w:cs="仿宋"/>
          <w:color w:val="auto"/>
          <w:sz w:val="28"/>
          <w:szCs w:val="28"/>
        </w:rPr>
        <w:t>2023年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日9:00（北京时间）</w:t>
      </w:r>
      <w:r>
        <w:rPr>
          <w:rFonts w:hint="eastAsia" w:ascii="仿宋" w:hAnsi="仿宋" w:eastAsia="仿宋" w:cs="仿宋"/>
          <w:color w:val="auto"/>
          <w:sz w:val="28"/>
          <w:szCs w:val="28"/>
        </w:rPr>
        <w:t>，请在此时间前发送。</w:t>
      </w:r>
    </w:p>
    <w:p>
      <w:pPr>
        <w:pStyle w:val="2"/>
        <w:ind w:left="0" w:leftChars="0" w:firstLine="560" w:firstLineChars="200"/>
        <w:rPr>
          <w:rFonts w:ascii="仿宋" w:hAnsi="仿宋" w:eastAsia="仿宋" w:cs="仿宋"/>
          <w:color w:val="auto"/>
          <w:sz w:val="28"/>
          <w:szCs w:val="28"/>
        </w:rPr>
      </w:pPr>
      <w:r>
        <w:rPr>
          <w:rFonts w:hint="eastAsia" w:ascii="仿宋" w:hAnsi="仿宋" w:eastAsia="仿宋" w:cs="仿宋"/>
          <w:color w:val="auto"/>
          <w:sz w:val="28"/>
          <w:szCs w:val="28"/>
        </w:rPr>
        <w:t>3、逾期送达或者未送达指定地</w:t>
      </w:r>
      <w:bookmarkStart w:id="3" w:name="_GoBack"/>
      <w:bookmarkEnd w:id="3"/>
      <w:r>
        <w:rPr>
          <w:rFonts w:hint="eastAsia" w:ascii="仿宋" w:hAnsi="仿宋" w:eastAsia="仿宋" w:cs="仿宋"/>
          <w:color w:val="auto"/>
          <w:sz w:val="28"/>
          <w:szCs w:val="28"/>
        </w:rPr>
        <w:t>点的报价文件，采购人不予受理。</w:t>
      </w:r>
    </w:p>
    <w:p>
      <w:pPr>
        <w:pStyle w:val="2"/>
        <w:ind w:left="0" w:leftChars="0" w:firstLine="560" w:firstLineChars="200"/>
        <w:rPr>
          <w:rFonts w:ascii="仿宋" w:hAnsi="仿宋" w:eastAsia="仿宋" w:cs="仿宋"/>
          <w:color w:val="auto"/>
          <w:sz w:val="28"/>
          <w:szCs w:val="28"/>
        </w:rPr>
      </w:pPr>
      <w:r>
        <w:rPr>
          <w:rFonts w:hint="eastAsia" w:ascii="黑体" w:hAnsi="黑体" w:eastAsia="黑体" w:cs="黑体"/>
          <w:color w:val="auto"/>
          <w:sz w:val="28"/>
          <w:szCs w:val="28"/>
        </w:rPr>
        <w:t>四、公告期限：</w:t>
      </w:r>
      <w:r>
        <w:rPr>
          <w:rFonts w:hint="eastAsia" w:ascii="仿宋" w:hAnsi="仿宋" w:eastAsia="仿宋" w:cs="仿宋"/>
          <w:color w:val="auto"/>
          <w:sz w:val="28"/>
          <w:szCs w:val="28"/>
        </w:rPr>
        <w:t>自本公告发布之日起</w:t>
      </w:r>
      <w:r>
        <w:rPr>
          <w:rFonts w:hint="eastAsia" w:ascii="仿宋" w:hAnsi="仿宋" w:eastAsia="仿宋" w:cs="仿宋"/>
          <w:color w:val="auto"/>
          <w:sz w:val="28"/>
          <w:szCs w:val="28"/>
          <w:lang w:val="en-US" w:eastAsia="zh-CN"/>
        </w:rPr>
        <w:t>五个工作</w:t>
      </w:r>
      <w:r>
        <w:rPr>
          <w:rFonts w:hint="eastAsia" w:ascii="仿宋" w:hAnsi="仿宋" w:eastAsia="仿宋" w:cs="仿宋"/>
          <w:color w:val="auto"/>
          <w:sz w:val="28"/>
          <w:szCs w:val="28"/>
        </w:rPr>
        <w:t>日。</w:t>
      </w:r>
    </w:p>
    <w:p>
      <w:pPr>
        <w:spacing w:line="54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五、采购需求</w:t>
      </w:r>
    </w:p>
    <w:tbl>
      <w:tblPr>
        <w:tblStyle w:val="8"/>
        <w:tblW w:w="10206" w:type="dxa"/>
        <w:tblInd w:w="108" w:type="dxa"/>
        <w:tblLayout w:type="autofit"/>
        <w:tblCellMar>
          <w:top w:w="0" w:type="dxa"/>
          <w:left w:w="108" w:type="dxa"/>
          <w:bottom w:w="0" w:type="dxa"/>
          <w:right w:w="108" w:type="dxa"/>
        </w:tblCellMar>
      </w:tblPr>
      <w:tblGrid>
        <w:gridCol w:w="709"/>
        <w:gridCol w:w="1843"/>
        <w:gridCol w:w="3544"/>
        <w:gridCol w:w="4110"/>
      </w:tblGrid>
      <w:tr>
        <w:tblPrEx>
          <w:tblCellMar>
            <w:top w:w="0" w:type="dxa"/>
            <w:left w:w="108" w:type="dxa"/>
            <w:bottom w:w="0" w:type="dxa"/>
            <w:right w:w="108" w:type="dxa"/>
          </w:tblCellMar>
        </w:tblPrEx>
        <w:trPr>
          <w:trHeight w:val="630" w:hRule="atLeast"/>
        </w:trPr>
        <w:tc>
          <w:tcPr>
            <w:tcW w:w="102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小标宋_GBK" w:hAnsi="等线" w:eastAsia="方正小标宋_GBK" w:cs="宋体"/>
                <w:b/>
                <w:bCs/>
                <w:color w:val="auto"/>
                <w:kern w:val="0"/>
                <w:sz w:val="28"/>
                <w:szCs w:val="28"/>
              </w:rPr>
            </w:pPr>
            <w:r>
              <w:rPr>
                <w:rFonts w:hint="eastAsia" w:ascii="方正小标宋_GBK" w:hAnsi="等线" w:eastAsia="方正小标宋_GBK" w:cs="宋体"/>
                <w:b/>
                <w:bCs/>
                <w:color w:val="auto"/>
                <w:kern w:val="0"/>
                <w:sz w:val="28"/>
                <w:szCs w:val="28"/>
              </w:rPr>
              <w:t>食品（月饼点心）外包装  材质工艺要求</w:t>
            </w:r>
          </w:p>
        </w:tc>
      </w:tr>
      <w:tr>
        <w:tblPrEx>
          <w:tblCellMar>
            <w:top w:w="0" w:type="dxa"/>
            <w:left w:w="108" w:type="dxa"/>
            <w:bottom w:w="0" w:type="dxa"/>
            <w:right w:w="108" w:type="dxa"/>
          </w:tblCellMar>
        </w:tblPrEx>
        <w:trPr>
          <w:trHeight w:val="60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类别</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商品名称</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单套规格</w:t>
            </w:r>
          </w:p>
        </w:tc>
        <w:tc>
          <w:tcPr>
            <w:tcW w:w="41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材质工艺最低要求</w:t>
            </w:r>
          </w:p>
        </w:tc>
      </w:tr>
      <w:tr>
        <w:tblPrEx>
          <w:tblCellMar>
            <w:top w:w="0" w:type="dxa"/>
            <w:left w:w="108" w:type="dxa"/>
            <w:bottom w:w="0" w:type="dxa"/>
            <w:right w:w="108" w:type="dxa"/>
          </w:tblCellMar>
        </w:tblPrEx>
        <w:trPr>
          <w:trHeight w:val="600" w:hRule="atLeast"/>
        </w:trPr>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A套</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长方形套装</w:t>
            </w:r>
            <w:r>
              <w:rPr>
                <w:rFonts w:hint="eastAsia" w:ascii="仿宋" w:hAnsi="仿宋" w:eastAsia="仿宋" w:cs="宋体"/>
                <w:color w:val="auto"/>
                <w:kern w:val="0"/>
                <w:sz w:val="28"/>
                <w:szCs w:val="28"/>
              </w:rPr>
              <w:br w:type="textWrapping"/>
            </w:r>
            <w:r>
              <w:rPr>
                <w:rFonts w:hint="eastAsia" w:ascii="仿宋" w:hAnsi="仿宋" w:eastAsia="仿宋" w:cs="宋体"/>
                <w:color w:val="auto"/>
                <w:kern w:val="0"/>
                <w:sz w:val="28"/>
                <w:szCs w:val="28"/>
              </w:rPr>
              <w:t>（天地盖、8饼装/套）</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1.手提袋420*240*70mm，配手提袋绳</w:t>
            </w:r>
          </w:p>
        </w:tc>
        <w:tc>
          <w:tcPr>
            <w:tcW w:w="4110" w:type="dxa"/>
            <w:vMerge w:val="restart"/>
            <w:tcBorders>
              <w:top w:val="nil"/>
              <w:left w:val="single" w:color="auto" w:sz="4" w:space="0"/>
              <w:bottom w:val="single" w:color="000000" w:sz="4" w:space="0"/>
              <w:right w:val="single" w:color="auto" w:sz="4" w:space="0"/>
            </w:tcBorders>
            <w:shd w:val="clear" w:color="auto" w:fill="auto"/>
            <w:vAlign w:val="center"/>
          </w:tcPr>
          <w:p>
            <w:pPr>
              <w:pStyle w:val="15"/>
              <w:widowControl/>
              <w:numPr>
                <w:ilvl w:val="0"/>
                <w:numId w:val="1"/>
              </w:numPr>
              <w:ind w:left="-2" w:leftChars="-1" w:firstLine="36" w:firstLineChars="15"/>
              <w:jc w:val="left"/>
              <w:rPr>
                <w:rFonts w:ascii="仿宋" w:hAnsi="仿宋" w:eastAsia="仿宋" w:cs="宋体"/>
                <w:color w:val="auto"/>
                <w:kern w:val="0"/>
                <w:sz w:val="24"/>
              </w:rPr>
            </w:pPr>
            <w:r>
              <w:rPr>
                <w:rFonts w:hint="eastAsia" w:ascii="仿宋" w:hAnsi="仿宋" w:eastAsia="仿宋" w:cs="宋体"/>
                <w:color w:val="auto"/>
                <w:kern w:val="0"/>
                <w:sz w:val="24"/>
              </w:rPr>
              <w:t>手提袋：250g</w:t>
            </w:r>
            <w:r>
              <w:rPr>
                <w:rFonts w:ascii="仿宋" w:hAnsi="仿宋" w:eastAsia="仿宋" w:cs="宋体"/>
                <w:color w:val="auto"/>
                <w:kern w:val="0"/>
                <w:sz w:val="24"/>
              </w:rPr>
              <w:t>/m</w:t>
            </w:r>
            <w:r>
              <w:rPr>
                <w:rFonts w:ascii="仿宋" w:hAnsi="仿宋" w:eastAsia="仿宋" w:cs="宋体"/>
                <w:color w:val="auto"/>
                <w:kern w:val="0"/>
                <w:sz w:val="24"/>
                <w:vertAlign w:val="superscript"/>
              </w:rPr>
              <w:t>2</w:t>
            </w:r>
            <w:r>
              <w:rPr>
                <w:rFonts w:hint="eastAsia" w:ascii="仿宋" w:hAnsi="仿宋" w:eastAsia="仿宋" w:cs="宋体"/>
                <w:color w:val="auto"/>
                <w:kern w:val="0"/>
                <w:sz w:val="24"/>
              </w:rPr>
              <w:t>白卡纸；</w:t>
            </w:r>
          </w:p>
          <w:p>
            <w:pPr>
              <w:pStyle w:val="15"/>
              <w:widowControl/>
              <w:numPr>
                <w:ilvl w:val="0"/>
                <w:numId w:val="1"/>
              </w:numPr>
              <w:ind w:left="-2" w:leftChars="-1" w:firstLine="36" w:firstLineChars="15"/>
              <w:jc w:val="left"/>
              <w:rPr>
                <w:rFonts w:ascii="仿宋" w:hAnsi="仿宋" w:eastAsia="仿宋" w:cs="宋体"/>
                <w:color w:val="auto"/>
                <w:kern w:val="0"/>
                <w:sz w:val="24"/>
              </w:rPr>
            </w:pPr>
            <w:r>
              <w:rPr>
                <w:rFonts w:hint="eastAsia" w:ascii="仿宋" w:hAnsi="仿宋" w:eastAsia="仿宋" w:cs="宋体"/>
                <w:color w:val="auto"/>
                <w:kern w:val="0"/>
                <w:sz w:val="24"/>
              </w:rPr>
              <w:t>外盒：精装2.0厚纸板；内衬：157 g</w:t>
            </w:r>
            <w:r>
              <w:rPr>
                <w:rFonts w:ascii="仿宋" w:hAnsi="仿宋" w:eastAsia="仿宋" w:cs="宋体"/>
                <w:color w:val="auto"/>
                <w:kern w:val="0"/>
                <w:sz w:val="24"/>
              </w:rPr>
              <w:t>/m</w:t>
            </w:r>
            <w:r>
              <w:rPr>
                <w:rFonts w:ascii="仿宋" w:hAnsi="仿宋" w:eastAsia="仿宋" w:cs="宋体"/>
                <w:color w:val="auto"/>
                <w:kern w:val="0"/>
                <w:sz w:val="24"/>
                <w:vertAlign w:val="superscript"/>
              </w:rPr>
              <w:t>2</w:t>
            </w:r>
            <w:r>
              <w:rPr>
                <w:rFonts w:hint="eastAsia" w:ascii="仿宋" w:hAnsi="仿宋" w:eastAsia="仿宋" w:cs="宋体"/>
                <w:color w:val="auto"/>
                <w:kern w:val="0"/>
                <w:sz w:val="24"/>
              </w:rPr>
              <w:t>铜版纸；</w:t>
            </w:r>
          </w:p>
          <w:p>
            <w:pPr>
              <w:pStyle w:val="15"/>
              <w:widowControl/>
              <w:numPr>
                <w:ilvl w:val="0"/>
                <w:numId w:val="1"/>
              </w:numPr>
              <w:ind w:left="-2" w:leftChars="-1" w:firstLine="36" w:firstLineChars="15"/>
              <w:jc w:val="left"/>
              <w:rPr>
                <w:rFonts w:ascii="仿宋" w:hAnsi="仿宋" w:eastAsia="仿宋" w:cs="宋体"/>
                <w:color w:val="auto"/>
                <w:kern w:val="0"/>
                <w:sz w:val="24"/>
              </w:rPr>
            </w:pPr>
            <w:r>
              <w:rPr>
                <w:rFonts w:hint="eastAsia" w:ascii="仿宋" w:hAnsi="仿宋" w:eastAsia="仿宋" w:cs="宋体"/>
                <w:color w:val="auto"/>
                <w:kern w:val="0"/>
                <w:sz w:val="24"/>
              </w:rPr>
              <w:t>免叠小内盒（8个/套）：30</w:t>
            </w:r>
            <w:r>
              <w:rPr>
                <w:rFonts w:ascii="仿宋" w:hAnsi="仿宋" w:eastAsia="仿宋" w:cs="宋体"/>
                <w:color w:val="auto"/>
                <w:kern w:val="0"/>
                <w:sz w:val="24"/>
              </w:rPr>
              <w:t>0</w:t>
            </w:r>
            <w:r>
              <w:rPr>
                <w:rFonts w:hint="eastAsia" w:ascii="仿宋" w:hAnsi="仿宋" w:eastAsia="仿宋" w:cs="宋体"/>
                <w:color w:val="auto"/>
                <w:kern w:val="0"/>
                <w:sz w:val="24"/>
              </w:rPr>
              <w:t>g</w:t>
            </w:r>
            <w:r>
              <w:rPr>
                <w:rFonts w:ascii="仿宋" w:hAnsi="仿宋" w:eastAsia="仿宋" w:cs="宋体"/>
                <w:color w:val="auto"/>
                <w:kern w:val="0"/>
                <w:sz w:val="24"/>
              </w:rPr>
              <w:t>/m</w:t>
            </w:r>
            <w:r>
              <w:rPr>
                <w:rFonts w:ascii="仿宋" w:hAnsi="仿宋" w:eastAsia="仿宋" w:cs="宋体"/>
                <w:color w:val="auto"/>
                <w:kern w:val="0"/>
                <w:sz w:val="24"/>
                <w:vertAlign w:val="superscript"/>
              </w:rPr>
              <w:t>2</w:t>
            </w:r>
            <w:r>
              <w:rPr>
                <w:rFonts w:hint="eastAsia" w:ascii="仿宋" w:hAnsi="仿宋" w:eastAsia="仿宋" w:cs="宋体"/>
                <w:color w:val="auto"/>
                <w:kern w:val="0"/>
                <w:sz w:val="24"/>
              </w:rPr>
              <w:t>白卡纸；</w:t>
            </w:r>
          </w:p>
          <w:p>
            <w:pPr>
              <w:pStyle w:val="15"/>
              <w:widowControl/>
              <w:numPr>
                <w:ilvl w:val="0"/>
                <w:numId w:val="1"/>
              </w:numPr>
              <w:ind w:left="-2" w:leftChars="-1" w:firstLine="36" w:firstLineChars="15"/>
              <w:jc w:val="left"/>
              <w:rPr>
                <w:rFonts w:ascii="仿宋" w:hAnsi="仿宋" w:eastAsia="仿宋" w:cs="宋体"/>
                <w:color w:val="auto"/>
                <w:kern w:val="0"/>
                <w:sz w:val="24"/>
              </w:rPr>
            </w:pPr>
            <w:r>
              <w:rPr>
                <w:rFonts w:hint="eastAsia" w:ascii="仿宋" w:hAnsi="仿宋" w:eastAsia="仿宋" w:cs="宋体"/>
                <w:color w:val="auto"/>
                <w:kern w:val="0"/>
                <w:sz w:val="24"/>
              </w:rPr>
              <w:t>封装袋（8个/套）：食品级塑料袋，可盛装月饼点心重量80-100克/个,厚度不低于0.03MM；</w:t>
            </w:r>
          </w:p>
          <w:p>
            <w:pPr>
              <w:pStyle w:val="15"/>
              <w:widowControl/>
              <w:numPr>
                <w:ilvl w:val="0"/>
                <w:numId w:val="1"/>
              </w:numPr>
              <w:ind w:left="-2" w:leftChars="-1" w:firstLine="36" w:firstLineChars="15"/>
              <w:jc w:val="left"/>
              <w:rPr>
                <w:rFonts w:ascii="仿宋" w:hAnsi="仿宋" w:eastAsia="仿宋" w:cs="宋体"/>
                <w:color w:val="auto"/>
                <w:kern w:val="0"/>
                <w:sz w:val="24"/>
              </w:rPr>
            </w:pPr>
            <w:r>
              <w:rPr>
                <w:rFonts w:hint="eastAsia" w:ascii="仿宋" w:hAnsi="仿宋" w:eastAsia="仿宋" w:cs="宋体"/>
                <w:color w:val="auto"/>
                <w:kern w:val="0"/>
                <w:sz w:val="24"/>
              </w:rPr>
              <w:t>印刷工艺：手提袋、外盒需印制学校LOGO（采购方提供），并以此颜色为主色调，专色印刷，设计由乙方提供。</w:t>
            </w: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auto"/>
                <w:kern w:val="0"/>
                <w:sz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2.外盒外形尺寸400*230*60mm，含内衬和定位内托</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auto"/>
                <w:kern w:val="0"/>
                <w:sz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3.免叠小内盒（8个/套）</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auto"/>
                <w:kern w:val="0"/>
                <w:sz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4.食品封装袋（8个/套）</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600" w:hRule="atLeast"/>
        </w:trPr>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kern w:val="0"/>
                <w:sz w:val="24"/>
              </w:rPr>
            </w:pPr>
            <w:r>
              <w:rPr>
                <w:rFonts w:hint="eastAsia" w:ascii="仿宋" w:hAnsi="仿宋" w:eastAsia="仿宋" w:cs="宋体"/>
                <w:b/>
                <w:bCs/>
                <w:color w:val="auto"/>
                <w:kern w:val="0"/>
                <w:sz w:val="24"/>
              </w:rPr>
              <w:t>B套</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正方形套装</w:t>
            </w:r>
            <w:r>
              <w:rPr>
                <w:rFonts w:hint="eastAsia" w:ascii="仿宋" w:hAnsi="仿宋" w:eastAsia="仿宋" w:cs="宋体"/>
                <w:color w:val="auto"/>
                <w:kern w:val="0"/>
                <w:sz w:val="28"/>
                <w:szCs w:val="28"/>
              </w:rPr>
              <w:br w:type="textWrapping"/>
            </w:r>
            <w:r>
              <w:rPr>
                <w:rFonts w:hint="eastAsia" w:ascii="仿宋" w:hAnsi="仿宋" w:eastAsia="仿宋" w:cs="宋体"/>
                <w:color w:val="auto"/>
                <w:kern w:val="0"/>
                <w:sz w:val="28"/>
                <w:szCs w:val="28"/>
              </w:rPr>
              <w:t>（天地盖、8饼装/套）</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 xml:space="preserve">1.手提袋340*330*70mm，配手提袋绳 </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auto"/>
                <w:kern w:val="0"/>
                <w:sz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2.外盒外形尺寸320*320*60mm；含内衬和定位内托</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auto"/>
                <w:kern w:val="0"/>
                <w:sz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3.免叠小内盒（8个/套）</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auto"/>
                <w:kern w:val="0"/>
                <w:sz w:val="24"/>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8"/>
                <w:szCs w:val="28"/>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4.食品封装袋（8个/套）</w:t>
            </w:r>
          </w:p>
        </w:tc>
        <w:tc>
          <w:tcPr>
            <w:tcW w:w="41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4"/>
              </w:rPr>
            </w:pPr>
          </w:p>
        </w:tc>
      </w:tr>
    </w:tbl>
    <w:p>
      <w:pPr>
        <w:spacing w:line="54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六、质量要求</w:t>
      </w:r>
    </w:p>
    <w:p>
      <w:pPr>
        <w:pStyle w:val="2"/>
        <w:ind w:left="0" w:leftChars="0"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1、所投标产品应按国标、部标或行业标准要求制造，达到合格标准，印刷清晰，企业应同时具备包装印刷许可资质，包装袋需要包含专业的食品及塑料检测报告；</w:t>
      </w:r>
    </w:p>
    <w:p>
      <w:pPr>
        <w:pStyle w:val="2"/>
        <w:ind w:left="0" w:leftChars="0"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２、乙方按照采购单位提供的相关信息印制产品且最终提供的印刷款式由甲方审定后定稿，定稿的设计版权归甲方所有；</w:t>
      </w:r>
    </w:p>
    <w:p>
      <w:pPr>
        <w:pStyle w:val="2"/>
        <w:ind w:left="0" w:leftChars="0" w:firstLine="560"/>
        <w:jc w:val="left"/>
        <w:rPr>
          <w:rFonts w:ascii="仿宋" w:hAnsi="仿宋" w:eastAsia="仿宋" w:cs="仿宋"/>
          <w:color w:val="auto"/>
          <w:sz w:val="28"/>
          <w:szCs w:val="28"/>
        </w:rPr>
      </w:pPr>
      <w:r>
        <w:rPr>
          <w:rFonts w:hint="eastAsia" w:ascii="仿宋" w:hAnsi="仿宋" w:eastAsia="仿宋" w:cs="仿宋"/>
          <w:color w:val="auto"/>
          <w:sz w:val="28"/>
          <w:szCs w:val="28"/>
        </w:rPr>
        <w:t>3、非人为原因造成的质量问题按照相应数目免费如实补齐。</w:t>
      </w:r>
    </w:p>
    <w:p>
      <w:pPr>
        <w:pStyle w:val="2"/>
        <w:ind w:left="0" w:leftChars="0" w:firstLine="560" w:firstLineChars="200"/>
        <w:jc w:val="left"/>
        <w:rPr>
          <w:rFonts w:ascii="黑体" w:hAnsi="黑体" w:eastAsia="黑体" w:cs="黑体"/>
          <w:color w:val="auto"/>
          <w:sz w:val="28"/>
          <w:szCs w:val="28"/>
        </w:rPr>
      </w:pPr>
      <w:r>
        <w:rPr>
          <w:rFonts w:hint="eastAsia" w:ascii="黑体" w:hAnsi="黑体" w:eastAsia="黑体" w:cs="黑体"/>
          <w:color w:val="auto"/>
          <w:sz w:val="28"/>
          <w:szCs w:val="28"/>
        </w:rPr>
        <w:t>七、交货要求</w:t>
      </w:r>
    </w:p>
    <w:p>
      <w:pPr>
        <w:ind w:firstLine="560" w:firstLineChars="200"/>
        <w:rPr>
          <w:rFonts w:ascii="仿宋" w:hAnsi="仿宋" w:eastAsia="仿宋"/>
          <w:color w:val="auto"/>
          <w:sz w:val="28"/>
          <w:szCs w:val="28"/>
        </w:rPr>
      </w:pPr>
      <w:r>
        <w:rPr>
          <w:rFonts w:hint="eastAsia" w:ascii="仿宋" w:hAnsi="仿宋" w:eastAsia="仿宋"/>
          <w:color w:val="auto"/>
          <w:sz w:val="28"/>
          <w:szCs w:val="28"/>
        </w:rPr>
        <w:t>合同服务期内，乙方需在校方提出送货要求后的约定时间内送货至上海市浦东新区南汇新城镇海港大道1550号上海海事大学后勤中心餐饮管理科。</w:t>
      </w:r>
    </w:p>
    <w:p>
      <w:pPr>
        <w:ind w:firstLine="560" w:firstLineChars="200"/>
        <w:rPr>
          <w:rFonts w:ascii="黑体" w:hAnsi="黑体" w:eastAsia="黑体" w:cs="黑体"/>
          <w:color w:val="auto"/>
        </w:rPr>
      </w:pPr>
      <w:r>
        <w:rPr>
          <w:rFonts w:hint="eastAsia" w:ascii="黑体" w:hAnsi="黑体" w:eastAsia="黑体" w:cs="黑体"/>
          <w:color w:val="auto"/>
          <w:sz w:val="28"/>
          <w:szCs w:val="28"/>
        </w:rPr>
        <w:t>八、付款方式</w:t>
      </w:r>
    </w:p>
    <w:p>
      <w:pPr>
        <w:ind w:firstLine="560" w:firstLineChars="200"/>
        <w:rPr>
          <w:rFonts w:ascii="仿宋" w:hAnsi="仿宋" w:eastAsia="仿宋"/>
          <w:color w:val="auto"/>
          <w:sz w:val="28"/>
          <w:szCs w:val="28"/>
        </w:rPr>
      </w:pPr>
      <w:r>
        <w:rPr>
          <w:rFonts w:hint="eastAsia" w:ascii="仿宋" w:hAnsi="仿宋" w:eastAsia="仿宋"/>
          <w:color w:val="auto"/>
          <w:sz w:val="28"/>
          <w:szCs w:val="28"/>
        </w:rPr>
        <w:t>经校方验收通过后，</w:t>
      </w:r>
      <w:r>
        <w:rPr>
          <w:rFonts w:ascii="仿宋" w:hAnsi="仿宋" w:eastAsia="仿宋"/>
          <w:color w:val="auto"/>
          <w:sz w:val="28"/>
          <w:szCs w:val="28"/>
        </w:rPr>
        <w:t>款项</w:t>
      </w:r>
      <w:r>
        <w:rPr>
          <w:rFonts w:hint="eastAsia" w:ascii="仿宋" w:hAnsi="仿宋" w:eastAsia="仿宋"/>
          <w:color w:val="auto"/>
          <w:sz w:val="28"/>
          <w:szCs w:val="28"/>
        </w:rPr>
        <w:t>于</w:t>
      </w:r>
      <w:r>
        <w:rPr>
          <w:rFonts w:ascii="仿宋" w:hAnsi="仿宋" w:eastAsia="仿宋"/>
          <w:color w:val="auto"/>
          <w:sz w:val="28"/>
          <w:szCs w:val="28"/>
        </w:rPr>
        <w:t>20</w:t>
      </w:r>
      <w:r>
        <w:rPr>
          <w:rFonts w:hint="eastAsia" w:ascii="仿宋" w:hAnsi="仿宋" w:eastAsia="仿宋"/>
          <w:color w:val="auto"/>
          <w:sz w:val="28"/>
          <w:szCs w:val="28"/>
        </w:rPr>
        <w:t>个工作日内，</w:t>
      </w:r>
      <w:r>
        <w:rPr>
          <w:rFonts w:ascii="仿宋" w:hAnsi="仿宋" w:eastAsia="仿宋"/>
          <w:color w:val="auto"/>
          <w:sz w:val="28"/>
          <w:szCs w:val="28"/>
        </w:rPr>
        <w:t>以银行转账方式</w:t>
      </w:r>
      <w:r>
        <w:rPr>
          <w:rFonts w:hint="eastAsia" w:ascii="仿宋" w:hAnsi="仿宋" w:eastAsia="仿宋"/>
          <w:color w:val="auto"/>
          <w:sz w:val="28"/>
          <w:szCs w:val="28"/>
        </w:rPr>
        <w:t>按实结算</w:t>
      </w:r>
      <w:r>
        <w:rPr>
          <w:rFonts w:ascii="仿宋" w:hAnsi="仿宋" w:eastAsia="仿宋"/>
          <w:color w:val="auto"/>
          <w:sz w:val="28"/>
          <w:szCs w:val="28"/>
        </w:rPr>
        <w:t>支付。</w:t>
      </w:r>
    </w:p>
    <w:p>
      <w:pPr>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九、评分标准</w:t>
      </w:r>
    </w:p>
    <w:tbl>
      <w:tblPr>
        <w:tblStyle w:val="8"/>
        <w:tblW w:w="948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20"/>
        <w:gridCol w:w="1480"/>
        <w:gridCol w:w="6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序号</w:t>
            </w:r>
          </w:p>
        </w:tc>
        <w:tc>
          <w:tcPr>
            <w:tcW w:w="92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分值</w:t>
            </w:r>
          </w:p>
        </w:tc>
        <w:tc>
          <w:tcPr>
            <w:tcW w:w="148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评分因素</w:t>
            </w:r>
          </w:p>
        </w:tc>
        <w:tc>
          <w:tcPr>
            <w:tcW w:w="6008"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w:t>
            </w:r>
          </w:p>
        </w:tc>
        <w:tc>
          <w:tcPr>
            <w:tcW w:w="920" w:type="dxa"/>
            <w:shd w:val="clear" w:color="auto" w:fill="auto"/>
            <w:vAlign w:val="center"/>
          </w:tcPr>
          <w:p>
            <w:pPr>
              <w:widowControl/>
              <w:jc w:val="center"/>
              <w:rPr>
                <w:rFonts w:hint="default"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40</w:t>
            </w:r>
          </w:p>
        </w:tc>
        <w:tc>
          <w:tcPr>
            <w:tcW w:w="1480" w:type="dxa"/>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投标报价</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价格分采用低价优先法计算，即满足采购要求且投标报价价格最低的为基准价，其价格分为满分。其他投标人的价格分统一按照下列公式计算：投标报价得分=（基准价／投标报价）×报价权重（</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rPr>
              <w:t>2</w:t>
            </w:r>
          </w:p>
        </w:tc>
        <w:tc>
          <w:tcPr>
            <w:tcW w:w="920" w:type="dxa"/>
            <w:shd w:val="clear" w:color="auto" w:fill="auto"/>
            <w:vAlign w:val="center"/>
          </w:tcPr>
          <w:p>
            <w:pPr>
              <w:widowControl/>
              <w:jc w:val="center"/>
              <w:rPr>
                <w:rFonts w:hint="default" w:ascii="仿宋_GB2312" w:hAnsi="仿宋_GB2312" w:eastAsia="仿宋_GB2312" w:cs="仿宋_GB2312"/>
                <w:b/>
                <w:bCs/>
                <w:color w:val="auto"/>
                <w:kern w:val="0"/>
                <w:szCs w:val="21"/>
                <w:lang w:val="en-US"/>
              </w:rPr>
            </w:pPr>
            <w:r>
              <w:rPr>
                <w:rFonts w:hint="eastAsia" w:ascii="仿宋_GB2312" w:hAnsi="仿宋_GB2312" w:eastAsia="仿宋_GB2312" w:cs="仿宋_GB2312"/>
                <w:b/>
                <w:bCs/>
                <w:color w:val="auto"/>
                <w:kern w:val="0"/>
                <w:szCs w:val="21"/>
              </w:rPr>
              <w:t>10</w:t>
            </w:r>
          </w:p>
        </w:tc>
        <w:tc>
          <w:tcPr>
            <w:tcW w:w="1480" w:type="dxa"/>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捐赠教育事业的具体义举</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理解学校立德树人的任务和要求，彰显企业服务教育的社会责任和信誉，有捐赠教育事业的具体义举或参与校园公益活动</w:t>
            </w:r>
            <w:r>
              <w:rPr>
                <w:rFonts w:hint="eastAsia" w:ascii="仿宋_GB2312" w:hAnsi="仿宋_GB2312" w:eastAsia="仿宋_GB2312" w:cs="仿宋_GB2312"/>
                <w:color w:val="auto"/>
                <w:kern w:val="0"/>
                <w:szCs w:val="21"/>
                <w:lang w:val="en-US" w:eastAsia="zh-CN"/>
              </w:rPr>
              <w:t>的</w:t>
            </w:r>
            <w:r>
              <w:rPr>
                <w:rFonts w:hint="eastAsia" w:ascii="仿宋_GB2312" w:hAnsi="仿宋_GB2312" w:eastAsia="仿宋_GB2312" w:cs="仿宋_GB2312"/>
                <w:color w:val="auto"/>
                <w:kern w:val="0"/>
                <w:szCs w:val="21"/>
              </w:rPr>
              <w:t>案例，每提供一项得2分，最高得10分</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注：需提供相关证明材料并加盖公司公章后扫描的pdf版本作为附件，否则不予认可。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restart"/>
            <w:shd w:val="clear" w:color="auto" w:fill="auto"/>
            <w:vAlign w:val="center"/>
          </w:tcPr>
          <w:p>
            <w:pPr>
              <w:widowControl/>
              <w:jc w:val="center"/>
              <w:rPr>
                <w:rFonts w:hint="eastAsia" w:ascii="仿宋_GB2312" w:hAnsi="仿宋_GB2312" w:eastAsia="仿宋_GB2312" w:cs="仿宋_GB2312"/>
                <w:b/>
                <w:bCs/>
                <w:color w:val="auto"/>
                <w:kern w:val="0"/>
                <w:szCs w:val="21"/>
                <w:lang w:eastAsia="zh-CN"/>
              </w:rPr>
            </w:pPr>
            <w:r>
              <w:rPr>
                <w:rFonts w:hint="eastAsia" w:ascii="仿宋_GB2312" w:hAnsi="仿宋_GB2312" w:eastAsia="仿宋_GB2312" w:cs="仿宋_GB2312"/>
                <w:b/>
                <w:bCs/>
                <w:color w:val="auto"/>
                <w:kern w:val="0"/>
                <w:szCs w:val="21"/>
                <w:lang w:val="en-US" w:eastAsia="zh-CN"/>
              </w:rPr>
              <w:t>3</w:t>
            </w:r>
          </w:p>
        </w:tc>
        <w:tc>
          <w:tcPr>
            <w:tcW w:w="920" w:type="dxa"/>
            <w:vMerge w:val="restart"/>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10</w:t>
            </w:r>
          </w:p>
        </w:tc>
        <w:tc>
          <w:tcPr>
            <w:tcW w:w="1480" w:type="dxa"/>
            <w:vMerge w:val="restart"/>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供货方案与周期</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方案完整全面、针对性强，保证措施健全，能提供分批及不成套供货，得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92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1480" w:type="dxa"/>
            <w:vMerge w:val="continue"/>
            <w:vAlign w:val="center"/>
          </w:tcPr>
          <w:p>
            <w:pPr>
              <w:widowControl/>
              <w:jc w:val="left"/>
              <w:rPr>
                <w:rFonts w:hint="eastAsia" w:ascii="仿宋_GB2312" w:hAnsi="仿宋_GB2312" w:eastAsia="仿宋_GB2312" w:cs="仿宋_GB2312"/>
                <w:color w:val="auto"/>
                <w:kern w:val="0"/>
                <w:szCs w:val="21"/>
              </w:rPr>
            </w:pP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方案较全面、保证措施较健全、不能提供分批及不成套供货，具有一定针对性的，得5分；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92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1480" w:type="dxa"/>
            <w:vMerge w:val="continue"/>
            <w:vAlign w:val="center"/>
          </w:tcPr>
          <w:p>
            <w:pPr>
              <w:widowControl/>
              <w:jc w:val="left"/>
              <w:rPr>
                <w:rFonts w:hint="eastAsia" w:ascii="仿宋_GB2312" w:hAnsi="仿宋_GB2312" w:eastAsia="仿宋_GB2312" w:cs="仿宋_GB2312"/>
                <w:color w:val="auto"/>
                <w:kern w:val="0"/>
                <w:szCs w:val="21"/>
              </w:rPr>
            </w:pP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方案不全面、保证措施不健全、无针对性或未提供相关方案的得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restart"/>
            <w:shd w:val="clear" w:color="auto" w:fill="auto"/>
            <w:vAlign w:val="center"/>
          </w:tcPr>
          <w:p>
            <w:pPr>
              <w:widowControl/>
              <w:jc w:val="center"/>
              <w:rPr>
                <w:rFonts w:hint="eastAsia" w:ascii="仿宋_GB2312" w:hAnsi="仿宋_GB2312" w:eastAsia="仿宋_GB2312" w:cs="仿宋_GB2312"/>
                <w:b/>
                <w:bCs/>
                <w:color w:val="auto"/>
                <w:kern w:val="0"/>
                <w:szCs w:val="21"/>
                <w:lang w:eastAsia="zh-CN"/>
              </w:rPr>
            </w:pPr>
            <w:r>
              <w:rPr>
                <w:rFonts w:hint="eastAsia" w:ascii="仿宋_GB2312" w:hAnsi="仿宋_GB2312" w:eastAsia="仿宋_GB2312" w:cs="仿宋_GB2312"/>
                <w:b/>
                <w:bCs/>
                <w:color w:val="auto"/>
                <w:kern w:val="0"/>
                <w:szCs w:val="21"/>
                <w:lang w:val="en-US" w:eastAsia="zh-CN"/>
              </w:rPr>
              <w:t>4</w:t>
            </w:r>
          </w:p>
        </w:tc>
        <w:tc>
          <w:tcPr>
            <w:tcW w:w="920" w:type="dxa"/>
            <w:vMerge w:val="restart"/>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10</w:t>
            </w:r>
          </w:p>
        </w:tc>
        <w:tc>
          <w:tcPr>
            <w:tcW w:w="1480" w:type="dxa"/>
            <w:vMerge w:val="restart"/>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包装图文方案</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图文方案精美大方、贴合校园饮食文化，有针对性，得 10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92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1480" w:type="dxa"/>
            <w:vMerge w:val="continue"/>
            <w:vAlign w:val="center"/>
          </w:tcPr>
          <w:p>
            <w:pPr>
              <w:widowControl/>
              <w:jc w:val="left"/>
              <w:rPr>
                <w:rFonts w:hint="eastAsia" w:ascii="仿宋_GB2312" w:hAnsi="仿宋_GB2312" w:eastAsia="仿宋_GB2312" w:cs="仿宋_GB2312"/>
                <w:color w:val="auto"/>
                <w:kern w:val="0"/>
                <w:szCs w:val="21"/>
              </w:rPr>
            </w:pP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图文方案精美大方、基本符合校园饮食文化，针对性一般的，得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920" w:type="dxa"/>
            <w:vMerge w:val="continue"/>
            <w:vAlign w:val="center"/>
          </w:tcPr>
          <w:p>
            <w:pPr>
              <w:widowControl/>
              <w:jc w:val="left"/>
              <w:rPr>
                <w:rFonts w:hint="eastAsia" w:ascii="仿宋_GB2312" w:hAnsi="仿宋_GB2312" w:eastAsia="仿宋_GB2312" w:cs="仿宋_GB2312"/>
                <w:b/>
                <w:bCs/>
                <w:color w:val="auto"/>
                <w:kern w:val="0"/>
                <w:szCs w:val="21"/>
              </w:rPr>
            </w:pPr>
          </w:p>
        </w:tc>
        <w:tc>
          <w:tcPr>
            <w:tcW w:w="1480" w:type="dxa"/>
            <w:vMerge w:val="continue"/>
            <w:vAlign w:val="center"/>
          </w:tcPr>
          <w:p>
            <w:pPr>
              <w:widowControl/>
              <w:jc w:val="left"/>
              <w:rPr>
                <w:rFonts w:hint="eastAsia" w:ascii="仿宋_GB2312" w:hAnsi="仿宋_GB2312" w:eastAsia="仿宋_GB2312" w:cs="仿宋_GB2312"/>
                <w:color w:val="auto"/>
                <w:kern w:val="0"/>
                <w:szCs w:val="21"/>
              </w:rPr>
            </w:pP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图文方案一般、未贴合校园饮食文化，无针对性或未提供相关方案的得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lang w:eastAsia="zh-CN"/>
              </w:rPr>
            </w:pPr>
            <w:r>
              <w:rPr>
                <w:rFonts w:hint="eastAsia" w:ascii="仿宋_GB2312" w:hAnsi="仿宋_GB2312" w:eastAsia="仿宋_GB2312" w:cs="仿宋_GB2312"/>
                <w:b/>
                <w:bCs/>
                <w:color w:val="auto"/>
                <w:kern w:val="0"/>
                <w:szCs w:val="21"/>
                <w:lang w:val="en-US" w:eastAsia="zh-CN"/>
              </w:rPr>
              <w:t>5</w:t>
            </w:r>
          </w:p>
        </w:tc>
        <w:tc>
          <w:tcPr>
            <w:tcW w:w="92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5</w:t>
            </w:r>
          </w:p>
        </w:tc>
        <w:tc>
          <w:tcPr>
            <w:tcW w:w="1480" w:type="dxa"/>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售后服务方案</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能及时响应采购方需求，具有服务支持热线，满足得 5分，不满足得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lang w:eastAsia="zh-CN"/>
              </w:rPr>
            </w:pPr>
            <w:r>
              <w:rPr>
                <w:rFonts w:hint="eastAsia" w:ascii="仿宋_GB2312" w:hAnsi="仿宋_GB2312" w:eastAsia="仿宋_GB2312" w:cs="仿宋_GB2312"/>
                <w:b/>
                <w:bCs/>
                <w:color w:val="auto"/>
                <w:kern w:val="0"/>
                <w:szCs w:val="21"/>
                <w:lang w:val="en-US" w:eastAsia="zh-CN"/>
              </w:rPr>
              <w:t>6</w:t>
            </w:r>
          </w:p>
        </w:tc>
        <w:tc>
          <w:tcPr>
            <w:tcW w:w="92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10</w:t>
            </w:r>
          </w:p>
        </w:tc>
        <w:tc>
          <w:tcPr>
            <w:tcW w:w="1480" w:type="dxa"/>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业绩案例</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提供近三年以来的业绩案例（金额达到5万以上），每提供一项业绩得2分，最高得10分。注：需提供合同复印件或中标通知书，加盖公司公章，复印件胶装在投标文件中，否则该业绩不予认可。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lang w:eastAsia="zh-CN"/>
              </w:rPr>
            </w:pPr>
            <w:r>
              <w:rPr>
                <w:rFonts w:hint="eastAsia" w:ascii="仿宋_GB2312" w:hAnsi="仿宋_GB2312" w:eastAsia="仿宋_GB2312" w:cs="仿宋_GB2312"/>
                <w:b/>
                <w:bCs/>
                <w:color w:val="auto"/>
                <w:kern w:val="0"/>
                <w:szCs w:val="21"/>
                <w:lang w:val="en-US" w:eastAsia="zh-CN"/>
              </w:rPr>
              <w:t>7</w:t>
            </w:r>
          </w:p>
        </w:tc>
        <w:tc>
          <w:tcPr>
            <w:tcW w:w="92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10</w:t>
            </w:r>
          </w:p>
        </w:tc>
        <w:tc>
          <w:tcPr>
            <w:tcW w:w="1480" w:type="dxa"/>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样品</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从外观、材质、品质方面综合评审，优得10分；良得8分;一般得5分；不提供样品得0分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shd w:val="clear" w:color="auto" w:fill="auto"/>
            <w:vAlign w:val="center"/>
          </w:tcPr>
          <w:p>
            <w:pPr>
              <w:widowControl/>
              <w:jc w:val="center"/>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lang w:val="en-US" w:eastAsia="zh-CN"/>
              </w:rPr>
              <w:t>8</w:t>
            </w:r>
          </w:p>
        </w:tc>
        <w:tc>
          <w:tcPr>
            <w:tcW w:w="920" w:type="dxa"/>
            <w:shd w:val="clear" w:color="auto" w:fill="auto"/>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5</w:t>
            </w:r>
          </w:p>
        </w:tc>
        <w:tc>
          <w:tcPr>
            <w:tcW w:w="1480" w:type="dxa"/>
            <w:shd w:val="clear" w:color="auto" w:fill="auto"/>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其他优惠措施</w:t>
            </w:r>
          </w:p>
        </w:tc>
        <w:tc>
          <w:tcPr>
            <w:tcW w:w="6008" w:type="dxa"/>
            <w:shd w:val="clear" w:color="auto" w:fill="auto"/>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由投标方自行拟定针对本项目的优惠措施（列出清单），最高得5分，未提供不得分。</w:t>
            </w:r>
          </w:p>
        </w:tc>
      </w:tr>
    </w:tbl>
    <w:p>
      <w:pPr>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十、服务起止时间</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本项目采用一次</w:t>
      </w:r>
      <w:r>
        <w:rPr>
          <w:rFonts w:hint="eastAsia" w:ascii="仿宋" w:hAnsi="仿宋" w:eastAsia="仿宋"/>
          <w:color w:val="auto"/>
          <w:sz w:val="28"/>
          <w:szCs w:val="28"/>
          <w:lang w:eastAsia="zh-CN"/>
        </w:rPr>
        <w:t>比选</w:t>
      </w:r>
      <w:r>
        <w:rPr>
          <w:rFonts w:hint="eastAsia" w:ascii="仿宋" w:hAnsi="仿宋" w:eastAsia="仿宋"/>
          <w:color w:val="auto"/>
          <w:sz w:val="28"/>
          <w:szCs w:val="28"/>
        </w:rPr>
        <w:t>三年有效（2023-2025），每次签约有效期一年，期满前1个月，经甲方依据履约情况考核评审合格后，价格应保持不变，可续签下一年度合同。如遇特殊情况，则以当年度法定程序批准的预算执行或者甲方有权重新</w:t>
      </w:r>
      <w:r>
        <w:rPr>
          <w:rFonts w:hint="eastAsia" w:ascii="仿宋" w:hAnsi="仿宋" w:eastAsia="仿宋"/>
          <w:color w:val="auto"/>
          <w:sz w:val="28"/>
          <w:szCs w:val="28"/>
          <w:lang w:eastAsia="zh-CN"/>
        </w:rPr>
        <w:t>比选</w:t>
      </w:r>
      <w:r>
        <w:rPr>
          <w:rFonts w:hint="eastAsia" w:ascii="仿宋" w:hAnsi="仿宋" w:eastAsia="仿宋"/>
          <w:color w:val="auto"/>
          <w:sz w:val="28"/>
          <w:szCs w:val="28"/>
        </w:rPr>
        <w:t>。</w:t>
      </w:r>
    </w:p>
    <w:p>
      <w:pPr>
        <w:pStyle w:val="2"/>
        <w:rPr>
          <w:color w:val="auto"/>
        </w:rPr>
      </w:pPr>
    </w:p>
    <w:sectPr>
      <w:footerReference r:id="rId3"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E77B1"/>
    <w:multiLevelType w:val="multilevel"/>
    <w:tmpl w:val="597E77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00B1B22"/>
    <w:rsid w:val="000112B2"/>
    <w:rsid w:val="00041366"/>
    <w:rsid w:val="00047BDF"/>
    <w:rsid w:val="000712B2"/>
    <w:rsid w:val="000A035E"/>
    <w:rsid w:val="000B1B22"/>
    <w:rsid w:val="000B3FD3"/>
    <w:rsid w:val="000D6B7C"/>
    <w:rsid w:val="00105277"/>
    <w:rsid w:val="00121423"/>
    <w:rsid w:val="001C4C26"/>
    <w:rsid w:val="00214801"/>
    <w:rsid w:val="002410F1"/>
    <w:rsid w:val="0025081B"/>
    <w:rsid w:val="00262A2B"/>
    <w:rsid w:val="002772EF"/>
    <w:rsid w:val="0029140B"/>
    <w:rsid w:val="002B53E0"/>
    <w:rsid w:val="002D593B"/>
    <w:rsid w:val="00304462"/>
    <w:rsid w:val="00304DE8"/>
    <w:rsid w:val="003231E8"/>
    <w:rsid w:val="00371B60"/>
    <w:rsid w:val="00380773"/>
    <w:rsid w:val="003B2791"/>
    <w:rsid w:val="003B5C2F"/>
    <w:rsid w:val="003E22D1"/>
    <w:rsid w:val="00431C1A"/>
    <w:rsid w:val="00450064"/>
    <w:rsid w:val="00472B66"/>
    <w:rsid w:val="004B6BD4"/>
    <w:rsid w:val="004D7F75"/>
    <w:rsid w:val="0051174D"/>
    <w:rsid w:val="0052086D"/>
    <w:rsid w:val="0052185B"/>
    <w:rsid w:val="00525735"/>
    <w:rsid w:val="00547FD7"/>
    <w:rsid w:val="005A2C74"/>
    <w:rsid w:val="005C5993"/>
    <w:rsid w:val="005E6631"/>
    <w:rsid w:val="005F53A6"/>
    <w:rsid w:val="006207A5"/>
    <w:rsid w:val="00694A91"/>
    <w:rsid w:val="006D52AC"/>
    <w:rsid w:val="006E1B0B"/>
    <w:rsid w:val="006F1672"/>
    <w:rsid w:val="007148EA"/>
    <w:rsid w:val="007350C3"/>
    <w:rsid w:val="00735F0E"/>
    <w:rsid w:val="00752FCD"/>
    <w:rsid w:val="00772087"/>
    <w:rsid w:val="007A6EC9"/>
    <w:rsid w:val="007D377C"/>
    <w:rsid w:val="00815D54"/>
    <w:rsid w:val="008264CA"/>
    <w:rsid w:val="00845F30"/>
    <w:rsid w:val="008B6D6D"/>
    <w:rsid w:val="008C1FBC"/>
    <w:rsid w:val="008D51C3"/>
    <w:rsid w:val="00973373"/>
    <w:rsid w:val="009E0775"/>
    <w:rsid w:val="009F30C5"/>
    <w:rsid w:val="009F69C8"/>
    <w:rsid w:val="00A05DF8"/>
    <w:rsid w:val="00A22553"/>
    <w:rsid w:val="00A41C07"/>
    <w:rsid w:val="00A42BCD"/>
    <w:rsid w:val="00AA5B88"/>
    <w:rsid w:val="00AE399E"/>
    <w:rsid w:val="00AE4DFB"/>
    <w:rsid w:val="00B52682"/>
    <w:rsid w:val="00B561DF"/>
    <w:rsid w:val="00B75C95"/>
    <w:rsid w:val="00B83E58"/>
    <w:rsid w:val="00BE4C4D"/>
    <w:rsid w:val="00BF1CA5"/>
    <w:rsid w:val="00C06379"/>
    <w:rsid w:val="00C32AEA"/>
    <w:rsid w:val="00C65289"/>
    <w:rsid w:val="00C77551"/>
    <w:rsid w:val="00CA2312"/>
    <w:rsid w:val="00CC755C"/>
    <w:rsid w:val="00CE2175"/>
    <w:rsid w:val="00D457C0"/>
    <w:rsid w:val="00DA7E51"/>
    <w:rsid w:val="00DE5900"/>
    <w:rsid w:val="00E02BC5"/>
    <w:rsid w:val="00E35C2E"/>
    <w:rsid w:val="00E87FBC"/>
    <w:rsid w:val="00EA75D0"/>
    <w:rsid w:val="00EF6524"/>
    <w:rsid w:val="00EF6FC8"/>
    <w:rsid w:val="00F01EDD"/>
    <w:rsid w:val="00F10CB6"/>
    <w:rsid w:val="00F20FF3"/>
    <w:rsid w:val="00F42FCA"/>
    <w:rsid w:val="00F44C1B"/>
    <w:rsid w:val="00F77705"/>
    <w:rsid w:val="00FB5F3F"/>
    <w:rsid w:val="00FD5DCF"/>
    <w:rsid w:val="03BB0549"/>
    <w:rsid w:val="045003F3"/>
    <w:rsid w:val="0644429B"/>
    <w:rsid w:val="07865329"/>
    <w:rsid w:val="07EF0236"/>
    <w:rsid w:val="082F4327"/>
    <w:rsid w:val="0C3E353A"/>
    <w:rsid w:val="0CCC608B"/>
    <w:rsid w:val="0CEE71B9"/>
    <w:rsid w:val="10AE582D"/>
    <w:rsid w:val="11174EEC"/>
    <w:rsid w:val="114864D0"/>
    <w:rsid w:val="120C7C36"/>
    <w:rsid w:val="120F1FC0"/>
    <w:rsid w:val="12E7492B"/>
    <w:rsid w:val="16694259"/>
    <w:rsid w:val="19110278"/>
    <w:rsid w:val="195C3451"/>
    <w:rsid w:val="19706CFD"/>
    <w:rsid w:val="1B370E18"/>
    <w:rsid w:val="1BAC0120"/>
    <w:rsid w:val="1CA84549"/>
    <w:rsid w:val="1F63531C"/>
    <w:rsid w:val="1F78690B"/>
    <w:rsid w:val="1FA960E2"/>
    <w:rsid w:val="1FF705AF"/>
    <w:rsid w:val="24C75794"/>
    <w:rsid w:val="25B81744"/>
    <w:rsid w:val="25BD776E"/>
    <w:rsid w:val="280073F9"/>
    <w:rsid w:val="29C90EB0"/>
    <w:rsid w:val="2B892294"/>
    <w:rsid w:val="2C0B258D"/>
    <w:rsid w:val="2C7A0167"/>
    <w:rsid w:val="2F9A6DA3"/>
    <w:rsid w:val="30BA1DAB"/>
    <w:rsid w:val="322B5A66"/>
    <w:rsid w:val="32B33B1F"/>
    <w:rsid w:val="337F440B"/>
    <w:rsid w:val="34656C04"/>
    <w:rsid w:val="36A24542"/>
    <w:rsid w:val="39810DD3"/>
    <w:rsid w:val="3B847CF2"/>
    <w:rsid w:val="3D3D6D72"/>
    <w:rsid w:val="3FEF4EA9"/>
    <w:rsid w:val="402244C5"/>
    <w:rsid w:val="40E052AB"/>
    <w:rsid w:val="41AC44C7"/>
    <w:rsid w:val="42350960"/>
    <w:rsid w:val="460C464B"/>
    <w:rsid w:val="467B090B"/>
    <w:rsid w:val="47EC7D13"/>
    <w:rsid w:val="486D0F95"/>
    <w:rsid w:val="49B83E98"/>
    <w:rsid w:val="4AE71C5F"/>
    <w:rsid w:val="4C043151"/>
    <w:rsid w:val="4F2060C9"/>
    <w:rsid w:val="51D63240"/>
    <w:rsid w:val="527810BE"/>
    <w:rsid w:val="527C5AA9"/>
    <w:rsid w:val="53542C10"/>
    <w:rsid w:val="5699330D"/>
    <w:rsid w:val="56A50A2E"/>
    <w:rsid w:val="5875165E"/>
    <w:rsid w:val="58E2051D"/>
    <w:rsid w:val="5C8005D2"/>
    <w:rsid w:val="5D14497D"/>
    <w:rsid w:val="5FF84813"/>
    <w:rsid w:val="62842E61"/>
    <w:rsid w:val="64D04428"/>
    <w:rsid w:val="66A07BE5"/>
    <w:rsid w:val="6A8120E5"/>
    <w:rsid w:val="6B27620E"/>
    <w:rsid w:val="6BED3748"/>
    <w:rsid w:val="6C474399"/>
    <w:rsid w:val="6CFF75DF"/>
    <w:rsid w:val="6E07348B"/>
    <w:rsid w:val="70255908"/>
    <w:rsid w:val="7260129D"/>
    <w:rsid w:val="72F06686"/>
    <w:rsid w:val="72F75A8F"/>
    <w:rsid w:val="732F0FFB"/>
    <w:rsid w:val="780378B3"/>
    <w:rsid w:val="797D7D5C"/>
    <w:rsid w:val="7BDE6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ody Text"/>
    <w:basedOn w:val="1"/>
    <w:next w:val="4"/>
    <w:qFormat/>
    <w:uiPriority w:val="0"/>
  </w:style>
  <w:style w:type="paragraph" w:styleId="4">
    <w:name w:val="Subtitle"/>
    <w:basedOn w:val="1"/>
    <w:next w:val="1"/>
    <w:qFormat/>
    <w:uiPriority w:val="11"/>
    <w:pPr>
      <w:spacing w:after="60"/>
      <w:jc w:val="center"/>
      <w:outlineLvl w:val="1"/>
    </w:pPr>
    <w:rPr>
      <w:rFonts w:ascii="Cambria" w:hAnsi="Cambria"/>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qFormat/>
    <w:uiPriority w:val="99"/>
    <w:rPr>
      <w:color w:val="0000FF"/>
      <w:u w:val="single"/>
    </w:rPr>
  </w:style>
  <w:style w:type="character" w:customStyle="1" w:styleId="12">
    <w:name w:val="页眉 字符"/>
    <w:link w:val="7"/>
    <w:qFormat/>
    <w:uiPriority w:val="0"/>
    <w:rPr>
      <w:kern w:val="2"/>
      <w:sz w:val="18"/>
      <w:szCs w:val="18"/>
    </w:rPr>
  </w:style>
  <w:style w:type="character" w:customStyle="1" w:styleId="13">
    <w:name w:val="页脚 字符"/>
    <w:link w:val="6"/>
    <w:qFormat/>
    <w:uiPriority w:val="0"/>
    <w:rPr>
      <w:kern w:val="2"/>
      <w:sz w:val="18"/>
      <w:szCs w:val="18"/>
    </w:rPr>
  </w:style>
  <w:style w:type="character" w:customStyle="1" w:styleId="14">
    <w:name w:val="批注框文本 字符"/>
    <w:link w:val="5"/>
    <w:qFormat/>
    <w:uiPriority w:val="0"/>
    <w:rPr>
      <w:kern w:val="2"/>
      <w:sz w:val="18"/>
      <w:szCs w:val="18"/>
    </w:rPr>
  </w:style>
  <w:style w:type="paragraph" w:styleId="15">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上海海事大学</Company>
  <Pages>4</Pages>
  <Words>2129</Words>
  <Characters>2323</Characters>
  <Lines>19</Lines>
  <Paragraphs>5</Paragraphs>
  <TotalTime>0</TotalTime>
  <ScaleCrop>false</ScaleCrop>
  <LinksUpToDate>false</LinksUpToDate>
  <CharactersWithSpaces>2339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2020-05-21T01:48:00Z</dcterms:created>
  <dc:creator>wdyang</dc:creator>
  <cp:lastModifiedBy>仲杰</cp:lastModifiedBy>
  <cp:lastPrinted>2023-07-07T07:34:00Z</cp:lastPrinted>
  <dcterms:modified xsi:type="dcterms:W3CDTF">2023-08-07T01:56:40Z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3E70557AE2F54E8BA1DBE5B0AC185D73_13</vt:lpwstr>
  </property>
</Properties>
</file>