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EDS能谱仪</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HFBX2025046</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二〇二五年五月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HFBX2025046</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EDS能谱仪</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rPr>
        <w:t>人民币</w:t>
      </w:r>
      <w:r>
        <w:rPr>
          <w:rFonts w:hint="eastAsia" w:ascii="方正兰亭黑简体" w:hAnsi="方正兰亭黑简体" w:eastAsia="方正兰亭黑简体" w:cs="方正兰亭黑简体"/>
          <w:color w:val="auto"/>
          <w:sz w:val="22"/>
          <w:szCs w:val="28"/>
          <w:highlight w:val="none"/>
          <w:lang w:val="en-US" w:eastAsia="zh-CN"/>
        </w:rPr>
        <w:t>28</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val="en-US" w:eastAsia="zh-CN"/>
        </w:rPr>
        <w:t>该“EDS 能谱仪”主要用于对重型破冰船关键钢材及其腐蚀磨损后等服役后表面成分分析。其核心支持方向和工作内容包括金属材料的相分析、成分分析和夹杂物形态成分的鉴定、钢材表面金属基涂层开发、钢材失效分析。</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07A4D9AA">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交付地址：上海市海港大道1550号（上海海事大学临港校区）</w:t>
      </w:r>
    </w:p>
    <w:p w14:paraId="0043276A">
      <w:pP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付款方式：</w:t>
      </w:r>
      <w:r>
        <w:rPr>
          <w:rFonts w:hint="eastAsia" w:ascii="方正兰亭黑简体" w:hAnsi="方正兰亭黑简体" w:eastAsia="方正兰亭黑简体" w:cs="方正兰亭黑简体"/>
          <w:color w:val="auto"/>
          <w:sz w:val="22"/>
          <w:szCs w:val="28"/>
          <w:highlight w:val="none"/>
          <w:lang w:val="en-US" w:eastAsia="zh-CN"/>
        </w:rPr>
        <w:t>合同内全部设备安装调试完成，</w:t>
      </w:r>
      <w:r>
        <w:rPr>
          <w:rFonts w:hint="default" w:ascii="方正兰亭黑简体" w:hAnsi="方正兰亭黑简体" w:eastAsia="方正兰亭黑简体" w:cs="方正兰亭黑简体"/>
          <w:color w:val="auto"/>
          <w:sz w:val="22"/>
          <w:szCs w:val="28"/>
          <w:highlight w:val="none"/>
        </w:rPr>
        <w:t>经甲方验收合格后</w:t>
      </w:r>
      <w:r>
        <w:rPr>
          <w:rFonts w:hint="eastAsia" w:ascii="方正兰亭黑简体" w:hAnsi="方正兰亭黑简体" w:eastAsia="方正兰亭黑简体" w:cs="方正兰亭黑简体"/>
          <w:color w:val="auto"/>
          <w:sz w:val="22"/>
          <w:szCs w:val="28"/>
          <w:highlight w:val="none"/>
          <w:lang w:val="en-US" w:eastAsia="zh-CN"/>
        </w:rPr>
        <w:t>的一个月</w:t>
      </w:r>
      <w:r>
        <w:rPr>
          <w:rFonts w:hint="default" w:ascii="方正兰亭黑简体" w:hAnsi="方正兰亭黑简体" w:eastAsia="方正兰亭黑简体" w:cs="方正兰亭黑简体"/>
          <w:color w:val="auto"/>
          <w:sz w:val="22"/>
          <w:szCs w:val="28"/>
          <w:highlight w:val="none"/>
        </w:rPr>
        <w:t>内，甲方应向乙方一次性支付全部合同款项。合同内全部款项均以“银行转账”方式予以支付。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21</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周三</w:t>
      </w:r>
      <w:bookmarkStart w:id="4" w:name="_GoBack"/>
      <w:bookmarkEnd w:id="4"/>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郭</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38284810</w:t>
      </w:r>
    </w:p>
    <w:p w14:paraId="13CA3734">
      <w:pPr>
        <w:jc w:val="left"/>
        <w:rPr>
          <w:rFonts w:hint="eastAsia" w:ascii="方正兰亭黑简体" w:hAnsi="方正兰亭黑简体" w:eastAsia="方正兰亭黑简体" w:cs="方正兰亭黑简体"/>
          <w:color w:val="auto"/>
          <w:sz w:val="22"/>
          <w:szCs w:val="28"/>
          <w:highlight w:val="none"/>
        </w:rPr>
      </w:pPr>
    </w:p>
    <w:p w14:paraId="2D28AC98">
      <w:pPr>
        <w:jc w:val="left"/>
        <w:rPr>
          <w:rFonts w:hint="eastAsia" w:ascii="方正兰亭黑简体" w:hAnsi="方正兰亭黑简体" w:eastAsia="方正兰亭黑简体" w:cs="方正兰亭黑简体"/>
          <w:color w:val="auto"/>
          <w:sz w:val="22"/>
          <w:szCs w:val="28"/>
          <w:highlight w:val="none"/>
        </w:rPr>
      </w:pP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0ACAB48B">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设备数量：1套；</w:t>
      </w:r>
    </w:p>
    <w:p w14:paraId="3817CE5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1</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 xml:space="preserve"> 探测器：硅漂移（SDD）电制冷探测器，采用场效应管（FET）一体化集成设计的高速SDD芯片，30mm2有效面积，超薄窗设计，独立真空； </w:t>
      </w:r>
    </w:p>
    <w:p w14:paraId="25F29EF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2"/>
          <w:szCs w:val="28"/>
          <w:highlight w:val="none"/>
        </w:rPr>
        <w:t>2</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 xml:space="preserve"> 能量分辨率：Mn Ka保证优于129eV，Cu Ka保证优于148eV；</w:t>
      </w:r>
    </w:p>
    <w:p w14:paraId="3191D6D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 xml:space="preserve"> 卸真空或更换样品时探头无需预热。</w:t>
      </w:r>
    </w:p>
    <w:p w14:paraId="2E9F3C9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元素分析范围: Be4～Cf98</w:t>
      </w:r>
    </w:p>
    <w:p w14:paraId="50DB55B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2"/>
          <w:szCs w:val="28"/>
          <w:highlight w:val="none"/>
        </w:rPr>
        <w:t>5</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能谱仪处理单元与计算机采用分立式设计，单探测器输出最大计数率优于60,000CPS。</w:t>
      </w:r>
    </w:p>
    <w:p w14:paraId="786906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6谱定性分析：可自动标识谱峰，可设定自动标定的元素范围，可进行谱重构，对重叠峰进行可视化谱峰剥离，并对重叠峰区域各种可能的元素进行搜索与再确认</w:t>
      </w:r>
    </w:p>
    <w:p w14:paraId="4991205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2"/>
          <w:szCs w:val="28"/>
          <w:highlight w:val="none"/>
        </w:rPr>
        <w:t>7</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配备完善而精准的原子数据库，包含所有的分析线系(K, L, M 和 N线系)</w:t>
      </w:r>
    </w:p>
    <w:p w14:paraId="3DEC114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定性与定量分析：可自动和手动进行谱峰识别，并具有检验重叠峰识别准确性的可见峰剥离技术，可图形化显示剥离结果；自动或者手动倾斜样品修正，不导电样品修正，加速电压最优化；提供国际通用的所有定量方法——P/B ZAF、PhiZAF以及改进后包含XPP特例的PhiRZ，以适应不同的计算需求，可同时显示归一化和非归一化结果；交互式控制整个定量分析过程，具有灵活多样的定量结果模式以供选择。</w:t>
      </w:r>
    </w:p>
    <w:p w14:paraId="790408F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9</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可将电镜图像传输到能谱仪的显示器上，并以该图为中心做微区分析，实现点、区域定性定量分析，以及线扫描和面分布功能。</w:t>
      </w:r>
    </w:p>
    <w:p w14:paraId="77EA6CB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2"/>
          <w:szCs w:val="28"/>
          <w:highlight w:val="none"/>
        </w:rPr>
        <w:t>10</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全息面分布，系统保存全谱信息包含所有谱图信息，可离线读取数据库重新分析实现离线的点分析、区域分析、线扫描。</w:t>
      </w:r>
    </w:p>
    <w:p w14:paraId="63B50798">
      <w:pPr>
        <w:spacing w:line="240" w:lineRule="auto"/>
        <w:ind w:firstLine="480" w:firstLineChars="200"/>
        <w:rPr>
          <w:rFonts w:hint="eastAsia" w:ascii="方正兰亭黑简体" w:hAnsi="方正兰亭黑简体" w:eastAsia="方正兰亭黑简体" w:cs="方正兰亭黑简体"/>
          <w:color w:val="auto"/>
          <w:sz w:val="24"/>
          <w:szCs w:val="24"/>
          <w:highlight w:val="none"/>
        </w:rPr>
      </w:pP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0"/>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4"/>
        <w:gridCol w:w="1736"/>
        <w:gridCol w:w="715"/>
        <w:gridCol w:w="6827"/>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29" w:type="pct"/>
            <w:noWrap w:val="0"/>
            <w:vAlign w:val="center"/>
          </w:tcPr>
          <w:p w14:paraId="742FB554">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序号</w:t>
            </w:r>
          </w:p>
        </w:tc>
        <w:tc>
          <w:tcPr>
            <w:tcW w:w="874" w:type="pct"/>
            <w:noWrap w:val="0"/>
            <w:vAlign w:val="center"/>
          </w:tcPr>
          <w:p w14:paraId="5F54B63A">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评审因素</w:t>
            </w:r>
          </w:p>
        </w:tc>
        <w:tc>
          <w:tcPr>
            <w:tcW w:w="360" w:type="pct"/>
            <w:noWrap w:val="0"/>
            <w:vAlign w:val="center"/>
          </w:tcPr>
          <w:p w14:paraId="25FE165D">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分值</w:t>
            </w:r>
          </w:p>
        </w:tc>
        <w:tc>
          <w:tcPr>
            <w:tcW w:w="3435" w:type="pct"/>
            <w:noWrap w:val="0"/>
            <w:vAlign w:val="center"/>
          </w:tcPr>
          <w:p w14:paraId="1A737473">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9"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874"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4CB6FE52">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30</w:t>
            </w:r>
          </w:p>
        </w:tc>
        <w:tc>
          <w:tcPr>
            <w:tcW w:w="3435" w:type="pct"/>
            <w:noWrap w:val="0"/>
            <w:vAlign w:val="center"/>
          </w:tcPr>
          <w:p w14:paraId="070A6E3E">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的报价为基准价，其价格分为满分30分。其他报价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w:t>
            </w:r>
          </w:p>
          <w:p w14:paraId="346792C0">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报价得分＝30×（评标基准价/投标报价）。</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9"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874"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7C2DAE4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435" w:type="pct"/>
            <w:noWrap w:val="0"/>
            <w:vAlign w:val="center"/>
          </w:tcPr>
          <w:p w14:paraId="593B51A2">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329"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874"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技术响应程度</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70332D3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435" w:type="pct"/>
            <w:shd w:val="clear" w:color="auto" w:fill="auto"/>
            <w:noWrap w:val="0"/>
            <w:vAlign w:val="center"/>
          </w:tcPr>
          <w:p w14:paraId="7461B042">
            <w:pPr>
              <w:spacing w:line="240" w:lineRule="auto"/>
              <w:jc w:val="both"/>
              <w:rPr>
                <w:rFonts w:hint="eastAsia" w:ascii="方正兰亭黑简体" w:hAnsi="方正兰亭黑简体" w:eastAsia="方正兰亭黑简体" w:cs="方正兰亭黑简体"/>
                <w:color w:val="auto"/>
                <w:kern w:val="2"/>
                <w:sz w:val="20"/>
                <w:szCs w:val="20"/>
                <w:highlight w:val="none"/>
                <w:lang w:val="en-US" w:eastAsia="zh-CN" w:bidi="ar-SA"/>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技术条款的，每项扣</w:t>
            </w:r>
            <w:r>
              <w:rPr>
                <w:rFonts w:hint="eastAsia" w:ascii="方正兰亭黑简体" w:hAnsi="方正兰亭黑简体" w:eastAsia="方正兰亭黑简体" w:cs="方正兰亭黑简体"/>
                <w:color w:val="auto"/>
                <w:sz w:val="20"/>
                <w:szCs w:val="20"/>
                <w:highlight w:val="none"/>
                <w:lang w:val="en-US" w:eastAsia="zh-CN"/>
              </w:rPr>
              <w:t>6</w:t>
            </w:r>
            <w:r>
              <w:rPr>
                <w:rFonts w:hint="eastAsia" w:ascii="方正兰亭黑简体" w:hAnsi="方正兰亭黑简体" w:eastAsia="方正兰亭黑简体" w:cs="方正兰亭黑简体"/>
                <w:color w:val="auto"/>
                <w:sz w:val="20"/>
                <w:szCs w:val="20"/>
                <w:highlight w:val="none"/>
              </w:rPr>
              <w:t>分；扣完为止。</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29"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874" w:type="pct"/>
            <w:tcBorders>
              <w:top w:val="single" w:color="auto" w:sz="6" w:space="0"/>
              <w:left w:val="single" w:color="auto" w:sz="6" w:space="0"/>
              <w:bottom w:val="single" w:color="auto" w:sz="6" w:space="0"/>
              <w:right w:val="single" w:color="auto" w:sz="6" w:space="0"/>
            </w:tcBorders>
            <w:noWrap w:val="0"/>
            <w:vAlign w:val="center"/>
          </w:tcPr>
          <w:p w14:paraId="763EBC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产品性能介绍</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3662F0A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10</w:t>
            </w:r>
          </w:p>
        </w:tc>
        <w:tc>
          <w:tcPr>
            <w:tcW w:w="3435" w:type="pct"/>
            <w:noWrap w:val="0"/>
            <w:vAlign w:val="center"/>
          </w:tcPr>
          <w:p w14:paraId="0085CA8B">
            <w:pPr>
              <w:spacing w:line="240" w:lineRule="auto"/>
              <w:jc w:val="both"/>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8～10</w:t>
            </w:r>
            <w:r>
              <w:rPr>
                <w:rFonts w:hint="eastAsia" w:ascii="方正兰亭黑简体" w:hAnsi="方正兰亭黑简体" w:eastAsia="方正兰亭黑简体" w:cs="方正兰亭黑简体"/>
                <w:color w:val="auto"/>
                <w:sz w:val="20"/>
                <w:szCs w:val="20"/>
                <w:highlight w:val="none"/>
              </w:rPr>
              <w:t>分）：详细介绍了产品的各项性能参数</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5～7</w:t>
            </w:r>
            <w:r>
              <w:rPr>
                <w:rFonts w:hint="eastAsia" w:ascii="方正兰亭黑简体" w:hAnsi="方正兰亭黑简体" w:eastAsia="方正兰亭黑简体" w:cs="方正兰亭黑简体"/>
                <w:color w:val="auto"/>
                <w:sz w:val="20"/>
                <w:szCs w:val="20"/>
                <w:highlight w:val="none"/>
              </w:rPr>
              <w:t>分）：较全面地介绍了产品的性能参数。</w:t>
            </w:r>
          </w:p>
          <w:p w14:paraId="1CD5D97E">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2～4</w:t>
            </w:r>
            <w:r>
              <w:rPr>
                <w:rFonts w:hint="eastAsia" w:ascii="方正兰亭黑简体" w:hAnsi="方正兰亭黑简体" w:eastAsia="方正兰亭黑简体" w:cs="方正兰亭黑简体"/>
                <w:color w:val="auto"/>
                <w:sz w:val="20"/>
                <w:szCs w:val="20"/>
                <w:highlight w:val="none"/>
              </w:rPr>
              <w:t>分）：介绍了部分性能参数，但不够全面或详细。</w:t>
            </w:r>
          </w:p>
          <w:p w14:paraId="43A31D4A">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分）：性能参数介绍不完整或存在明显错误。</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329" w:type="pct"/>
            <w:noWrap w:val="0"/>
            <w:vAlign w:val="center"/>
          </w:tcPr>
          <w:p w14:paraId="063649C8">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874" w:type="pct"/>
            <w:noWrap w:val="0"/>
            <w:vAlign w:val="center"/>
          </w:tcPr>
          <w:p w14:paraId="15CC193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技术支持与</w:t>
            </w:r>
            <w:r>
              <w:rPr>
                <w:rFonts w:hint="eastAsia" w:ascii="方正兰亭黑简体" w:hAnsi="方正兰亭黑简体" w:eastAsia="方正兰亭黑简体" w:cs="方正兰亭黑简体"/>
                <w:color w:val="auto"/>
                <w:sz w:val="20"/>
                <w:szCs w:val="20"/>
                <w:highlight w:val="none"/>
                <w:lang w:val="en-US" w:eastAsia="zh-CN"/>
              </w:rPr>
              <w:t>售后</w:t>
            </w:r>
            <w:r>
              <w:rPr>
                <w:rFonts w:hint="eastAsia" w:ascii="方正兰亭黑简体" w:hAnsi="方正兰亭黑简体" w:eastAsia="方正兰亭黑简体" w:cs="方正兰亭黑简体"/>
                <w:color w:val="auto"/>
                <w:sz w:val="20"/>
                <w:szCs w:val="20"/>
                <w:highlight w:val="none"/>
              </w:rPr>
              <w:t>服务</w:t>
            </w:r>
          </w:p>
          <w:p w14:paraId="3E50768E">
            <w:pPr>
              <w:pStyle w:val="13"/>
              <w:jc w:val="center"/>
              <w:rPr>
                <w:rFonts w:hint="eastAsia"/>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7D753253">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435" w:type="pct"/>
            <w:noWrap w:val="0"/>
            <w:vAlign w:val="center"/>
          </w:tcPr>
          <w:p w14:paraId="4AA3E186">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12～15</w:t>
            </w:r>
            <w:r>
              <w:rPr>
                <w:rFonts w:hint="eastAsia" w:ascii="方正兰亭黑简体" w:hAnsi="方正兰亭黑简体" w:eastAsia="方正兰亭黑简体" w:cs="方正兰亭黑简体"/>
                <w:color w:val="auto"/>
                <w:sz w:val="20"/>
                <w:szCs w:val="20"/>
                <w:highlight w:val="none"/>
              </w:rPr>
              <w:t>分）：提供了详尽的技术支持方案</w:t>
            </w:r>
            <w:r>
              <w:rPr>
                <w:rFonts w:hint="eastAsia" w:ascii="方正兰亭黑简体" w:hAnsi="方正兰亭黑简体" w:eastAsia="方正兰亭黑简体" w:cs="方正兰亭黑简体"/>
                <w:color w:val="auto"/>
                <w:sz w:val="20"/>
                <w:szCs w:val="20"/>
                <w:highlight w:val="none"/>
                <w:lang w:val="en-US" w:eastAsia="zh-CN"/>
              </w:rPr>
              <w:t>以及售后服务方案</w:t>
            </w:r>
            <w:r>
              <w:rPr>
                <w:rFonts w:hint="eastAsia" w:ascii="方正兰亭黑简体" w:hAnsi="方正兰亭黑简体" w:eastAsia="方正兰亭黑简体" w:cs="方正兰亭黑简体"/>
                <w:color w:val="auto"/>
                <w:sz w:val="20"/>
                <w:szCs w:val="20"/>
                <w:highlight w:val="none"/>
              </w:rPr>
              <w:t>，包括快速响应机制、服务承诺等。</w:t>
            </w:r>
          </w:p>
          <w:p w14:paraId="71512670">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8～11</w:t>
            </w:r>
            <w:r>
              <w:rPr>
                <w:rFonts w:hint="eastAsia" w:ascii="方正兰亭黑简体" w:hAnsi="方正兰亭黑简体" w:eastAsia="方正兰亭黑简体" w:cs="方正兰亭黑简体"/>
                <w:color w:val="auto"/>
                <w:sz w:val="20"/>
                <w:szCs w:val="20"/>
                <w:highlight w:val="none"/>
              </w:rPr>
              <w:t>分）：提供了较为全面的技术支持方案</w:t>
            </w:r>
            <w:r>
              <w:rPr>
                <w:rFonts w:hint="eastAsia" w:ascii="方正兰亭黑简体" w:hAnsi="方正兰亭黑简体" w:eastAsia="方正兰亭黑简体" w:cs="方正兰亭黑简体"/>
                <w:color w:val="auto"/>
                <w:sz w:val="20"/>
                <w:szCs w:val="20"/>
                <w:highlight w:val="none"/>
                <w:lang w:val="en-US" w:eastAsia="zh-CN"/>
              </w:rPr>
              <w:t>和售后服务方案</w:t>
            </w:r>
            <w:r>
              <w:rPr>
                <w:rFonts w:hint="eastAsia" w:ascii="方正兰亭黑简体" w:hAnsi="方正兰亭黑简体" w:eastAsia="方正兰亭黑简体" w:cs="方正兰亭黑简体"/>
                <w:color w:val="auto"/>
                <w:sz w:val="20"/>
                <w:szCs w:val="20"/>
                <w:highlight w:val="none"/>
              </w:rPr>
              <w:t>，但计划不够详细。</w:t>
            </w:r>
          </w:p>
          <w:p w14:paraId="295E5700">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4～7</w:t>
            </w:r>
            <w:r>
              <w:rPr>
                <w:rFonts w:hint="eastAsia" w:ascii="方正兰亭黑简体" w:hAnsi="方正兰亭黑简体" w:eastAsia="方正兰亭黑简体" w:cs="方正兰亭黑简体"/>
                <w:color w:val="auto"/>
                <w:sz w:val="20"/>
                <w:szCs w:val="20"/>
                <w:highlight w:val="none"/>
              </w:rPr>
              <w:t>分）：方案较为简单，缺乏</w:t>
            </w:r>
            <w:r>
              <w:rPr>
                <w:rFonts w:hint="eastAsia" w:ascii="方正兰亭黑简体" w:hAnsi="方正兰亭黑简体" w:eastAsia="方正兰亭黑简体" w:cs="方正兰亭黑简体"/>
                <w:color w:val="auto"/>
                <w:sz w:val="20"/>
                <w:szCs w:val="20"/>
                <w:highlight w:val="none"/>
                <w:lang w:val="en-US" w:eastAsia="zh-CN"/>
              </w:rPr>
              <w:t>具体的</w:t>
            </w:r>
            <w:r>
              <w:rPr>
                <w:rFonts w:hint="eastAsia" w:ascii="方正兰亭黑简体" w:hAnsi="方正兰亭黑简体" w:eastAsia="方正兰亭黑简体" w:cs="方正兰亭黑简体"/>
                <w:color w:val="auto"/>
                <w:sz w:val="20"/>
                <w:szCs w:val="20"/>
                <w:highlight w:val="none"/>
              </w:rPr>
              <w:t>计划。</w:t>
            </w:r>
          </w:p>
          <w:p w14:paraId="5A4EEF3E">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分）：未提供技术支持方案或售后服务承诺。</w:t>
            </w:r>
          </w:p>
        </w:tc>
      </w:tr>
    </w:tbl>
    <w:p w14:paraId="4D8EC08B">
      <w:pPr>
        <w:widowControl w:val="0"/>
        <w:numPr>
          <w:ilvl w:val="0"/>
          <w:numId w:val="0"/>
        </w:numPr>
        <w:jc w:val="left"/>
        <w:rPr>
          <w:rFonts w:hint="eastAsia" w:ascii="方正兰亭黑简体" w:hAnsi="方正兰亭黑简体" w:eastAsia="方正兰亭黑简体" w:cs="方正兰亭黑简体"/>
          <w:color w:val="auto"/>
          <w:sz w:val="22"/>
          <w:szCs w:val="28"/>
          <w:highlight w:val="none"/>
        </w:rPr>
      </w:pPr>
    </w:p>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项目编号：HFBX2025046</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35F2988C">
      <w:pPr>
        <w:spacing w:line="440" w:lineRule="exact"/>
        <w:rPr>
          <w:rFonts w:hint="eastAsia" w:ascii="黑体" w:hAnsi="华文楷体" w:eastAsia="黑体"/>
          <w:b/>
          <w:color w:val="auto"/>
          <w:sz w:val="24"/>
          <w:highlight w:val="none"/>
        </w:rPr>
      </w:pP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062"/>
        <w:gridCol w:w="971"/>
        <w:gridCol w:w="1463"/>
        <w:gridCol w:w="581"/>
        <w:gridCol w:w="876"/>
        <w:gridCol w:w="876"/>
        <w:gridCol w:w="1230"/>
        <w:gridCol w:w="1397"/>
      </w:tblGrid>
      <w:tr w14:paraId="481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top w:val="single" w:color="auto" w:sz="12" w:space="0"/>
              <w:left w:val="single" w:color="auto" w:sz="12" w:space="0"/>
              <w:bottom w:val="double" w:color="auto" w:sz="4" w:space="0"/>
            </w:tcBorders>
            <w:noWrap w:val="0"/>
            <w:vAlign w:val="top"/>
          </w:tcPr>
          <w:p w14:paraId="67E9217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序号</w:t>
            </w:r>
          </w:p>
        </w:tc>
        <w:tc>
          <w:tcPr>
            <w:tcW w:w="1036" w:type="pct"/>
            <w:tcBorders>
              <w:top w:val="single" w:color="auto" w:sz="12" w:space="0"/>
              <w:bottom w:val="double" w:color="auto" w:sz="4" w:space="0"/>
            </w:tcBorders>
            <w:noWrap w:val="0"/>
            <w:vAlign w:val="top"/>
          </w:tcPr>
          <w:p w14:paraId="5FFC86E8">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产品名称</w:t>
            </w:r>
          </w:p>
        </w:tc>
        <w:tc>
          <w:tcPr>
            <w:tcW w:w="488" w:type="pct"/>
            <w:tcBorders>
              <w:top w:val="single" w:color="auto" w:sz="12" w:space="0"/>
              <w:bottom w:val="double" w:color="auto" w:sz="4" w:space="0"/>
            </w:tcBorders>
            <w:noWrap w:val="0"/>
            <w:vAlign w:val="top"/>
          </w:tcPr>
          <w:p w14:paraId="5F8969CF">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品牌</w:t>
            </w:r>
          </w:p>
        </w:tc>
        <w:tc>
          <w:tcPr>
            <w:tcW w:w="733" w:type="pct"/>
            <w:tcBorders>
              <w:top w:val="single" w:color="auto" w:sz="12" w:space="0"/>
              <w:bottom w:val="double" w:color="auto" w:sz="4" w:space="0"/>
            </w:tcBorders>
            <w:noWrap w:val="0"/>
            <w:vAlign w:val="top"/>
          </w:tcPr>
          <w:p w14:paraId="16AB36D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型号规格</w:t>
            </w:r>
          </w:p>
        </w:tc>
        <w:tc>
          <w:tcPr>
            <w:tcW w:w="292" w:type="pct"/>
            <w:tcBorders>
              <w:top w:val="single" w:color="auto" w:sz="12" w:space="0"/>
              <w:bottom w:val="double" w:color="auto" w:sz="4" w:space="0"/>
            </w:tcBorders>
            <w:noWrap w:val="0"/>
            <w:vAlign w:val="top"/>
          </w:tcPr>
          <w:p w14:paraId="7A41A9BF">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数量</w:t>
            </w:r>
          </w:p>
        </w:tc>
        <w:tc>
          <w:tcPr>
            <w:tcW w:w="440" w:type="pct"/>
            <w:tcBorders>
              <w:top w:val="single" w:color="auto" w:sz="12" w:space="0"/>
              <w:bottom w:val="double" w:color="auto" w:sz="4" w:space="0"/>
            </w:tcBorders>
            <w:noWrap w:val="0"/>
            <w:vAlign w:val="top"/>
          </w:tcPr>
          <w:p w14:paraId="22044959">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单价</w:t>
            </w:r>
          </w:p>
        </w:tc>
        <w:tc>
          <w:tcPr>
            <w:tcW w:w="440" w:type="pct"/>
            <w:tcBorders>
              <w:top w:val="single" w:color="auto" w:sz="12" w:space="0"/>
              <w:bottom w:val="double" w:color="auto" w:sz="4" w:space="0"/>
            </w:tcBorders>
            <w:noWrap w:val="0"/>
            <w:vAlign w:val="top"/>
          </w:tcPr>
          <w:p w14:paraId="61A1F83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金额</w:t>
            </w:r>
          </w:p>
        </w:tc>
        <w:tc>
          <w:tcPr>
            <w:tcW w:w="618" w:type="pct"/>
            <w:tcBorders>
              <w:top w:val="single" w:color="auto" w:sz="12" w:space="0"/>
              <w:bottom w:val="double" w:color="auto" w:sz="4" w:space="0"/>
            </w:tcBorders>
            <w:noWrap w:val="0"/>
            <w:vAlign w:val="top"/>
          </w:tcPr>
          <w:p w14:paraId="2F9A1E62">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质保时间</w:t>
            </w:r>
          </w:p>
        </w:tc>
        <w:tc>
          <w:tcPr>
            <w:tcW w:w="700" w:type="pct"/>
            <w:tcBorders>
              <w:top w:val="single" w:color="auto" w:sz="12" w:space="0"/>
              <w:bottom w:val="double" w:color="auto" w:sz="4" w:space="0"/>
              <w:right w:val="single" w:color="auto" w:sz="12" w:space="0"/>
            </w:tcBorders>
            <w:noWrap w:val="0"/>
            <w:vAlign w:val="top"/>
          </w:tcPr>
          <w:p w14:paraId="09E42E8D">
            <w:pPr>
              <w:spacing w:line="440" w:lineRule="exact"/>
              <w:jc w:val="center"/>
              <w:rPr>
                <w:rFonts w:ascii="黑体" w:hAnsi="华文楷体" w:eastAsia="黑体"/>
                <w:color w:val="auto"/>
                <w:kern w:val="0"/>
                <w:sz w:val="24"/>
                <w:highlight w:val="none"/>
              </w:rPr>
            </w:pPr>
            <w:r>
              <w:rPr>
                <w:rFonts w:ascii="黑体" w:hAnsi="华文楷体" w:eastAsia="黑体"/>
                <w:color w:val="auto"/>
                <w:kern w:val="0"/>
                <w:sz w:val="24"/>
                <w:highlight w:val="none"/>
              </w:rPr>
              <w:t>最快供货安装期</w:t>
            </w:r>
          </w:p>
        </w:tc>
      </w:tr>
      <w:tr w14:paraId="6076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top w:val="double" w:color="auto" w:sz="4" w:space="0"/>
              <w:left w:val="single" w:color="auto" w:sz="12" w:space="0"/>
            </w:tcBorders>
            <w:noWrap w:val="0"/>
            <w:vAlign w:val="top"/>
          </w:tcPr>
          <w:p w14:paraId="6904F50E">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1</w:t>
            </w:r>
          </w:p>
        </w:tc>
        <w:tc>
          <w:tcPr>
            <w:tcW w:w="1036" w:type="pct"/>
            <w:tcBorders>
              <w:top w:val="double" w:color="auto" w:sz="4" w:space="0"/>
            </w:tcBorders>
            <w:noWrap w:val="0"/>
            <w:vAlign w:val="center"/>
          </w:tcPr>
          <w:p w14:paraId="2716FB82">
            <w:pPr>
              <w:ind w:left="-63" w:leftChars="-30" w:right="-63" w:rightChars="-30"/>
              <w:jc w:val="center"/>
              <w:rPr>
                <w:rFonts w:hint="eastAsia" w:ascii="宋体" w:hAnsi="宋体" w:cs="宋体"/>
                <w:color w:val="auto"/>
                <w:sz w:val="18"/>
                <w:szCs w:val="18"/>
                <w:highlight w:val="none"/>
              </w:rPr>
            </w:pPr>
          </w:p>
        </w:tc>
        <w:tc>
          <w:tcPr>
            <w:tcW w:w="488" w:type="pct"/>
            <w:tcBorders>
              <w:top w:val="double" w:color="auto" w:sz="4" w:space="0"/>
            </w:tcBorders>
            <w:noWrap w:val="0"/>
            <w:vAlign w:val="top"/>
          </w:tcPr>
          <w:p w14:paraId="68C63CC3">
            <w:pPr>
              <w:spacing w:line="440" w:lineRule="exact"/>
              <w:jc w:val="center"/>
              <w:rPr>
                <w:rFonts w:ascii="方正仿宋_GB2312" w:hAnsi="华文楷体" w:eastAsia="方正仿宋_GB2312"/>
                <w:color w:val="auto"/>
                <w:kern w:val="0"/>
                <w:sz w:val="24"/>
                <w:highlight w:val="none"/>
              </w:rPr>
            </w:pPr>
          </w:p>
        </w:tc>
        <w:tc>
          <w:tcPr>
            <w:tcW w:w="733" w:type="pct"/>
            <w:tcBorders>
              <w:top w:val="double" w:color="auto" w:sz="4" w:space="0"/>
            </w:tcBorders>
            <w:noWrap w:val="0"/>
            <w:vAlign w:val="top"/>
          </w:tcPr>
          <w:p w14:paraId="2062DBEC">
            <w:pPr>
              <w:spacing w:line="440" w:lineRule="exact"/>
              <w:jc w:val="center"/>
              <w:rPr>
                <w:rFonts w:ascii="方正仿宋_GB2312" w:hAnsi="华文楷体" w:eastAsia="方正仿宋_GB2312"/>
                <w:color w:val="auto"/>
                <w:kern w:val="0"/>
                <w:sz w:val="24"/>
                <w:highlight w:val="none"/>
              </w:rPr>
            </w:pPr>
          </w:p>
        </w:tc>
        <w:tc>
          <w:tcPr>
            <w:tcW w:w="292" w:type="pct"/>
            <w:tcBorders>
              <w:top w:val="double" w:color="auto" w:sz="4" w:space="0"/>
            </w:tcBorders>
            <w:noWrap w:val="0"/>
            <w:vAlign w:val="top"/>
          </w:tcPr>
          <w:p w14:paraId="5576A539">
            <w:pPr>
              <w:spacing w:line="440" w:lineRule="exact"/>
              <w:jc w:val="center"/>
              <w:rPr>
                <w:rFonts w:ascii="方正仿宋_GB2312" w:hAnsi="华文楷体" w:eastAsia="方正仿宋_GB2312"/>
                <w:color w:val="auto"/>
                <w:kern w:val="0"/>
                <w:sz w:val="24"/>
                <w:highlight w:val="none"/>
              </w:rPr>
            </w:pPr>
          </w:p>
        </w:tc>
        <w:tc>
          <w:tcPr>
            <w:tcW w:w="440" w:type="pct"/>
            <w:tcBorders>
              <w:top w:val="double" w:color="auto" w:sz="4" w:space="0"/>
            </w:tcBorders>
            <w:noWrap w:val="0"/>
            <w:vAlign w:val="top"/>
          </w:tcPr>
          <w:p w14:paraId="3366DAB2">
            <w:pPr>
              <w:spacing w:line="440" w:lineRule="exact"/>
              <w:jc w:val="center"/>
              <w:rPr>
                <w:rFonts w:ascii="方正仿宋_GB2312" w:hAnsi="华文楷体" w:eastAsia="方正仿宋_GB2312"/>
                <w:color w:val="auto"/>
                <w:kern w:val="0"/>
                <w:sz w:val="24"/>
                <w:highlight w:val="none"/>
              </w:rPr>
            </w:pPr>
          </w:p>
        </w:tc>
        <w:tc>
          <w:tcPr>
            <w:tcW w:w="440" w:type="pct"/>
            <w:tcBorders>
              <w:top w:val="double" w:color="auto" w:sz="4" w:space="0"/>
            </w:tcBorders>
            <w:noWrap w:val="0"/>
            <w:vAlign w:val="top"/>
          </w:tcPr>
          <w:p w14:paraId="45D03D7C">
            <w:pPr>
              <w:spacing w:line="440" w:lineRule="exact"/>
              <w:jc w:val="center"/>
              <w:rPr>
                <w:rFonts w:ascii="方正仿宋_GB2312" w:hAnsi="华文楷体" w:eastAsia="方正仿宋_GB2312"/>
                <w:color w:val="auto"/>
                <w:kern w:val="0"/>
                <w:sz w:val="24"/>
                <w:highlight w:val="none"/>
              </w:rPr>
            </w:pPr>
          </w:p>
        </w:tc>
        <w:tc>
          <w:tcPr>
            <w:tcW w:w="618" w:type="pct"/>
            <w:tcBorders>
              <w:top w:val="double" w:color="auto" w:sz="4" w:space="0"/>
            </w:tcBorders>
            <w:noWrap w:val="0"/>
            <w:vAlign w:val="top"/>
          </w:tcPr>
          <w:p w14:paraId="014679F0">
            <w:pPr>
              <w:spacing w:line="440" w:lineRule="exact"/>
              <w:jc w:val="center"/>
              <w:rPr>
                <w:rFonts w:ascii="方正仿宋_GB2312" w:hAnsi="华文楷体" w:eastAsia="方正仿宋_GB2312"/>
                <w:color w:val="auto"/>
                <w:kern w:val="0"/>
                <w:sz w:val="24"/>
                <w:highlight w:val="none"/>
              </w:rPr>
            </w:pPr>
          </w:p>
        </w:tc>
        <w:tc>
          <w:tcPr>
            <w:tcW w:w="700" w:type="pct"/>
            <w:tcBorders>
              <w:top w:val="double" w:color="auto" w:sz="4" w:space="0"/>
              <w:right w:val="single" w:color="auto" w:sz="12" w:space="0"/>
            </w:tcBorders>
            <w:noWrap w:val="0"/>
            <w:vAlign w:val="top"/>
          </w:tcPr>
          <w:p w14:paraId="605E89B2">
            <w:pPr>
              <w:spacing w:line="440" w:lineRule="exact"/>
              <w:jc w:val="center"/>
              <w:rPr>
                <w:rFonts w:ascii="方正仿宋_GB2312" w:hAnsi="华文楷体" w:eastAsia="方正仿宋_GB2312"/>
                <w:color w:val="auto"/>
                <w:kern w:val="0"/>
                <w:sz w:val="24"/>
                <w:highlight w:val="none"/>
              </w:rPr>
            </w:pPr>
          </w:p>
        </w:tc>
      </w:tr>
      <w:tr w14:paraId="3238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tcBorders>
            <w:noWrap w:val="0"/>
            <w:vAlign w:val="top"/>
          </w:tcPr>
          <w:p w14:paraId="29977C73">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2</w:t>
            </w:r>
          </w:p>
        </w:tc>
        <w:tc>
          <w:tcPr>
            <w:tcW w:w="1036" w:type="pct"/>
            <w:noWrap w:val="0"/>
            <w:vAlign w:val="center"/>
          </w:tcPr>
          <w:p w14:paraId="2866E2D0">
            <w:pPr>
              <w:ind w:left="-63" w:leftChars="-30" w:right="-63" w:rightChars="-30"/>
              <w:jc w:val="center"/>
              <w:rPr>
                <w:rFonts w:hint="eastAsia" w:ascii="宋体" w:hAnsi="宋体" w:cs="宋体"/>
                <w:color w:val="auto"/>
                <w:sz w:val="18"/>
                <w:szCs w:val="18"/>
                <w:highlight w:val="none"/>
              </w:rPr>
            </w:pPr>
          </w:p>
        </w:tc>
        <w:tc>
          <w:tcPr>
            <w:tcW w:w="488" w:type="pct"/>
            <w:noWrap w:val="0"/>
            <w:vAlign w:val="top"/>
          </w:tcPr>
          <w:p w14:paraId="0669C2FF">
            <w:pPr>
              <w:spacing w:line="440" w:lineRule="exact"/>
              <w:jc w:val="center"/>
              <w:rPr>
                <w:rFonts w:ascii="方正仿宋_GB2312" w:hAnsi="华文楷体" w:eastAsia="方正仿宋_GB2312"/>
                <w:color w:val="auto"/>
                <w:kern w:val="0"/>
                <w:sz w:val="24"/>
                <w:highlight w:val="none"/>
              </w:rPr>
            </w:pPr>
          </w:p>
        </w:tc>
        <w:tc>
          <w:tcPr>
            <w:tcW w:w="733" w:type="pct"/>
            <w:noWrap w:val="0"/>
            <w:vAlign w:val="top"/>
          </w:tcPr>
          <w:p w14:paraId="4D504156">
            <w:pPr>
              <w:spacing w:line="440" w:lineRule="exact"/>
              <w:jc w:val="center"/>
              <w:rPr>
                <w:rFonts w:ascii="方正仿宋_GB2312" w:hAnsi="华文楷体" w:eastAsia="方正仿宋_GB2312"/>
                <w:color w:val="auto"/>
                <w:kern w:val="0"/>
                <w:sz w:val="24"/>
                <w:highlight w:val="none"/>
              </w:rPr>
            </w:pPr>
          </w:p>
        </w:tc>
        <w:tc>
          <w:tcPr>
            <w:tcW w:w="292" w:type="pct"/>
            <w:noWrap w:val="0"/>
            <w:vAlign w:val="top"/>
          </w:tcPr>
          <w:p w14:paraId="74F4D8E1">
            <w:pPr>
              <w:spacing w:line="440" w:lineRule="exact"/>
              <w:jc w:val="center"/>
              <w:rPr>
                <w:rFonts w:ascii="方正仿宋_GB2312" w:hAnsi="华文楷体" w:eastAsia="方正仿宋_GB2312"/>
                <w:color w:val="auto"/>
                <w:kern w:val="0"/>
                <w:sz w:val="24"/>
                <w:highlight w:val="none"/>
              </w:rPr>
            </w:pPr>
          </w:p>
        </w:tc>
        <w:tc>
          <w:tcPr>
            <w:tcW w:w="440" w:type="pct"/>
            <w:noWrap w:val="0"/>
            <w:vAlign w:val="top"/>
          </w:tcPr>
          <w:p w14:paraId="27571361">
            <w:pPr>
              <w:spacing w:line="440" w:lineRule="exact"/>
              <w:jc w:val="center"/>
              <w:rPr>
                <w:rFonts w:ascii="方正仿宋_GB2312" w:hAnsi="华文楷体" w:eastAsia="方正仿宋_GB2312"/>
                <w:color w:val="auto"/>
                <w:kern w:val="0"/>
                <w:sz w:val="24"/>
                <w:highlight w:val="none"/>
              </w:rPr>
            </w:pPr>
          </w:p>
        </w:tc>
        <w:tc>
          <w:tcPr>
            <w:tcW w:w="440" w:type="pct"/>
            <w:noWrap w:val="0"/>
            <w:vAlign w:val="top"/>
          </w:tcPr>
          <w:p w14:paraId="45E1288F">
            <w:pPr>
              <w:spacing w:line="440" w:lineRule="exact"/>
              <w:jc w:val="center"/>
              <w:rPr>
                <w:rFonts w:ascii="方正仿宋_GB2312" w:hAnsi="华文楷体" w:eastAsia="方正仿宋_GB2312"/>
                <w:color w:val="auto"/>
                <w:kern w:val="0"/>
                <w:sz w:val="24"/>
                <w:highlight w:val="none"/>
              </w:rPr>
            </w:pPr>
          </w:p>
        </w:tc>
        <w:tc>
          <w:tcPr>
            <w:tcW w:w="618" w:type="pct"/>
            <w:noWrap w:val="0"/>
            <w:vAlign w:val="top"/>
          </w:tcPr>
          <w:p w14:paraId="5DDB1CC9">
            <w:pPr>
              <w:spacing w:line="440" w:lineRule="exact"/>
              <w:jc w:val="center"/>
              <w:rPr>
                <w:rFonts w:ascii="方正仿宋_GB2312" w:hAnsi="华文楷体" w:eastAsia="方正仿宋_GB2312"/>
                <w:color w:val="auto"/>
                <w:kern w:val="0"/>
                <w:sz w:val="24"/>
                <w:highlight w:val="none"/>
              </w:rPr>
            </w:pPr>
          </w:p>
        </w:tc>
        <w:tc>
          <w:tcPr>
            <w:tcW w:w="700" w:type="pct"/>
            <w:tcBorders>
              <w:right w:val="single" w:color="auto" w:sz="12" w:space="0"/>
            </w:tcBorders>
            <w:noWrap w:val="0"/>
            <w:vAlign w:val="top"/>
          </w:tcPr>
          <w:p w14:paraId="6BB70514">
            <w:pPr>
              <w:spacing w:line="440" w:lineRule="exact"/>
              <w:jc w:val="center"/>
              <w:rPr>
                <w:rFonts w:ascii="方正仿宋_GB2312" w:hAnsi="华文楷体" w:eastAsia="方正仿宋_GB2312"/>
                <w:color w:val="auto"/>
                <w:kern w:val="0"/>
                <w:sz w:val="24"/>
                <w:highlight w:val="none"/>
              </w:rPr>
            </w:pPr>
          </w:p>
        </w:tc>
      </w:tr>
      <w:tr w14:paraId="6692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5E49ACAD">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3</w:t>
            </w:r>
          </w:p>
        </w:tc>
        <w:tc>
          <w:tcPr>
            <w:tcW w:w="1036" w:type="pct"/>
            <w:tcBorders>
              <w:bottom w:val="single" w:color="auto" w:sz="4" w:space="0"/>
            </w:tcBorders>
            <w:noWrap w:val="0"/>
            <w:vAlign w:val="center"/>
          </w:tcPr>
          <w:p w14:paraId="2D958EE1">
            <w:pPr>
              <w:ind w:left="-42" w:leftChars="-20" w:right="-42" w:rightChars="-20"/>
              <w:jc w:val="center"/>
              <w:rPr>
                <w:rFonts w:hint="eastAsia" w:ascii="宋体" w:hAnsi="宋体" w:cs="宋体"/>
                <w:color w:val="auto"/>
                <w:sz w:val="18"/>
                <w:szCs w:val="18"/>
                <w:highlight w:val="none"/>
              </w:rPr>
            </w:pPr>
          </w:p>
        </w:tc>
        <w:tc>
          <w:tcPr>
            <w:tcW w:w="488" w:type="pct"/>
            <w:tcBorders>
              <w:bottom w:val="single" w:color="auto" w:sz="4" w:space="0"/>
            </w:tcBorders>
            <w:noWrap w:val="0"/>
            <w:vAlign w:val="top"/>
          </w:tcPr>
          <w:p w14:paraId="6B0A81D6">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58841A2F">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26802B6E">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2ECBBA3C">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747E5F99">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5140F715">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7F3F6EF0">
            <w:pPr>
              <w:spacing w:line="440" w:lineRule="exact"/>
              <w:jc w:val="center"/>
              <w:rPr>
                <w:rFonts w:ascii="方正仿宋_GB2312" w:hAnsi="华文楷体" w:eastAsia="方正仿宋_GB2312"/>
                <w:color w:val="auto"/>
                <w:kern w:val="0"/>
                <w:sz w:val="24"/>
                <w:highlight w:val="none"/>
              </w:rPr>
            </w:pPr>
          </w:p>
        </w:tc>
      </w:tr>
      <w:tr w14:paraId="5A9D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22131CE2">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4</w:t>
            </w:r>
          </w:p>
        </w:tc>
        <w:tc>
          <w:tcPr>
            <w:tcW w:w="1036" w:type="pct"/>
            <w:tcBorders>
              <w:bottom w:val="single" w:color="auto" w:sz="4" w:space="0"/>
            </w:tcBorders>
            <w:noWrap w:val="0"/>
            <w:vAlign w:val="top"/>
          </w:tcPr>
          <w:p w14:paraId="6938BE08">
            <w:pPr>
              <w:spacing w:line="440" w:lineRule="exact"/>
              <w:jc w:val="center"/>
              <w:rPr>
                <w:rFonts w:ascii="方正仿宋_GB2312" w:hAnsi="华文楷体" w:eastAsia="方正仿宋_GB2312"/>
                <w:color w:val="auto"/>
                <w:kern w:val="0"/>
                <w:sz w:val="24"/>
                <w:highlight w:val="none"/>
              </w:rPr>
            </w:pPr>
          </w:p>
        </w:tc>
        <w:tc>
          <w:tcPr>
            <w:tcW w:w="488" w:type="pct"/>
            <w:tcBorders>
              <w:bottom w:val="single" w:color="auto" w:sz="4" w:space="0"/>
            </w:tcBorders>
            <w:noWrap w:val="0"/>
            <w:vAlign w:val="top"/>
          </w:tcPr>
          <w:p w14:paraId="4CD1A541">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337FC115">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3C03B4F1">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47DA722A">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76A33D3C">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751F0F09">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0B4D1DA3">
            <w:pPr>
              <w:spacing w:line="440" w:lineRule="exact"/>
              <w:jc w:val="center"/>
              <w:rPr>
                <w:rFonts w:ascii="方正仿宋_GB2312" w:hAnsi="华文楷体" w:eastAsia="方正仿宋_GB2312"/>
                <w:color w:val="auto"/>
                <w:kern w:val="0"/>
                <w:sz w:val="24"/>
                <w:highlight w:val="none"/>
              </w:rPr>
            </w:pPr>
          </w:p>
        </w:tc>
      </w:tr>
      <w:tr w14:paraId="72A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6A9F333C">
            <w:pPr>
              <w:spacing w:line="440" w:lineRule="exact"/>
              <w:jc w:val="center"/>
              <w:rPr>
                <w:rFonts w:hint="eastAsia"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5</w:t>
            </w:r>
          </w:p>
        </w:tc>
        <w:tc>
          <w:tcPr>
            <w:tcW w:w="1036" w:type="pct"/>
            <w:tcBorders>
              <w:bottom w:val="single" w:color="auto" w:sz="4" w:space="0"/>
            </w:tcBorders>
            <w:noWrap w:val="0"/>
            <w:vAlign w:val="top"/>
          </w:tcPr>
          <w:p w14:paraId="5ED63A4B">
            <w:pPr>
              <w:spacing w:line="440" w:lineRule="exact"/>
              <w:jc w:val="center"/>
              <w:rPr>
                <w:rFonts w:ascii="方正仿宋_GB2312" w:hAnsi="华文楷体" w:eastAsia="方正仿宋_GB2312"/>
                <w:color w:val="auto"/>
                <w:kern w:val="0"/>
                <w:sz w:val="24"/>
                <w:highlight w:val="none"/>
              </w:rPr>
            </w:pPr>
          </w:p>
        </w:tc>
        <w:tc>
          <w:tcPr>
            <w:tcW w:w="488" w:type="pct"/>
            <w:tcBorders>
              <w:bottom w:val="single" w:color="auto" w:sz="4" w:space="0"/>
            </w:tcBorders>
            <w:noWrap w:val="0"/>
            <w:vAlign w:val="top"/>
          </w:tcPr>
          <w:p w14:paraId="49A78B8A">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2EEE3065">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270F8717">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2A4C7C00">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6028EA0C">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7530FD9C">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1CF8882E">
            <w:pPr>
              <w:spacing w:line="440" w:lineRule="exact"/>
              <w:jc w:val="center"/>
              <w:rPr>
                <w:rFonts w:ascii="方正仿宋_GB2312" w:hAnsi="华文楷体" w:eastAsia="方正仿宋_GB2312"/>
                <w:color w:val="auto"/>
                <w:kern w:val="0"/>
                <w:sz w:val="24"/>
                <w:highlight w:val="none"/>
              </w:rPr>
            </w:pPr>
          </w:p>
        </w:tc>
      </w:tr>
      <w:tr w14:paraId="512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gridSpan w:val="4"/>
            <w:tcBorders>
              <w:top w:val="double" w:color="auto" w:sz="4" w:space="0"/>
              <w:left w:val="single" w:color="auto" w:sz="12" w:space="0"/>
              <w:bottom w:val="single" w:color="auto" w:sz="12" w:space="0"/>
            </w:tcBorders>
            <w:noWrap w:val="0"/>
            <w:vAlign w:val="top"/>
          </w:tcPr>
          <w:p w14:paraId="57ECA68A">
            <w:pPr>
              <w:spacing w:line="440" w:lineRule="exact"/>
              <w:jc w:val="center"/>
              <w:rPr>
                <w:rFonts w:hint="eastAsia" w:ascii="黑体" w:hAnsi="华文楷体" w:eastAsia="黑体" w:cs="Times New Roman"/>
                <w:color w:val="auto"/>
                <w:kern w:val="0"/>
                <w:sz w:val="24"/>
                <w:highlight w:val="none"/>
              </w:rPr>
            </w:pPr>
            <w:r>
              <w:rPr>
                <w:rFonts w:hint="eastAsia" w:ascii="黑体" w:hAnsi="华文楷体" w:eastAsia="黑体" w:cs="Times New Roman"/>
                <w:color w:val="auto"/>
                <w:kern w:val="0"/>
                <w:sz w:val="24"/>
                <w:highlight w:val="none"/>
              </w:rPr>
              <w:t>合计金额（人民币）</w:t>
            </w:r>
          </w:p>
        </w:tc>
        <w:tc>
          <w:tcPr>
            <w:tcW w:w="2492" w:type="pct"/>
            <w:gridSpan w:val="5"/>
            <w:tcBorders>
              <w:top w:val="double" w:color="auto" w:sz="4" w:space="0"/>
              <w:bottom w:val="single" w:color="auto" w:sz="12" w:space="0"/>
              <w:right w:val="single" w:color="auto" w:sz="12" w:space="0"/>
            </w:tcBorders>
            <w:noWrap w:val="0"/>
            <w:vAlign w:val="top"/>
          </w:tcPr>
          <w:p w14:paraId="5C538379">
            <w:pPr>
              <w:spacing w:line="440" w:lineRule="exact"/>
              <w:jc w:val="center"/>
              <w:rPr>
                <w:rFonts w:hint="eastAsia" w:ascii="黑体" w:hAnsi="华文楷体" w:eastAsia="黑体" w:cs="Times New Roman"/>
                <w:color w:val="auto"/>
                <w:kern w:val="0"/>
                <w:sz w:val="24"/>
                <w:highlight w:val="none"/>
              </w:rPr>
            </w:pPr>
            <w:r>
              <w:rPr>
                <w:rFonts w:hint="eastAsia" w:ascii="黑体" w:hAnsi="华文楷体" w:eastAsia="黑体" w:cs="Times New Roman"/>
                <w:color w:val="auto"/>
                <w:kern w:val="0"/>
                <w:sz w:val="24"/>
                <w:highlight w:val="none"/>
              </w:rPr>
              <w:t xml:space="preserve">￥           （大写）：                               </w:t>
            </w:r>
          </w:p>
        </w:tc>
      </w:tr>
    </w:tbl>
    <w:p w14:paraId="655247D5">
      <w:pPr>
        <w:spacing w:line="440" w:lineRule="exact"/>
        <w:rPr>
          <w:rFonts w:hint="eastAsia" w:ascii="黑体" w:hAnsi="华文楷体" w:eastAsia="黑体"/>
          <w:b/>
          <w:color w:val="auto"/>
          <w:sz w:val="24"/>
          <w:highlight w:val="none"/>
        </w:rPr>
      </w:pPr>
    </w:p>
    <w:p w14:paraId="2181F384">
      <w:pPr>
        <w:spacing w:line="440" w:lineRule="exact"/>
        <w:rPr>
          <w:rFonts w:hint="eastAsia" w:ascii="黑体" w:hAnsi="华文楷体" w:eastAsia="黑体"/>
          <w:b/>
          <w:color w:val="auto"/>
          <w:sz w:val="24"/>
          <w:highlight w:val="none"/>
        </w:rPr>
      </w:pPr>
    </w:p>
    <w:p w14:paraId="5E23D6EF">
      <w:pPr>
        <w:pStyle w:val="13"/>
        <w:ind w:left="0" w:leftChars="0" w:firstLine="0" w:firstLineChars="0"/>
        <w:rPr>
          <w:rFonts w:hint="eastAsia"/>
          <w:color w:val="auto"/>
          <w:highlight w:val="none"/>
        </w:rPr>
      </w:pPr>
    </w:p>
    <w:p w14:paraId="296AA70E">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24F3C11F">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6C546935">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60E75B8">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4A21681F">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4403A77C">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作出如下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4A13A388">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476D3484">
      <w:pPr>
        <w:pStyle w:val="7"/>
        <w:rPr>
          <w:rFonts w:hint="default" w:ascii="方正兰亭黑简体" w:hAnsi="方正兰亭黑简体" w:eastAsia="方正兰亭黑简体" w:cs="方正兰亭黑简体"/>
          <w:color w:val="auto"/>
          <w:sz w:val="22"/>
          <w:szCs w:val="28"/>
          <w:highlight w:val="none"/>
          <w:lang w:val="en-US" w:eastAsia="zh-CN"/>
        </w:rPr>
      </w:pPr>
    </w:p>
    <w:p w14:paraId="3F5F1DB4">
      <w:pPr>
        <w:pStyle w:val="7"/>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6"/>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lang w:val="en-US" w:eastAsia="zh-CN"/>
        </w:rPr>
        <w:t>产品资料（产品参数及性能）</w:t>
      </w:r>
    </w:p>
    <w:p w14:paraId="0492334C">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sz w:val="22"/>
          <w:szCs w:val="28"/>
          <w:highlight w:val="none"/>
          <w:lang w:val="en-US" w:eastAsia="zh-CN"/>
        </w:rPr>
        <w:t>实施计划</w:t>
      </w:r>
    </w:p>
    <w:p w14:paraId="5856E4F7">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sz w:val="22"/>
          <w:szCs w:val="28"/>
          <w:highlight w:val="none"/>
          <w:lang w:val="en-US" w:eastAsia="zh-CN"/>
        </w:rPr>
        <w:t>售后方案</w:t>
      </w:r>
    </w:p>
    <w:p w14:paraId="0E222C46">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5、</w:t>
      </w:r>
      <w:r>
        <w:rPr>
          <w:rFonts w:hint="eastAsia" w:ascii="方正兰亭黑简体" w:hAnsi="方正兰亭黑简体" w:eastAsia="方正兰亭黑简体" w:cs="方正兰亭黑简体"/>
          <w:color w:val="auto"/>
          <w:sz w:val="22"/>
          <w:szCs w:val="28"/>
          <w:highlight w:val="none"/>
          <w:lang w:val="en-US" w:eastAsia="zh-CN"/>
        </w:rPr>
        <w:t>业绩案例</w:t>
      </w:r>
    </w:p>
    <w:p w14:paraId="05EB73A9">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DDA9E9-55E4-45DE-A6D4-0A7313578E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imes New Roman (标题 CS)">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C9D6A595-B38D-4F1A-96E0-7B8A264683DC}"/>
  </w:font>
  <w:font w:name="华文楷体">
    <w:panose1 w:val="02010600040101010101"/>
    <w:charset w:val="86"/>
    <w:family w:val="auto"/>
    <w:pitch w:val="default"/>
    <w:sig w:usb0="00000287" w:usb1="080F0000" w:usb2="00000000" w:usb3="00000000" w:csb0="0004009F" w:csb1="DFD70000"/>
    <w:embedRegular r:id="rId3" w:fontKey="{C7289084-DC0A-477F-8504-7E4F9C46CEB2}"/>
  </w:font>
  <w:font w:name="方正仿宋_GB2312">
    <w:panose1 w:val="02000000000000000000"/>
    <w:charset w:val="86"/>
    <w:family w:val="auto"/>
    <w:pitch w:val="default"/>
    <w:sig w:usb0="A00002BF" w:usb1="184F6CFA" w:usb2="00000012" w:usb3="00000000" w:csb0="00040001" w:csb1="00000000"/>
    <w:embedRegular r:id="rId4" w:fontKey="{B38DE55C-247C-4045-B279-CB4F63AD37DE}"/>
  </w:font>
  <w:font w:name="仿宋">
    <w:panose1 w:val="02010609060101010101"/>
    <w:charset w:val="86"/>
    <w:family w:val="modern"/>
    <w:pitch w:val="default"/>
    <w:sig w:usb0="800002BF" w:usb1="38CF7CFA" w:usb2="00000016" w:usb3="00000000" w:csb0="00040001" w:csb1="00000000"/>
    <w:embedRegular r:id="rId5" w:fontKey="{C178B174-6495-48C6-80EE-3FD0DC15A7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22401"/>
    <w:multiLevelType w:val="multilevel"/>
    <w:tmpl w:val="17722401"/>
    <w:lvl w:ilvl="0" w:tentative="0">
      <w:start w:val="1"/>
      <w:numFmt w:val="japaneseCounting"/>
      <w:pStyle w:val="2"/>
      <w:lvlText w:val="%1、"/>
      <w:lvlJc w:val="left"/>
      <w:pPr>
        <w:ind w:left="464" w:hanging="720"/>
      </w:pPr>
      <w:rPr>
        <w:rFonts w:hint="default"/>
      </w:rPr>
    </w:lvl>
    <w:lvl w:ilvl="1" w:tentative="0">
      <w:start w:val="1"/>
      <w:numFmt w:val="decimalEnclosedCircle"/>
      <w:lvlText w:val="%2"/>
      <w:lvlJc w:val="left"/>
      <w:pPr>
        <w:ind w:left="544" w:hanging="360"/>
      </w:pPr>
      <w:rPr>
        <w:rFonts w:hint="default"/>
      </w:rPr>
    </w:lvl>
    <w:lvl w:ilvl="2" w:tentative="0">
      <w:start w:val="1"/>
      <w:numFmt w:val="lowerRoman"/>
      <w:lvlText w:val="%3."/>
      <w:lvlJc w:val="right"/>
      <w:pPr>
        <w:ind w:left="1064" w:hanging="440"/>
      </w:pPr>
    </w:lvl>
    <w:lvl w:ilvl="3" w:tentative="0">
      <w:start w:val="1"/>
      <w:numFmt w:val="decimal"/>
      <w:lvlText w:val="%4."/>
      <w:lvlJc w:val="left"/>
      <w:pPr>
        <w:ind w:left="1504" w:hanging="440"/>
      </w:pPr>
    </w:lvl>
    <w:lvl w:ilvl="4" w:tentative="0">
      <w:start w:val="1"/>
      <w:numFmt w:val="lowerLetter"/>
      <w:lvlText w:val="%5)"/>
      <w:lvlJc w:val="left"/>
      <w:pPr>
        <w:ind w:left="1944" w:hanging="440"/>
      </w:pPr>
    </w:lvl>
    <w:lvl w:ilvl="5" w:tentative="0">
      <w:start w:val="1"/>
      <w:numFmt w:val="lowerRoman"/>
      <w:lvlText w:val="%6."/>
      <w:lvlJc w:val="right"/>
      <w:pPr>
        <w:ind w:left="2384" w:hanging="440"/>
      </w:pPr>
    </w:lvl>
    <w:lvl w:ilvl="6" w:tentative="0">
      <w:start w:val="1"/>
      <w:numFmt w:val="decimal"/>
      <w:lvlText w:val="%7."/>
      <w:lvlJc w:val="left"/>
      <w:pPr>
        <w:ind w:left="2824" w:hanging="440"/>
      </w:pPr>
    </w:lvl>
    <w:lvl w:ilvl="7" w:tentative="0">
      <w:start w:val="1"/>
      <w:numFmt w:val="lowerLetter"/>
      <w:lvlText w:val="%8)"/>
      <w:lvlJc w:val="left"/>
      <w:pPr>
        <w:ind w:left="3264" w:hanging="440"/>
      </w:pPr>
    </w:lvl>
    <w:lvl w:ilvl="8" w:tentative="0">
      <w:start w:val="1"/>
      <w:numFmt w:val="lowerRoman"/>
      <w:lvlText w:val="%9."/>
      <w:lvlJc w:val="right"/>
      <w:pPr>
        <w:ind w:left="3704" w:hanging="440"/>
      </w:pPr>
    </w:lvl>
  </w:abstractNum>
  <w:abstractNum w:abstractNumId="1">
    <w:nsid w:val="6EE46474"/>
    <w:multiLevelType w:val="multilevel"/>
    <w:tmpl w:val="6EE46474"/>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875321F"/>
    <w:rsid w:val="10B83E19"/>
    <w:rsid w:val="146C6B60"/>
    <w:rsid w:val="157E6317"/>
    <w:rsid w:val="24050543"/>
    <w:rsid w:val="2FB07FD7"/>
    <w:rsid w:val="3CFB52B6"/>
    <w:rsid w:val="3D6469F5"/>
    <w:rsid w:val="3DBA1AA2"/>
    <w:rsid w:val="3E5C4869"/>
    <w:rsid w:val="3FCC680A"/>
    <w:rsid w:val="41007DAA"/>
    <w:rsid w:val="480A63EB"/>
    <w:rsid w:val="4AFC4A60"/>
    <w:rsid w:val="4EFD134C"/>
    <w:rsid w:val="5AEA704B"/>
    <w:rsid w:val="5E8720EC"/>
    <w:rsid w:val="5EE9209B"/>
    <w:rsid w:val="62DD78C6"/>
    <w:rsid w:val="6C3138A4"/>
    <w:rsid w:val="7C2C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numPr>
        <w:ilvl w:val="0"/>
        <w:numId w:val="1"/>
      </w:numPr>
      <w:spacing w:before="120" w:after="80"/>
      <w:ind w:firstLineChars="0"/>
      <w:outlineLvl w:val="0"/>
    </w:pPr>
    <w:rPr>
      <w:rFonts w:cs="Times New Roman (标题 CS)" w:asciiTheme="majorHAnsi" w:hAnsiTheme="majorHAnsi"/>
      <w:b/>
      <w:bCs/>
      <w:sz w:val="28"/>
      <w:szCs w:val="48"/>
    </w:rPr>
  </w:style>
  <w:style w:type="paragraph" w:styleId="3">
    <w:name w:val="heading 2"/>
    <w:basedOn w:val="1"/>
    <w:next w:val="1"/>
    <w:unhideWhenUsed/>
    <w:qFormat/>
    <w:uiPriority w:val="9"/>
    <w:pPr>
      <w:numPr>
        <w:ilvl w:val="1"/>
        <w:numId w:val="2"/>
      </w:numPr>
      <w:spacing w:before="80" w:after="80"/>
      <w:ind w:firstLineChars="0"/>
      <w:outlineLvl w:val="1"/>
    </w:pPr>
    <w:rPr>
      <w:rFonts w:cs="Times New Roman (标题 CS)" w:asciiTheme="majorHAnsi" w:hAnsiTheme="majorHAnsi"/>
      <w:b/>
      <w:bCs/>
      <w:color w:val="000000" w:themeColor="text1"/>
      <w:sz w:val="24"/>
      <w:szCs w:val="40"/>
      <w14:textFill>
        <w14:solidFill>
          <w14:schemeClr w14:val="tx1"/>
        </w14:solidFill>
      </w14:textFill>
    </w:rPr>
  </w:style>
  <w:style w:type="paragraph" w:styleId="4">
    <w:name w:val="heading 3"/>
    <w:basedOn w:val="1"/>
    <w:next w:val="1"/>
    <w:unhideWhenUsed/>
    <w:qFormat/>
    <w:uiPriority w:val="9"/>
    <w:pPr>
      <w:spacing w:before="160" w:after="80"/>
      <w:ind w:left="737" w:firstLine="0" w:firstLineChars="0"/>
      <w:outlineLvl w:val="2"/>
    </w:pPr>
    <w:rPr>
      <w:rFonts w:cs="Times New Roman (标题 CS)" w:asciiTheme="majorHAnsi" w:hAnsiTheme="majorHAnsi"/>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ind w:left="420" w:leftChars="2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rPr>
      <w:rFonts w:ascii="Calibri" w:hAnsi="Calibri" w:eastAsia="宋体" w:cs="Times New Roman"/>
    </w:rPr>
  </w:style>
  <w:style w:type="paragraph" w:styleId="11">
    <w:name w:val="Body Text Indent 3"/>
    <w:basedOn w:val="1"/>
    <w:qFormat/>
    <w:uiPriority w:val="0"/>
    <w:pPr>
      <w:ind w:firstLine="600" w:firstLineChars="200"/>
    </w:pPr>
    <w:rPr>
      <w:color w:val="FF0000"/>
      <w:sz w:val="3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2922</Words>
  <Characters>3142</Characters>
  <Lines>0</Lines>
  <Paragraphs>0</Paragraphs>
  <TotalTime>2</TotalTime>
  <ScaleCrop>false</ScaleCrop>
  <LinksUpToDate>false</LinksUpToDate>
  <CharactersWithSpaces>3503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2025-05-15T16:05:15Z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eyJoZGlkIjoiZGVmM2YzZmUwZjIwOWQ5MzUzZGEwZTI1OTc3MjFhOGYiLCJ1c2VySWQiOiIyOTgyOTgyOTEifQ==</vt:lpwstr>
  </property>
  <property fmtid="{D5CDD505-2E9C-101B-9397-08002B2CF9AE}" pid="4" name="ICV">
    <vt:lpwstr>2BFD31D5F3FB4B709DBC969892577809_12</vt:lpwstr>
  </property>
</Properties>
</file>