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POE交换机及电源模块采购技术需求</w:t>
      </w:r>
    </w:p>
    <w:p>
      <w:pPr>
        <w:spacing w:line="360" w:lineRule="auto"/>
        <w:ind w:firstLine="420" w:firstLineChars="0"/>
        <w:jc w:val="center"/>
        <w:rPr>
          <w:rFonts w:hint="eastAsia"/>
          <w:sz w:val="28"/>
          <w:szCs w:val="36"/>
          <w:lang w:val="en-US" w:eastAsia="zh-CN"/>
        </w:rPr>
      </w:pPr>
    </w:p>
    <w:p>
      <w:pPr>
        <w:spacing w:line="360" w:lineRule="auto"/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拟采购8台交换机和8个交换机电源模块，技术指标如下：</w:t>
      </w:r>
    </w:p>
    <w:p>
      <w:pPr>
        <w:pStyle w:val="2"/>
        <w:spacing w:line="360" w:lineRule="auto"/>
        <w:ind w:left="0" w:leftChars="0" w:firstLine="0" w:firstLineChars="0"/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  <w:t>1、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>交换机：</w:t>
      </w:r>
    </w:p>
    <w:tbl>
      <w:tblPr>
        <w:tblStyle w:val="3"/>
        <w:tblW w:w="91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788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shd w:val="clear" w:color="auto" w:fill="auto"/>
            <w:vAlign w:val="center"/>
          </w:tcPr>
          <w:p>
            <w:pPr>
              <w:spacing w:line="360" w:lineRule="auto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指标项</w:t>
            </w: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b/>
                <w:bCs/>
                <w:color w:val="000000"/>
                <w:sz w:val="24"/>
                <w:szCs w:val="32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具体技术规格参数要求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硬件指标</w:t>
            </w: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eastAsiaTheme="minorEastAsia"/>
                <w:b w:val="0"/>
                <w:bCs w:val="0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交换容量≥672Gbps,包转发率≥156Mpps</w:t>
            </w: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eastAsiaTheme="minorEastAsia"/>
                <w:b w:val="0"/>
                <w:bCs w:val="0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固化10/100/1000M以太网端口≥24，10G/1G SFP+光接口≥4个</w:t>
            </w: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eastAsia" w:eastAsiaTheme="minorEastAsia"/>
                <w:b w:val="0"/>
                <w:bCs w:val="0"/>
                <w:color w:val="000000"/>
                <w:sz w:val="24"/>
                <w:szCs w:val="32"/>
                <w:lang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支持POE和POE+远程供电，POE+同时可供电端口数≥24个</w:t>
            </w: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b w:val="0"/>
                <w:bCs w:val="0"/>
                <w:color w:val="00000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产品端口浪涌抗扰度≥10KV，即具备10KV的防雷能力；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rFonts w:hint="default" w:eastAsiaTheme="minorEastAsia"/>
                <w:b w:val="0"/>
                <w:bCs w:val="0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  <w:lang w:val="en-US" w:eastAsia="zh-CN"/>
              </w:rPr>
              <w:t>配备1000瓦电源2个；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软件功能</w:t>
            </w: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b w:val="0"/>
                <w:bCs w:val="0"/>
                <w:color w:val="00000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支持RIP/RIPng、OSPFv2/OSPFv3等三层路由协议；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b w:val="0"/>
                <w:bCs w:val="0"/>
                <w:color w:val="00000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支持SAVI功能，可防止地址解析欺骗；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b w:val="0"/>
                <w:bCs w:val="0"/>
                <w:color w:val="000000"/>
                <w:sz w:val="24"/>
                <w:szCs w:val="32"/>
              </w:rPr>
            </w:pPr>
            <w:r>
              <w:rPr>
                <w:rFonts w:hint="eastAsia"/>
                <w:b w:val="0"/>
                <w:bCs w:val="0"/>
                <w:color w:val="000000"/>
                <w:sz w:val="24"/>
                <w:szCs w:val="32"/>
              </w:rPr>
              <w:t>支持快速以太网链路检测协议，可快速检测链路的通断和光纤链路的单向性，并支持端口下的环路检测功能。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支持特有的CPU保护策略，对发往CPU的数据流，进行流区分和优先级队列分级处理，并根据需要实施带宽限速，充分保护CPU不被非法流量占用、恶意攻击和资源消耗。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支持虚拟化功能，可将多台物理设备虚拟化为一台逻辑设备统一管理，并且链路故障的收敛时间≤50ms；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tabs>
                <w:tab w:val="left" w:pos="1875"/>
              </w:tabs>
              <w:spacing w:line="360" w:lineRule="auto"/>
              <w:rPr>
                <w:rFonts w:hint="default" w:eastAsiaTheme="minorEastAsia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32"/>
                <w:lang w:val="en-US" w:eastAsia="zh-CN"/>
              </w:rPr>
              <w:t>支持被我校SDN控制器锐捷INC纳管；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00" w:type="dxa"/>
            <w:vMerge w:val="restart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产品资质</w:t>
            </w: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  <w:lang w:val="en-US" w:eastAsia="zh-CN"/>
              </w:rPr>
              <w:t>具备</w:t>
            </w:r>
            <w:r>
              <w:rPr>
                <w:rFonts w:hint="eastAsia"/>
                <w:color w:val="000000"/>
                <w:sz w:val="24"/>
                <w:szCs w:val="32"/>
              </w:rPr>
              <w:t>工信部三层交换机进网许可证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00" w:type="dxa"/>
            <w:vMerge w:val="continue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</w:p>
        </w:tc>
        <w:tc>
          <w:tcPr>
            <w:tcW w:w="7880" w:type="dxa"/>
            <w:shd w:val="clear" w:color="auto" w:fill="auto"/>
            <w:vAlign w:val="center"/>
          </w:tcPr>
          <w:p>
            <w:pPr>
              <w:spacing w:line="360" w:lineRule="auto"/>
              <w:rPr>
                <w:color w:val="000000"/>
                <w:sz w:val="24"/>
                <w:szCs w:val="32"/>
              </w:rPr>
            </w:pPr>
            <w:r>
              <w:rPr>
                <w:rFonts w:hint="eastAsia"/>
                <w:color w:val="000000"/>
                <w:sz w:val="24"/>
                <w:szCs w:val="32"/>
              </w:rPr>
              <w:t>为保证IPv6的可部署性和应用性，所投交换机需具备IPv6 Ready Phase2认证证书，要求投标产品型号与获证产品型号一致。</w:t>
            </w:r>
          </w:p>
        </w:tc>
      </w:tr>
    </w:tbl>
    <w:p>
      <w:pPr>
        <w:pStyle w:val="2"/>
        <w:spacing w:line="360" w:lineRule="auto"/>
        <w:ind w:left="0" w:leftChars="0" w:firstLine="0" w:firstLineChars="0"/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</w:pPr>
    </w:p>
    <w:p>
      <w:pPr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  <w:br w:type="page"/>
      </w:r>
    </w:p>
    <w:p>
      <w:pPr>
        <w:pStyle w:val="2"/>
        <w:spacing w:line="360" w:lineRule="auto"/>
        <w:ind w:left="0" w:leftChars="0" w:firstLine="0" w:firstLineChars="0"/>
        <w:rPr>
          <w:rFonts w:hint="eastAsia" w:asciiTheme="minorHAnsi" w:hAnsiTheme="minorHAnsi" w:eastAsiaTheme="minorEastAsia" w:cstheme="minorBidi"/>
          <w:b/>
          <w:bCs/>
          <w:kern w:val="2"/>
          <w:sz w:val="36"/>
          <w:szCs w:val="44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  <w:t>2、</w:t>
      </w:r>
      <w:r>
        <w:rPr>
          <w:rFonts w:hint="eastAsia" w:asciiTheme="minorHAnsi" w:hAnsiTheme="minorHAnsi" w:eastAsiaTheme="minorEastAsia" w:cstheme="minorBidi"/>
          <w:b/>
          <w:bCs/>
          <w:kern w:val="2"/>
          <w:sz w:val="28"/>
          <w:szCs w:val="36"/>
          <w:lang w:val="en-US" w:eastAsia="zh-CN" w:bidi="ar-SA"/>
        </w:rPr>
        <w:t>交换机电源模块</w:t>
      </w:r>
      <w:r>
        <w:rPr>
          <w:rFonts w:hint="eastAsia" w:cstheme="minorBidi"/>
          <w:b/>
          <w:bCs/>
          <w:kern w:val="2"/>
          <w:sz w:val="28"/>
          <w:szCs w:val="36"/>
          <w:lang w:val="en-US" w:eastAsia="zh-CN" w:bidi="ar-SA"/>
        </w:rPr>
        <w:t>：</w:t>
      </w:r>
    </w:p>
    <w:tbl>
      <w:tblPr>
        <w:tblStyle w:val="4"/>
        <w:tblW w:w="918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74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b/>
                <w:bCs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指标项</w:t>
            </w:r>
          </w:p>
        </w:tc>
        <w:tc>
          <w:tcPr>
            <w:tcW w:w="7416" w:type="dxa"/>
            <w:vAlign w:val="center"/>
          </w:tcPr>
          <w:p>
            <w:pPr>
              <w:spacing w:line="360" w:lineRule="auto"/>
              <w:rPr>
                <w:rFonts w:hint="default" w:asciiTheme="minorHAnsi" w:hAnsiTheme="minorHAnsi" w:eastAsiaTheme="minorEastAsia" w:cstheme="minorBidi"/>
                <w:b/>
                <w:bCs/>
                <w:color w:val="000000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32"/>
              </w:rPr>
              <w:t>具体技术规格参数要求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尺寸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90mm*215mm*40mm（参考数值）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额定输入电压[V]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100V AC~130V AC; 50/60HZ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200V AC~240V AC; 50/60HZ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240V DC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输入电压范围[V]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90V AC~190V AC; 45HZ~65HZ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190V DC~290V DC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最大输入电流[A]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100V AC~130V AC: 12A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200V AC~240V AC: 8A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240V DC: 8A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额定输出电压[V]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56V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额定输出电流[A]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100V AC~130V AC输入：16.08A</w:t>
            </w:r>
          </w:p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200V AC~240V AC和240V DC输入: 总功率1000W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电源散热方式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风冷散热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1" w:type="dxa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both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热插拔</w:t>
            </w:r>
          </w:p>
        </w:tc>
        <w:tc>
          <w:tcPr>
            <w:tcW w:w="7416" w:type="dxa"/>
          </w:tcPr>
          <w:p>
            <w:pPr>
              <w:pStyle w:val="2"/>
              <w:spacing w:line="360" w:lineRule="auto"/>
              <w:ind w:left="0" w:leftChars="0" w:firstLine="0" w:firstLineChars="0"/>
              <w:rPr>
                <w:rFonts w:hint="default"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2"/>
                <w:vertAlign w:val="baseline"/>
                <w:lang w:val="en-US" w:eastAsia="zh-CN"/>
              </w:rPr>
              <w:t>支持</w:t>
            </w:r>
          </w:p>
        </w:tc>
      </w:tr>
    </w:tbl>
    <w:p>
      <w:pPr>
        <w:spacing w:line="360" w:lineRule="auto"/>
        <w:ind w:firstLine="420" w:firstLineChars="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报价厂商应提供具体的产品品牌、型号，对技术指标进行应答，并提供交换机原厂对本项目售后服务承诺函。</w:t>
      </w:r>
      <w:bookmarkStart w:id="0" w:name="_GoBack"/>
      <w:bookmarkEnd w:id="0"/>
    </w:p>
    <w:p>
      <w:pPr>
        <w:spacing w:line="360" w:lineRule="auto"/>
        <w:ind w:firstLine="420" w:firstLineChars="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项目预算金额99000元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000000"/>
    <w:rsid w:val="1FCF6CF5"/>
    <w:rsid w:val="35F63271"/>
    <w:rsid w:val="52E76EA3"/>
    <w:rsid w:val="53CB58F2"/>
    <w:rsid w:val="5E5F2278"/>
    <w:rsid w:val="775F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5"/>
    </w:pPr>
    <w:rPr>
      <w:szCs w:val="2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2023-09-14T05:27:00Z</dcterms:created>
  <dc:creator>jerusalem</dc:creator>
  <cp:lastModifiedBy>仲杰</cp:lastModifiedBy>
  <dcterms:modified xsi:type="dcterms:W3CDTF">2023-09-15T12:36:00Z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61097D99F5734DB2957B4E5B43FD0D26_12</vt:lpwstr>
  </property>
</Properties>
</file>