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F4" w:rsidRPr="00C92149" w:rsidRDefault="003468F4" w:rsidP="001276FC">
      <w:pPr>
        <w:pStyle w:val="1"/>
        <w:numPr>
          <w:ilvl w:val="0"/>
          <w:numId w:val="0"/>
        </w:numPr>
        <w:ind w:firstLine="720"/>
      </w:pPr>
      <w:bookmarkStart w:id="0" w:name="_Toc462932867"/>
      <w:bookmarkStart w:id="1" w:name="_Toc362984192"/>
      <w:bookmarkStart w:id="2" w:name="_Toc21359"/>
      <w:bookmarkStart w:id="3" w:name="_Toc414994682"/>
      <w:bookmarkStart w:id="4" w:name="_Toc418692141"/>
      <w:r w:rsidRPr="00C92149">
        <w:t>UPS系统</w:t>
      </w:r>
      <w:r w:rsidR="001276FC">
        <w:rPr>
          <w:rFonts w:hint="eastAsia"/>
        </w:rPr>
        <w:t>技术要求</w:t>
      </w:r>
    </w:p>
    <w:p w:rsidR="00C92149" w:rsidRPr="00C92149" w:rsidRDefault="00C92149" w:rsidP="00C92149">
      <w:r w:rsidRPr="00C92149">
        <w:rPr>
          <w:rFonts w:hint="eastAsia"/>
        </w:rPr>
        <w:t>机房UPS应按8个机柜配置，其中5个服务器机柜，2个网络机柜，1个UPS系统机柜。</w:t>
      </w: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37"/>
        <w:gridCol w:w="1705"/>
        <w:gridCol w:w="1577"/>
        <w:gridCol w:w="1577"/>
      </w:tblGrid>
      <w:tr w:rsidR="00C92149" w:rsidRPr="00C92149" w:rsidTr="009D310A">
        <w:trPr>
          <w:trHeight w:val="20"/>
        </w:trPr>
        <w:tc>
          <w:tcPr>
            <w:tcW w:w="2137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名称</w:t>
            </w:r>
          </w:p>
        </w:tc>
        <w:tc>
          <w:tcPr>
            <w:tcW w:w="1705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单个用电量</w:t>
            </w:r>
          </w:p>
        </w:tc>
        <w:tc>
          <w:tcPr>
            <w:tcW w:w="1577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数量</w:t>
            </w:r>
          </w:p>
        </w:tc>
        <w:tc>
          <w:tcPr>
            <w:tcW w:w="1577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总计</w:t>
            </w:r>
          </w:p>
        </w:tc>
      </w:tr>
      <w:tr w:rsidR="00C92149" w:rsidRPr="00C92149" w:rsidTr="009D310A">
        <w:trPr>
          <w:trHeight w:val="20"/>
        </w:trPr>
        <w:tc>
          <w:tcPr>
            <w:tcW w:w="2137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服务器机柜</w:t>
            </w:r>
          </w:p>
        </w:tc>
        <w:tc>
          <w:tcPr>
            <w:tcW w:w="1705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2</w:t>
            </w:r>
            <w:r w:rsidRPr="00C92149">
              <w:t>K</w:t>
            </w:r>
            <w:r w:rsidRPr="00C92149">
              <w:rPr>
                <w:rFonts w:hint="eastAsia"/>
              </w:rPr>
              <w:t>w</w:t>
            </w:r>
          </w:p>
        </w:tc>
        <w:tc>
          <w:tcPr>
            <w:tcW w:w="1577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5个</w:t>
            </w:r>
          </w:p>
        </w:tc>
        <w:tc>
          <w:tcPr>
            <w:tcW w:w="1577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10</w:t>
            </w:r>
            <w:r w:rsidRPr="00C92149">
              <w:t>K</w:t>
            </w:r>
            <w:r w:rsidRPr="00C92149">
              <w:rPr>
                <w:rFonts w:hint="eastAsia"/>
              </w:rPr>
              <w:t>w</w:t>
            </w:r>
          </w:p>
        </w:tc>
      </w:tr>
      <w:tr w:rsidR="00C92149" w:rsidRPr="00C92149" w:rsidTr="009D310A">
        <w:trPr>
          <w:trHeight w:val="20"/>
        </w:trPr>
        <w:tc>
          <w:tcPr>
            <w:tcW w:w="2137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网络机柜</w:t>
            </w:r>
          </w:p>
        </w:tc>
        <w:tc>
          <w:tcPr>
            <w:tcW w:w="1705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t>1</w:t>
            </w:r>
            <w:r w:rsidRPr="00C92149">
              <w:rPr>
                <w:rFonts w:hint="eastAsia"/>
              </w:rPr>
              <w:t>Kw</w:t>
            </w:r>
          </w:p>
        </w:tc>
        <w:tc>
          <w:tcPr>
            <w:tcW w:w="1577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2个</w:t>
            </w:r>
          </w:p>
        </w:tc>
        <w:tc>
          <w:tcPr>
            <w:tcW w:w="1577" w:type="dxa"/>
          </w:tcPr>
          <w:p w:rsidR="00C92149" w:rsidRPr="00C92149" w:rsidRDefault="00C92149" w:rsidP="00C92149">
            <w:pPr>
              <w:spacing w:line="240" w:lineRule="auto"/>
              <w:ind w:firstLineChars="0" w:firstLine="0"/>
            </w:pPr>
            <w:r w:rsidRPr="00C92149">
              <w:rPr>
                <w:rFonts w:hint="eastAsia"/>
              </w:rPr>
              <w:t>2</w:t>
            </w:r>
            <w:r w:rsidRPr="00C92149">
              <w:t>K</w:t>
            </w:r>
            <w:r w:rsidRPr="00C92149">
              <w:rPr>
                <w:rFonts w:hint="eastAsia"/>
              </w:rPr>
              <w:t>w</w:t>
            </w:r>
          </w:p>
        </w:tc>
      </w:tr>
    </w:tbl>
    <w:p w:rsidR="00C92149" w:rsidRPr="00C92149" w:rsidRDefault="00C92149" w:rsidP="00C92149">
      <w:r w:rsidRPr="00C92149">
        <w:rPr>
          <w:rFonts w:hint="eastAsia"/>
        </w:rPr>
        <w:t>学校后勤部门提供专用供电线路至机房配电柜输入端。机房UPS系统容量要求如下：</w:t>
      </w:r>
    </w:p>
    <w:p w:rsidR="00C92149" w:rsidRPr="00C92149" w:rsidRDefault="00C92149" w:rsidP="00C92149">
      <w:pPr>
        <w:pStyle w:val="A"/>
      </w:pPr>
      <w:r w:rsidRPr="00C92149">
        <w:rPr>
          <w:rFonts w:hint="eastAsia"/>
        </w:rPr>
        <w:t>1组 15KVA UPS系统</w:t>
      </w:r>
    </w:p>
    <w:p w:rsidR="00C92149" w:rsidRPr="00C92149" w:rsidRDefault="00C92149" w:rsidP="00C92149">
      <w:pPr>
        <w:pStyle w:val="A"/>
      </w:pPr>
      <w:r w:rsidRPr="00C92149">
        <w:rPr>
          <w:rFonts w:hint="eastAsia"/>
        </w:rPr>
        <w:t>机房</w:t>
      </w:r>
      <w:r w:rsidRPr="00C92149">
        <w:t>UPS系统</w:t>
      </w:r>
      <w:r w:rsidRPr="00C92149">
        <w:rPr>
          <w:rFonts w:hint="eastAsia"/>
        </w:rPr>
        <w:t>后备时间不低于15分钟。</w:t>
      </w:r>
    </w:p>
    <w:p w:rsidR="00C92149" w:rsidRPr="00C92149" w:rsidRDefault="00C92149" w:rsidP="00C92149">
      <w:pPr>
        <w:pStyle w:val="A"/>
      </w:pPr>
      <w:r w:rsidRPr="00C92149">
        <w:rPr>
          <w:rFonts w:hint="eastAsia"/>
        </w:rPr>
        <w:t>UPS主机内置静态旁路开关和手动旁路开关</w:t>
      </w:r>
    </w:p>
    <w:p w:rsidR="00C92149" w:rsidRPr="00C92149" w:rsidRDefault="00C92149" w:rsidP="00C92149">
      <w:pPr>
        <w:pStyle w:val="A"/>
      </w:pPr>
      <w:r w:rsidRPr="00C92149">
        <w:rPr>
          <w:rFonts w:hint="eastAsia"/>
        </w:rPr>
        <w:t>具有RS485通讯接口及远程监控系统</w:t>
      </w:r>
    </w:p>
    <w:p w:rsidR="003468F4" w:rsidRPr="00C92149" w:rsidRDefault="003468F4" w:rsidP="00C92149">
      <w:pPr>
        <w:pStyle w:val="2"/>
      </w:pPr>
      <w:r w:rsidRPr="00C92149">
        <w:t>UPS主机</w:t>
      </w:r>
      <w:bookmarkEnd w:id="0"/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标配主输入，旁路输入输出和手动维护开关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逆变器侧和旁路侧均应采用静态开关SCR，或者采用静态开关SCR与交流接触器并联组合的方式。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所有</w:t>
      </w:r>
      <w:r w:rsidRPr="00C92149">
        <w:t>PCB</w:t>
      </w:r>
      <w:r w:rsidRPr="00C92149">
        <w:rPr>
          <w:rFonts w:hint="eastAsia"/>
        </w:rPr>
        <w:t>电路板均喷涂防腐蚀绝缘漆，以适应高粉尘、高湿度、腐蚀性气体等恶劣环境。</w:t>
      </w:r>
    </w:p>
    <w:p w:rsidR="003468F4" w:rsidRPr="00C92149" w:rsidRDefault="003468F4" w:rsidP="00C92149">
      <w:pPr>
        <w:pStyle w:val="A"/>
      </w:pPr>
      <w:bookmarkStart w:id="5" w:name="_Toc181169255"/>
      <w:r w:rsidRPr="00C92149">
        <w:rPr>
          <w:rFonts w:hint="eastAsia"/>
        </w:rPr>
        <w:t>整流器输出指标</w:t>
      </w:r>
      <w:bookmarkEnd w:id="5"/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输出电压精度：±</w:t>
      </w:r>
      <w:r w:rsidRPr="00C92149">
        <w:t>1</w:t>
      </w:r>
      <w:r w:rsidRPr="00C92149">
        <w:rPr>
          <w:rFonts w:hint="eastAsia"/>
        </w:rPr>
        <w:t>％</w:t>
      </w:r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交流纹波系数：＜1%</w:t>
      </w:r>
    </w:p>
    <w:p w:rsidR="003468F4" w:rsidRPr="00C92149" w:rsidRDefault="003468F4" w:rsidP="00C92149">
      <w:pPr>
        <w:pStyle w:val="A"/>
      </w:pPr>
      <w:bookmarkStart w:id="6" w:name="_Toc181169256"/>
      <w:r w:rsidRPr="00C92149">
        <w:rPr>
          <w:rFonts w:hint="eastAsia"/>
        </w:rPr>
        <w:t>输出电压</w:t>
      </w:r>
      <w:bookmarkEnd w:id="6"/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输出电压可调范围：38</w:t>
      </w:r>
      <w:r w:rsidRPr="00C92149">
        <w:t>0V</w:t>
      </w:r>
      <w:r w:rsidRPr="00C92149">
        <w:rPr>
          <w:rFonts w:hint="eastAsia"/>
        </w:rPr>
        <w:t>AC±5％</w:t>
      </w:r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lastRenderedPageBreak/>
        <w:t>稳态精度：380VAC±</w:t>
      </w:r>
      <w:r w:rsidRPr="00C92149">
        <w:t>1</w:t>
      </w:r>
      <w:r w:rsidRPr="00C92149">
        <w:rPr>
          <w:rFonts w:hint="eastAsia"/>
        </w:rPr>
        <w:t>％</w:t>
      </w:r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电压动态响应特性：±5％（20ms）</w:t>
      </w:r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输出电压波形为连续的正弦波，在带</w:t>
      </w:r>
      <w:r w:rsidRPr="00C92149">
        <w:t>100%</w:t>
      </w:r>
      <w:r w:rsidRPr="00C92149">
        <w:rPr>
          <w:rFonts w:hint="eastAsia"/>
        </w:rPr>
        <w:t>不均衡负载时，波形失真度：</w:t>
      </w:r>
    </w:p>
    <w:p w:rsidR="003468F4" w:rsidRPr="00C92149" w:rsidRDefault="003468F4" w:rsidP="003468F4">
      <w:r w:rsidRPr="00C92149">
        <w:rPr>
          <w:rFonts w:hint="eastAsia"/>
        </w:rPr>
        <w:t>线性负载，电压谐波分量THDU≤3％</w:t>
      </w:r>
    </w:p>
    <w:p w:rsidR="003468F4" w:rsidRPr="00C92149" w:rsidRDefault="003468F4" w:rsidP="003468F4">
      <w:r w:rsidRPr="00C92149">
        <w:rPr>
          <w:rFonts w:hint="eastAsia"/>
        </w:rPr>
        <w:t>非线性负载，电压谐波分量THDU≤</w:t>
      </w:r>
      <w:r w:rsidRPr="00C92149">
        <w:t>5</w:t>
      </w:r>
      <w:r w:rsidRPr="00C92149">
        <w:rPr>
          <w:rFonts w:hint="eastAsia"/>
        </w:rPr>
        <w:t>％</w:t>
      </w:r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三相输出电压偏差：</w:t>
      </w:r>
    </w:p>
    <w:p w:rsidR="003468F4" w:rsidRPr="00C92149" w:rsidRDefault="003468F4" w:rsidP="003468F4">
      <w:r w:rsidRPr="00C92149">
        <w:rPr>
          <w:rFonts w:hint="eastAsia"/>
        </w:rPr>
        <w:t>平衡负载时，电压偏差＜±</w:t>
      </w:r>
      <w:r w:rsidRPr="00C92149">
        <w:t>1</w:t>
      </w:r>
      <w:r w:rsidRPr="00C92149">
        <w:rPr>
          <w:rFonts w:hint="eastAsia"/>
        </w:rPr>
        <w:t>％</w:t>
      </w:r>
    </w:p>
    <w:p w:rsidR="003468F4" w:rsidRPr="00C92149" w:rsidRDefault="003468F4" w:rsidP="003468F4">
      <w:r w:rsidRPr="00C92149">
        <w:rPr>
          <w:rFonts w:hint="eastAsia"/>
        </w:rPr>
        <w:t>10</w:t>
      </w:r>
      <w:r w:rsidRPr="00C92149">
        <w:t>0</w:t>
      </w:r>
      <w:r w:rsidRPr="00C92149">
        <w:rPr>
          <w:rFonts w:hint="eastAsia"/>
        </w:rPr>
        <w:t>％不平衡负载时，电压偏差＜±</w:t>
      </w:r>
      <w:r w:rsidRPr="00C92149">
        <w:t>3</w:t>
      </w:r>
      <w:r w:rsidRPr="00C92149">
        <w:rPr>
          <w:rFonts w:hint="eastAsia"/>
        </w:rPr>
        <w:t>％</w:t>
      </w:r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三相输出相位偏差：</w:t>
      </w:r>
    </w:p>
    <w:p w:rsidR="003468F4" w:rsidRPr="00C92149" w:rsidRDefault="003468F4" w:rsidP="003468F4">
      <w:r w:rsidRPr="00C92149">
        <w:rPr>
          <w:rFonts w:hint="eastAsia"/>
        </w:rPr>
        <w:t>100%不平衡整流性负载时，相位偏差≤3°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输出电流峰值系数：（UPS所允许的最大非正弦波峰值电流与输出电流有效值之比）≥3：1。</w:t>
      </w:r>
    </w:p>
    <w:p w:rsidR="003468F4" w:rsidRPr="00C92149" w:rsidRDefault="003468F4" w:rsidP="00C92149">
      <w:pPr>
        <w:pStyle w:val="A"/>
      </w:pPr>
      <w:bookmarkStart w:id="7" w:name="_Toc181169258"/>
      <w:r w:rsidRPr="00C92149">
        <w:rPr>
          <w:rFonts w:hint="eastAsia"/>
        </w:rPr>
        <w:t>输出频率</w:t>
      </w:r>
      <w:bookmarkEnd w:id="7"/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电池供电时：</w:t>
      </w:r>
      <w:r w:rsidRPr="00C92149">
        <w:t>50Hz</w:t>
      </w:r>
      <w:r w:rsidRPr="00C92149">
        <w:rPr>
          <w:rFonts w:hint="eastAsia"/>
        </w:rPr>
        <w:t>±0</w:t>
      </w:r>
      <w:r w:rsidRPr="00C92149">
        <w:t>.</w:t>
      </w:r>
      <w:r w:rsidRPr="00C92149">
        <w:rPr>
          <w:rFonts w:hint="eastAsia"/>
        </w:rPr>
        <w:t>1</w:t>
      </w:r>
      <w:r w:rsidRPr="00C92149">
        <w:t>%</w:t>
      </w:r>
      <w:r w:rsidRPr="00C92149">
        <w:rPr>
          <w:rFonts w:hint="eastAsia"/>
        </w:rPr>
        <w:t>，输出频率应不发生突变</w:t>
      </w:r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频率跟踪范围：±</w:t>
      </w:r>
      <w:r w:rsidRPr="00C92149">
        <w:t>0.</w:t>
      </w:r>
      <w:r w:rsidRPr="00C92149">
        <w:rPr>
          <w:rFonts w:hint="eastAsia"/>
        </w:rPr>
        <w:t>1-±</w:t>
      </w:r>
      <w:r w:rsidRPr="00C92149">
        <w:t>2Hz</w:t>
      </w:r>
      <w:r w:rsidRPr="00C92149">
        <w:rPr>
          <w:rFonts w:hint="eastAsia"/>
        </w:rPr>
        <w:t>可调</w:t>
      </w:r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同步跟踪率：±</w:t>
      </w:r>
      <w:r w:rsidRPr="00C92149">
        <w:t>0.1Hz/</w:t>
      </w:r>
      <w:r w:rsidRPr="00C92149">
        <w:rPr>
          <w:rFonts w:hint="eastAsia"/>
        </w:rPr>
        <w:t>秒～</w:t>
      </w:r>
      <w:r w:rsidRPr="00C92149">
        <w:t>2 Hz/</w:t>
      </w:r>
      <w:r w:rsidRPr="00C92149">
        <w:rPr>
          <w:rFonts w:hint="eastAsia"/>
        </w:rPr>
        <w:t>秒内可调</w:t>
      </w:r>
    </w:p>
    <w:p w:rsidR="003468F4" w:rsidRPr="00C92149" w:rsidRDefault="003468F4" w:rsidP="00C92149">
      <w:pPr>
        <w:pStyle w:val="A"/>
      </w:pPr>
      <w:bookmarkStart w:id="8" w:name="_Toc181169259"/>
      <w:r w:rsidRPr="00C92149">
        <w:rPr>
          <w:rFonts w:hint="eastAsia"/>
        </w:rPr>
        <w:t>输出功率</w:t>
      </w:r>
      <w:bookmarkEnd w:id="8"/>
      <w:r w:rsidRPr="00C92149">
        <w:rPr>
          <w:rFonts w:hint="eastAsia"/>
        </w:rPr>
        <w:t>:在允许的输入电压及正常工作温度下能</w:t>
      </w:r>
      <w:r w:rsidRPr="00C92149">
        <w:t>100%</w:t>
      </w:r>
      <w:r w:rsidRPr="00C92149">
        <w:rPr>
          <w:rFonts w:hint="eastAsia"/>
        </w:rPr>
        <w:t>地由逆变电源输出满载功率给负载使用。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负载功率因数：≥</w:t>
      </w:r>
      <w:r w:rsidRPr="00C92149">
        <w:t>0.8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满载时系统整机效率：</w:t>
      </w:r>
      <w:r w:rsidRPr="00C92149">
        <w:rPr>
          <w:rFonts w:hint="eastAsia"/>
        </w:rPr>
        <w:sym w:font="Symbol" w:char="F068"/>
      </w:r>
      <w:r w:rsidRPr="00C92149">
        <w:rPr>
          <w:rFonts w:hint="eastAsia"/>
        </w:rPr>
        <w:t>≥</w:t>
      </w:r>
      <w:r w:rsidRPr="00C92149">
        <w:t>9</w:t>
      </w:r>
      <w:r w:rsidRPr="00C92149">
        <w:rPr>
          <w:rFonts w:hint="eastAsia"/>
        </w:rPr>
        <w:t>3％</w:t>
      </w:r>
    </w:p>
    <w:p w:rsidR="003468F4" w:rsidRPr="00C92149" w:rsidRDefault="003468F4" w:rsidP="00C92149">
      <w:pPr>
        <w:pStyle w:val="A"/>
      </w:pPr>
      <w:bookmarkStart w:id="9" w:name="_Toc181169262"/>
      <w:r w:rsidRPr="00C92149">
        <w:rPr>
          <w:rFonts w:hint="eastAsia"/>
        </w:rPr>
        <w:t>过载能力</w:t>
      </w:r>
      <w:bookmarkEnd w:id="9"/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lastRenderedPageBreak/>
        <w:t>输出</w:t>
      </w:r>
      <w:r w:rsidRPr="00C92149">
        <w:t>150%</w:t>
      </w:r>
      <w:r w:rsidRPr="00C92149">
        <w:rPr>
          <w:rFonts w:hint="eastAsia"/>
        </w:rPr>
        <w:t>额定电流：</w:t>
      </w:r>
      <w:r w:rsidRPr="00C92149">
        <w:t>60S</w:t>
      </w:r>
    </w:p>
    <w:p w:rsidR="003468F4" w:rsidRPr="00C92149" w:rsidRDefault="003468F4" w:rsidP="00C92149">
      <w:pPr>
        <w:pStyle w:val="B"/>
      </w:pPr>
      <w:r w:rsidRPr="00C92149">
        <w:rPr>
          <w:rFonts w:hint="eastAsia"/>
        </w:rPr>
        <w:t>输出</w:t>
      </w:r>
      <w:r w:rsidRPr="00C92149">
        <w:t>125%</w:t>
      </w:r>
      <w:r w:rsidRPr="00C92149">
        <w:rPr>
          <w:rFonts w:hint="eastAsia"/>
        </w:rPr>
        <w:t>额定电流：10</w:t>
      </w:r>
      <w:r w:rsidRPr="00C92149">
        <w:t>min</w:t>
      </w:r>
    </w:p>
    <w:p w:rsidR="003468F4" w:rsidRPr="00C92149" w:rsidRDefault="003468F4" w:rsidP="00C92149">
      <w:pPr>
        <w:pStyle w:val="A"/>
      </w:pPr>
      <w:bookmarkStart w:id="10" w:name="_Toc181169264"/>
      <w:r w:rsidRPr="00C92149">
        <w:rPr>
          <w:rFonts w:hint="eastAsia"/>
        </w:rPr>
        <w:t>防雷能力</w:t>
      </w:r>
      <w:bookmarkEnd w:id="10"/>
      <w:r w:rsidRPr="00C92149">
        <w:rPr>
          <w:rFonts w:hint="eastAsia"/>
        </w:rPr>
        <w:t>:UPS内置B级4极防雷模块，可抵御最大浪涌电流</w:t>
      </w:r>
      <w:r w:rsidRPr="00C92149">
        <w:t>40KA</w:t>
      </w:r>
      <w:r w:rsidRPr="00C92149">
        <w:rPr>
          <w:rFonts w:hint="eastAsia"/>
        </w:rPr>
        <w:t>。导轨式安装，热插播设计，失效变色指示</w:t>
      </w:r>
    </w:p>
    <w:p w:rsidR="003468F4" w:rsidRPr="00C92149" w:rsidRDefault="003468F4" w:rsidP="00C92149">
      <w:pPr>
        <w:pStyle w:val="A"/>
      </w:pPr>
      <w:bookmarkStart w:id="11" w:name="_Toc181169265"/>
      <w:r w:rsidRPr="00C92149">
        <w:rPr>
          <w:rFonts w:hint="eastAsia"/>
        </w:rPr>
        <w:t>噪声</w:t>
      </w:r>
      <w:bookmarkEnd w:id="11"/>
      <w:r w:rsidRPr="00C92149">
        <w:t>：</w:t>
      </w:r>
      <w:r w:rsidRPr="00C92149">
        <w:rPr>
          <w:rFonts w:hint="eastAsia"/>
        </w:rPr>
        <w:t>距离设备</w:t>
      </w:r>
      <w:r w:rsidRPr="00C92149">
        <w:t>1</w:t>
      </w:r>
      <w:r w:rsidRPr="00C92149">
        <w:rPr>
          <w:rFonts w:hint="eastAsia"/>
        </w:rPr>
        <w:t>米处：</w:t>
      </w:r>
      <w:r w:rsidRPr="00C92149">
        <w:t>＜</w:t>
      </w:r>
      <w:r w:rsidRPr="00C92149">
        <w:rPr>
          <w:rFonts w:hint="eastAsia"/>
        </w:rPr>
        <w:t>65</w:t>
      </w:r>
      <w:r w:rsidRPr="00C92149">
        <w:t>dB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面板显示</w:t>
      </w:r>
      <w:r w:rsidRPr="00C92149">
        <w:t>：</w:t>
      </w:r>
      <w:r w:rsidRPr="00C92149">
        <w:rPr>
          <w:rFonts w:hint="eastAsia"/>
        </w:rPr>
        <w:t>大屏幕高清晰度中英文液晶屏显示，操作面板具备</w:t>
      </w:r>
      <w:r w:rsidRPr="00C92149">
        <w:t xml:space="preserve">LCD </w:t>
      </w:r>
      <w:r w:rsidRPr="00C92149">
        <w:rPr>
          <w:rFonts w:hint="eastAsia"/>
        </w:rPr>
        <w:t>和</w:t>
      </w:r>
      <w:r w:rsidRPr="00C92149">
        <w:t>LED</w:t>
      </w:r>
      <w:r w:rsidRPr="00C92149">
        <w:rPr>
          <w:rFonts w:hint="eastAsia"/>
        </w:rPr>
        <w:t>显示</w:t>
      </w:r>
    </w:p>
    <w:p w:rsidR="003468F4" w:rsidRPr="00C92149" w:rsidRDefault="003468F4" w:rsidP="00C92149">
      <w:pPr>
        <w:pStyle w:val="2"/>
      </w:pPr>
      <w:bookmarkStart w:id="12" w:name="_Toc181169267"/>
      <w:bookmarkStart w:id="13" w:name="_Toc462932868"/>
      <w:r w:rsidRPr="00C92149">
        <w:rPr>
          <w:rFonts w:hint="eastAsia"/>
        </w:rPr>
        <w:t>蓄电池</w:t>
      </w:r>
      <w:bookmarkEnd w:id="12"/>
      <w:bookmarkEnd w:id="13"/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电池必须是阀控的铅酸免维护蓄电池，设计寿命不小于10年。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当输入电源电压在额定值±15％时，电池能正常工作。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蓄电池开关必须是ABB或施耐德等公司生产的直流专用塑壳断路器或直流框架式空气开关，不接受采用交流开关代替，不得使用熔丝开关。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直流断路器应具有足够的分断能力，在开关意外脱扣的情况下，系统要能够提供报警。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当整流器未建立直流母线电压时，电池断路器不能被闭合。</w:t>
      </w:r>
    </w:p>
    <w:bookmarkEnd w:id="1"/>
    <w:bookmarkEnd w:id="2"/>
    <w:bookmarkEnd w:id="3"/>
    <w:bookmarkEnd w:id="4"/>
    <w:p w:rsidR="00BD5677" w:rsidRPr="00C92149" w:rsidRDefault="00BD5677" w:rsidP="003468F4"/>
    <w:sectPr w:rsidR="00BD5677" w:rsidRPr="00C92149" w:rsidSect="00632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CD9" w:rsidRDefault="00822CD9" w:rsidP="00623A46">
      <w:pPr>
        <w:spacing w:line="240" w:lineRule="auto"/>
      </w:pPr>
      <w:r>
        <w:separator/>
      </w:r>
    </w:p>
  </w:endnote>
  <w:endnote w:type="continuationSeparator" w:id="1">
    <w:p w:rsidR="00822CD9" w:rsidRDefault="00822CD9" w:rsidP="00623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CD9" w:rsidRDefault="00822CD9" w:rsidP="00623A46">
      <w:pPr>
        <w:spacing w:line="240" w:lineRule="auto"/>
      </w:pPr>
      <w:r>
        <w:separator/>
      </w:r>
    </w:p>
  </w:footnote>
  <w:footnote w:type="continuationSeparator" w:id="1">
    <w:p w:rsidR="00822CD9" w:rsidRDefault="00822CD9" w:rsidP="00623A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6CAEA8C8"/>
    <w:lvl w:ilvl="0">
      <w:start w:val="1"/>
      <w:numFmt w:val="bullet"/>
      <w:pStyle w:val="5"/>
      <w:lvlText w:val=""/>
      <w:lvlJc w:val="left"/>
      <w:pPr>
        <w:tabs>
          <w:tab w:val="num" w:pos="1021"/>
        </w:tabs>
        <w:ind w:left="1021" w:hanging="45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F474905"/>
    <w:multiLevelType w:val="multilevel"/>
    <w:tmpl w:val="809EB794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12266403"/>
    <w:multiLevelType w:val="multilevel"/>
    <w:tmpl w:val="9FAE5226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82B262B"/>
    <w:multiLevelType w:val="multilevel"/>
    <w:tmpl w:val="2CECD6EA"/>
    <w:lvl w:ilvl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suff w:val="nothing"/>
      <w:lvlText w:val="%1.%2."/>
      <w:lvlJc w:val="left"/>
      <w:pPr>
        <w:ind w:left="1843" w:hanging="567"/>
      </w:pPr>
      <w:rPr>
        <w:rFonts w:hint="eastAsia"/>
      </w:rPr>
    </w:lvl>
    <w:lvl w:ilvl="2">
      <w:start w:val="1"/>
      <w:numFmt w:val="decimal"/>
      <w:isLgl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851" w:hanging="851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1559"/>
      </w:pPr>
      <w:rPr>
        <w:rFonts w:hint="eastAsia"/>
      </w:rPr>
    </w:lvl>
  </w:abstractNum>
  <w:abstractNum w:abstractNumId="4">
    <w:nsid w:val="295738C5"/>
    <w:multiLevelType w:val="hybridMultilevel"/>
    <w:tmpl w:val="1BD2D244"/>
    <w:lvl w:ilvl="0" w:tplc="C5FE2B86">
      <w:start w:val="1"/>
      <w:numFmt w:val="upperRoman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0F14428"/>
    <w:multiLevelType w:val="multilevel"/>
    <w:tmpl w:val="6890FA66"/>
    <w:lvl w:ilvl="0">
      <w:start w:val="1"/>
      <w:numFmt w:val="bullet"/>
      <w:pStyle w:val="A"/>
      <w:lvlText w:val=""/>
      <w:lvlJc w:val="left"/>
      <w:pPr>
        <w:tabs>
          <w:tab w:val="num" w:pos="0"/>
        </w:tabs>
        <w:ind w:left="0" w:hanging="45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</w:abstractNum>
  <w:abstractNum w:abstractNumId="6">
    <w:nsid w:val="58A7593E"/>
    <w:multiLevelType w:val="hybridMultilevel"/>
    <w:tmpl w:val="1DB626AA"/>
    <w:lvl w:ilvl="0" w:tplc="D3560988">
      <w:start w:val="1"/>
      <w:numFmt w:val="bullet"/>
      <w:pStyle w:val="B"/>
      <w:lvlText w:val=""/>
      <w:lvlJc w:val="left"/>
      <w:pPr>
        <w:ind w:left="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8F4"/>
    <w:rsid w:val="001276FC"/>
    <w:rsid w:val="003468F4"/>
    <w:rsid w:val="00363507"/>
    <w:rsid w:val="00623A46"/>
    <w:rsid w:val="00632EBB"/>
    <w:rsid w:val="007A254F"/>
    <w:rsid w:val="00822CD9"/>
    <w:rsid w:val="00BD5677"/>
    <w:rsid w:val="00C92149"/>
    <w:rsid w:val="00E34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68F4"/>
    <w:pPr>
      <w:widowControl w:val="0"/>
      <w:adjustRightInd w:val="0"/>
      <w:snapToGrid w:val="0"/>
      <w:spacing w:line="360" w:lineRule="auto"/>
      <w:ind w:firstLineChars="200" w:firstLine="480"/>
      <w:jc w:val="both"/>
    </w:pPr>
    <w:rPr>
      <w:rFonts w:ascii="微软雅黑" w:eastAsia="微软雅黑" w:hAnsi="微软雅黑"/>
      <w:sz w:val="24"/>
    </w:rPr>
  </w:style>
  <w:style w:type="paragraph" w:styleId="1">
    <w:name w:val="heading 1"/>
    <w:aliases w:val="Section Head,h1,1st level,l1,H1,H11,H12,H13,H14,H15,H16,H17,Title1,List level 1,&amp;3,卷标题,Heading 0,Entrust Heading 1,h11,A MAJOR/BOLD,Para,Heading a,ghost,g,ghost1,g1,h12,ghost2,g2,H1-Heading 1,鼎天标题 1,Header1,1.标题 1,H111,H112,Level 1 Topic Heading,1"/>
    <w:basedOn w:val="a0"/>
    <w:next w:val="a0"/>
    <w:link w:val="1Char"/>
    <w:qFormat/>
    <w:rsid w:val="00C92149"/>
    <w:pPr>
      <w:keepNext/>
      <w:keepLines/>
      <w:numPr>
        <w:numId w:val="1"/>
      </w:numPr>
      <w:ind w:left="0" w:firstLine="720"/>
      <w:jc w:val="left"/>
      <w:outlineLvl w:val="0"/>
    </w:pPr>
    <w:rPr>
      <w:rFonts w:cs="Times New Roman"/>
      <w:b/>
      <w:kern w:val="44"/>
      <w:sz w:val="36"/>
      <w:szCs w:val="36"/>
    </w:rPr>
  </w:style>
  <w:style w:type="paragraph" w:styleId="2">
    <w:name w:val="heading 2"/>
    <w:aliases w:val="1.1,H2,节名,h2,Titre2,sect 1.2,H21,sect 1.21,H22,sect 1.22,H211,sect 1.211,H23,sect 1.23,H212,sect 1.212,第一章 标题 2,Heading 2 Hidden,Heading 2 CCBS,heading 2,章标题,2nd level,2,Header 2,l2,Head 2,第*章,R2,Level 2 Topic Heading,HD2,Underrubrik1,prop2,chn,ISO"/>
    <w:basedOn w:val="1"/>
    <w:next w:val="a0"/>
    <w:link w:val="2Char"/>
    <w:qFormat/>
    <w:rsid w:val="00C92149"/>
    <w:pPr>
      <w:numPr>
        <w:ilvl w:val="1"/>
      </w:numPr>
      <w:ind w:firstLine="600"/>
      <w:outlineLvl w:val="1"/>
    </w:pPr>
    <w:rPr>
      <w:sz w:val="30"/>
      <w:szCs w:val="30"/>
    </w:rPr>
  </w:style>
  <w:style w:type="paragraph" w:styleId="3">
    <w:name w:val="heading 3"/>
    <w:aliases w:val="H3,h3,3rd level,Level 3 Topic Heading,l3,CT,3,Heading 3 - old,Titre3,标题 4.1.1,Level 3 Head,条标题1.1.1,sect1.2.3,sect1.2.31,sect1.2.32,sect1.2.311,sect1.2.33,sect1.2.312,HeadC,Map,H31,Org Heading 1,section:3,level_3,PIM 3,prop3,3heading,bh,H32,L3,章标题1"/>
    <w:basedOn w:val="2"/>
    <w:next w:val="a0"/>
    <w:link w:val="3Char"/>
    <w:qFormat/>
    <w:rsid w:val="003468F4"/>
    <w:pPr>
      <w:numPr>
        <w:ilvl w:val="2"/>
      </w:numPr>
      <w:outlineLvl w:val="2"/>
    </w:pPr>
    <w:rPr>
      <w:sz w:val="24"/>
    </w:rPr>
  </w:style>
  <w:style w:type="paragraph" w:styleId="4">
    <w:name w:val="heading 4"/>
    <w:aliases w:val="四级标题,H4,h4,Titre4,第三层条,章,sect 1.2.3.4,Ref Heading 1,rh1,sect 1.2.3.41,Ref Heading 11,rh11,sect 1.2.3.42,Ref Heading 12,rh12,sect 1.2.3.411,Ref Heading 111,rh111,sect 1.2.3.43,Ref Heading 13,rh13,sect 1.2.3.412,Ref Heading 112,rh112,PIM 4,bullet,bl"/>
    <w:basedOn w:val="3"/>
    <w:next w:val="a0"/>
    <w:link w:val="4Char"/>
    <w:qFormat/>
    <w:rsid w:val="003468F4"/>
    <w:pPr>
      <w:numPr>
        <w:ilvl w:val="3"/>
      </w:numPr>
      <w:outlineLvl w:val="3"/>
    </w:pPr>
    <w:rPr>
      <w:b w:val="0"/>
    </w:rPr>
  </w:style>
  <w:style w:type="paragraph" w:styleId="5">
    <w:name w:val="heading 5"/>
    <w:aliases w:val="五级标题,标题 5 Char Char Char Char Char,一,H5,Titre5,h5,heading 5,L1 Heading 5,h51,h52,h511,h53,h512,h54,h513,h55,h514,h56,h515,h57,h516,h58,h517,h521,h5111,h531,h5121,h541,h5131,h551,h5141,h561,h5151,h571,h5161,h59,h518,h522,h5112,h532,h5122,h542,h5132"/>
    <w:basedOn w:val="a0"/>
    <w:link w:val="5Char"/>
    <w:qFormat/>
    <w:rsid w:val="003468F4"/>
    <w:pPr>
      <w:numPr>
        <w:numId w:val="5"/>
      </w:numPr>
      <w:spacing w:line="500" w:lineRule="exact"/>
      <w:ind w:rightChars="200" w:right="200"/>
      <w:outlineLvl w:val="4"/>
    </w:pPr>
    <w:rPr>
      <w:rFonts w:ascii="Arial Unicode MS" w:eastAsia="宋体" w:hAnsi="Arial Unicode MS" w:cs="Times New Roman"/>
      <w:kern w:val="0"/>
      <w:szCs w:val="28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Section Head Char,h1 Char,1st level Char,l1 Char,H1 Char,H11 Char,H12 Char,H13 Char,H14 Char,H15 Char,H16 Char,H17 Char,Title1 Char,List level 1 Char,&amp;3 Char,卷标题 Char,Heading 0 Char,Entrust Heading 1 Char,h11 Char,A MAJOR/BOLD Char,Para Char"/>
    <w:basedOn w:val="a1"/>
    <w:link w:val="1"/>
    <w:rsid w:val="00C92149"/>
    <w:rPr>
      <w:rFonts w:ascii="微软雅黑" w:eastAsia="微软雅黑" w:hAnsi="微软雅黑" w:cs="Times New Roman"/>
      <w:b/>
      <w:kern w:val="44"/>
      <w:sz w:val="36"/>
      <w:szCs w:val="36"/>
    </w:rPr>
  </w:style>
  <w:style w:type="character" w:customStyle="1" w:styleId="2Char">
    <w:name w:val="标题 2 Char"/>
    <w:aliases w:val="1.1 Char,H2 Char,节名 Char,h2 Char,Titre2 Char,sect 1.2 Char,H21 Char,sect 1.21 Char,H22 Char,sect 1.22 Char,H211 Char,sect 1.211 Char,H23 Char,sect 1.23 Char,H212 Char,sect 1.212 Char,第一章 标题 2 Char,Heading 2 Hidden Char,Heading 2 CCBS Char"/>
    <w:basedOn w:val="a1"/>
    <w:link w:val="2"/>
    <w:rsid w:val="00C92149"/>
    <w:rPr>
      <w:rFonts w:ascii="微软雅黑" w:eastAsia="微软雅黑" w:hAnsi="微软雅黑" w:cs="Times New Roman"/>
      <w:b/>
      <w:kern w:val="44"/>
      <w:sz w:val="30"/>
      <w:szCs w:val="30"/>
    </w:rPr>
  </w:style>
  <w:style w:type="character" w:customStyle="1" w:styleId="3Char">
    <w:name w:val="标题 3 Char"/>
    <w:aliases w:val="H3 Char,h3 Char,3rd level Char,Level 3 Topic Heading Char,l3 Char,CT Char,3 Char,Heading 3 - old Char,Titre3 Char,标题 4.1.1 Char,Level 3 Head Char,条标题1.1.1 Char,sect1.2.3 Char,sect1.2.31 Char,sect1.2.32 Char,sect1.2.311 Char,sect1.2.33 Char"/>
    <w:basedOn w:val="a1"/>
    <w:link w:val="3"/>
    <w:rsid w:val="003468F4"/>
    <w:rPr>
      <w:rFonts w:ascii="宋体" w:eastAsia="宋体" w:hAnsi="宋体" w:cs="Times New Roman"/>
      <w:b/>
      <w:kern w:val="44"/>
      <w:sz w:val="24"/>
      <w:szCs w:val="20"/>
    </w:rPr>
  </w:style>
  <w:style w:type="character" w:customStyle="1" w:styleId="4Char">
    <w:name w:val="标题 4 Char"/>
    <w:aliases w:val="四级标题 Char,H4 Char,h4 Char,Titre4 Char,第三层条 Char,章 Char,sect 1.2.3.4 Char,Ref Heading 1 Char,rh1 Char,sect 1.2.3.41 Char,Ref Heading 11 Char,rh11 Char,sect 1.2.3.42 Char,Ref Heading 12 Char,rh12 Char,sect 1.2.3.411 Char,Ref Heading 111 Char"/>
    <w:basedOn w:val="a1"/>
    <w:link w:val="4"/>
    <w:rsid w:val="003468F4"/>
    <w:rPr>
      <w:rFonts w:ascii="宋体" w:eastAsia="宋体" w:hAnsi="宋体" w:cs="Times New Roman"/>
      <w:kern w:val="44"/>
      <w:sz w:val="24"/>
      <w:szCs w:val="20"/>
    </w:rPr>
  </w:style>
  <w:style w:type="character" w:customStyle="1" w:styleId="AChar">
    <w:name w:val="项目编号A Char"/>
    <w:link w:val="A"/>
    <w:rsid w:val="00C92149"/>
    <w:rPr>
      <w:rFonts w:ascii="微软雅黑" w:eastAsia="微软雅黑" w:hAnsi="微软雅黑" w:cs="Times New Roman"/>
      <w:sz w:val="24"/>
      <w:szCs w:val="24"/>
    </w:rPr>
  </w:style>
  <w:style w:type="character" w:customStyle="1" w:styleId="5Char">
    <w:name w:val="标题 5 Char"/>
    <w:aliases w:val="五级标题 Char,标题 5 Char Char Char Char Char Char,一 Char,H5 Char,Titre5 Char,h5 Char,heading 5 Char,L1 Heading 5 Char,h51 Char,h52 Char,h511 Char,h53 Char,h512 Char,h54 Char,h513 Char,h55 Char,h514 Char,h56 Char,h515 Char,h57 Char,h516 Char"/>
    <w:basedOn w:val="a1"/>
    <w:link w:val="5"/>
    <w:rsid w:val="003468F4"/>
    <w:rPr>
      <w:rFonts w:ascii="Arial Unicode MS" w:eastAsia="宋体" w:hAnsi="Arial Unicode MS" w:cs="Times New Roman"/>
      <w:kern w:val="0"/>
      <w:sz w:val="24"/>
      <w:szCs w:val="28"/>
      <w:lang/>
    </w:rPr>
  </w:style>
  <w:style w:type="paragraph" w:customStyle="1" w:styleId="A">
    <w:name w:val="项目编号A"/>
    <w:basedOn w:val="a0"/>
    <w:link w:val="AChar"/>
    <w:qFormat/>
    <w:rsid w:val="00C92149"/>
    <w:pPr>
      <w:numPr>
        <w:numId w:val="6"/>
      </w:numPr>
      <w:ind w:firstLineChars="0" w:firstLine="0"/>
    </w:pPr>
    <w:rPr>
      <w:rFonts w:cs="Times New Roman"/>
      <w:szCs w:val="24"/>
    </w:rPr>
  </w:style>
  <w:style w:type="paragraph" w:customStyle="1" w:styleId="B">
    <w:name w:val="项目符号B"/>
    <w:basedOn w:val="a0"/>
    <w:qFormat/>
    <w:rsid w:val="00C92149"/>
    <w:pPr>
      <w:numPr>
        <w:numId w:val="7"/>
      </w:numPr>
      <w:ind w:firstLine="480"/>
    </w:pPr>
    <w:rPr>
      <w:rFonts w:cs="Times New Roman"/>
      <w:kern w:val="0"/>
      <w:szCs w:val="24"/>
      <w:lang/>
    </w:rPr>
  </w:style>
  <w:style w:type="paragraph" w:styleId="a4">
    <w:name w:val="header"/>
    <w:basedOn w:val="a0"/>
    <w:link w:val="Char"/>
    <w:uiPriority w:val="99"/>
    <w:unhideWhenUsed/>
    <w:rsid w:val="00623A4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A46"/>
    <w:rPr>
      <w:rFonts w:ascii="微软雅黑" w:eastAsia="微软雅黑" w:hAnsi="微软雅黑"/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A46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A46"/>
    <w:rPr>
      <w:rFonts w:ascii="微软雅黑" w:eastAsia="微软雅黑" w:hAnsi="微软雅黑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craigx</dc:creator>
  <cp:lastModifiedBy>admin</cp:lastModifiedBy>
  <cp:revision>3</cp:revision>
  <dcterms:created xsi:type="dcterms:W3CDTF">2016-10-16T02:17:00Z</dcterms:created>
  <dcterms:modified xsi:type="dcterms:W3CDTF">2016-10-16T02:17:00Z</dcterms:modified>
</cp:coreProperties>
</file>