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Default="008D1B07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8D1B07">
              <w:rPr>
                <w:rFonts w:hAnsi="宋体" w:cs="宋体" w:hint="eastAsia"/>
                <w:sz w:val="24"/>
                <w:szCs w:val="24"/>
              </w:rPr>
              <w:t>上海海事大学“红色港湾”党建服务中心装修改造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8A0946" w:rsidRDefault="008A0946" w:rsidP="008A0946">
      <w:pPr>
        <w:ind w:right="944" w:firstLineChars="4100" w:firstLine="9676"/>
        <w:rPr>
          <w:rFonts w:ascii="宋体" w:hAnsi="宋体"/>
        </w:rPr>
      </w:pPr>
      <w:r>
        <w:rPr>
          <w:rFonts w:ascii="宋体" w:hAnsi="宋体" w:hint="eastAsia"/>
        </w:rPr>
        <w:t>采购信息编号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977"/>
        <w:gridCol w:w="850"/>
        <w:gridCol w:w="851"/>
        <w:gridCol w:w="1335"/>
        <w:gridCol w:w="1635"/>
        <w:gridCol w:w="1530"/>
        <w:gridCol w:w="1530"/>
      </w:tblGrid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  <w:r w:rsidRPr="008A0946">
              <w:rPr>
                <w:rFonts w:ascii="等线" w:eastAsia="宋体" w:hAnsi="等线" w:cs="等线" w:hint="eastAsia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  <w:r w:rsidRPr="008A0946">
              <w:rPr>
                <w:rFonts w:ascii="等线" w:eastAsia="宋体" w:hAnsi="等线" w:cs="等线" w:hint="eastAsia"/>
                <w:szCs w:val="24"/>
              </w:rPr>
              <w:t>项目名称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  <w:r w:rsidRPr="008A0946">
              <w:rPr>
                <w:rFonts w:ascii="等线" w:eastAsia="宋体" w:hAnsi="等线" w:cs="等线" w:hint="eastAsia"/>
                <w:szCs w:val="24"/>
              </w:rPr>
              <w:t>项目特征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  <w:r w:rsidRPr="008A0946">
              <w:rPr>
                <w:rFonts w:ascii="等线" w:eastAsia="宋体" w:hAnsi="等线" w:cs="等线" w:hint="eastAsia"/>
                <w:szCs w:val="24"/>
              </w:rPr>
              <w:t>计量单位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  <w:r w:rsidRPr="008A0946">
              <w:rPr>
                <w:rFonts w:ascii="等线" w:eastAsia="宋体" w:hAnsi="等线" w:cs="等线" w:hint="eastAsia"/>
                <w:szCs w:val="24"/>
              </w:rPr>
              <w:t>工程量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  <w:r w:rsidRPr="008A0946">
              <w:rPr>
                <w:rFonts w:ascii="等线" w:eastAsia="宋体" w:hAnsi="等线" w:cs="等线" w:hint="eastAsia"/>
                <w:szCs w:val="24"/>
              </w:rPr>
              <w:t>材料品牌</w:t>
            </w:r>
          </w:p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  <w:r w:rsidRPr="008A0946">
              <w:rPr>
                <w:rFonts w:ascii="等线" w:eastAsia="宋体" w:hAnsi="等线" w:cs="等线" w:hint="eastAsia"/>
                <w:szCs w:val="24"/>
              </w:rPr>
              <w:t>型号规格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  <w:r w:rsidRPr="008A0946">
              <w:rPr>
                <w:rFonts w:ascii="等线" w:eastAsia="宋体" w:hAnsi="等线" w:cs="等线" w:hint="eastAsia"/>
                <w:szCs w:val="24"/>
              </w:rPr>
              <w:t>综合单价（元）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  <w:r w:rsidRPr="008A0946">
              <w:rPr>
                <w:rFonts w:ascii="等线" w:eastAsia="宋体" w:hAnsi="等线" w:cs="等线" w:hint="eastAsia"/>
                <w:szCs w:val="24"/>
              </w:rPr>
              <w:t>合价（元）</w:t>
            </w: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 w:hint="eastAsia"/>
                <w:szCs w:val="24"/>
              </w:rPr>
            </w:pPr>
            <w:r w:rsidRPr="008A0946">
              <w:rPr>
                <w:rFonts w:ascii="等线" w:eastAsia="宋体" w:hAnsi="等线" w:cs="等线" w:hint="eastAsia"/>
                <w:szCs w:val="24"/>
              </w:rPr>
              <w:t>备注</w:t>
            </w: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原有背景墙拆除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含室内所需拆除的其他项目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地板铺设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强化复合；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厚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12mm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与效果图颜色一致。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7</w:t>
            </w: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踢脚线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与地板或效果</w:t>
            </w:r>
            <w:proofErr w:type="gramStart"/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图一致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4</w:t>
            </w: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墙面刷新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proofErr w:type="gramStart"/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含皮批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嵌，打磨；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proofErr w:type="gramStart"/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一底两度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40.8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橱柜、门板制作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生态面漆板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样式详见图纸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木门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免漆、复合门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proofErr w:type="gramStart"/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樘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石膏板隔墙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轻钢龙骨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75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系；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双面纸面石膏板封面；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3.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隔音棉填充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18.72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大理石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柜子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及窗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台面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9</w:t>
            </w: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.6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装饰墙底板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多层板；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石膏板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25.6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插座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、地面插座；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86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型（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10A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）；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五孔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  <w:r w:rsidRPr="008A0946">
              <w:rPr>
                <w:rFonts w:ascii="等线" w:eastAsia="宋体" w:hAnsi="等线" w:cs="等线"/>
                <w:szCs w:val="24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插座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墙面插座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86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型（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10A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）；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五孔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lastRenderedPageBreak/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网络插座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地面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网络线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六类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90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59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电源线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铜芯线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.5mm2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59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线管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管径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25mm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以内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59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开槽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1.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槽宽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8cm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以内；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含修复费用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proofErr w:type="gramStart"/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铝方通</w:t>
            </w:r>
            <w:proofErr w:type="gramEnd"/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吊顶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参照效果图及现场综合考虑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66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日光灯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 xml:space="preserve"> LED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明装条形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筒灯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样式参照效果图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窗帘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雪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弗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板雕刻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 xml:space="preserve"> 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厚度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 xml:space="preserve"> 1 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公分；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“永远跟党走启航新时代”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尺寸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20cm*10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正面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哑克力境像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 xml:space="preserve"> UV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 xml:space="preserve"> 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底用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 xml:space="preserve"> 8mm 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雪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弗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板，总厚度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 xml:space="preserve"> 1 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公分；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投影画面两边内容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雪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弗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板雕刻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 xml:space="preserve"> 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厚度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 xml:space="preserve"> 1 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公分；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“党的百年历程”；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尺寸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*1.7+1.5*0.5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雪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弗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板贴画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公分厚雪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弗板贴户外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写真；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.“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一至十九大内容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”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尺寸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.2m*0.6m*10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lastRenderedPageBreak/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雪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弗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板雕刻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1.1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公分厚；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宣传栏底下地标性建筑；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尺寸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0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.5*6.63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雪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弗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板贴画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1.1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公分厚雪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弗板贴户外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写真；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“国旗部分”；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尺寸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*1.1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8A0946" w:rsidTr="00ED1BEE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雪</w:t>
            </w: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弗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板雕刻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1.1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公分厚；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誓词部分；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3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尺寸</w:t>
            </w: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0</w:t>
            </w:r>
            <w:r w:rsidRPr="008A0946"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.7*0.4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A0946" w:rsidRPr="008A0946" w:rsidRDefault="008A0946" w:rsidP="008A0946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F23B90" w:rsidTr="008A09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46" w:rsidRPr="008A0946" w:rsidRDefault="008A0946" w:rsidP="000A4F17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暂定金额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b/>
                <w:szCs w:val="24"/>
              </w:rPr>
            </w:pPr>
            <w:r w:rsidRPr="008A0946">
              <w:rPr>
                <w:rFonts w:ascii="等线" w:eastAsia="宋体" w:hAnsi="等线" w:cs="等线" w:hint="eastAsia"/>
                <w:b/>
                <w:szCs w:val="24"/>
              </w:rPr>
              <w:t>5000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F23B90" w:rsidTr="008A09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46" w:rsidRPr="008A0946" w:rsidRDefault="008A0946" w:rsidP="000A4F17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proofErr w:type="gramStart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规</w:t>
            </w:r>
            <w:proofErr w:type="gramEnd"/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F23B90" w:rsidTr="008A09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46" w:rsidRPr="008A0946" w:rsidRDefault="008A0946" w:rsidP="000A4F17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安全防护、文明施工措施费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RPr="00F23B90" w:rsidTr="008A09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46" w:rsidRPr="008A0946" w:rsidRDefault="008A0946" w:rsidP="000A4F17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施工措施费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  <w:tr w:rsidR="008A0946" w:rsidTr="008A09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46" w:rsidRPr="008A0946" w:rsidRDefault="008A0946" w:rsidP="000A4F17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  <w:r w:rsidRPr="008A0946">
              <w:rPr>
                <w:rFonts w:ascii="等线" w:eastAsia="宋体" w:hAnsi="等线" w:cs="微软雅黑" w:hint="eastAsia"/>
                <w:color w:val="000000"/>
                <w:sz w:val="20"/>
                <w:szCs w:val="20"/>
                <w:lang w:bidi="ar"/>
              </w:rPr>
              <w:t>税金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8A0946">
            <w:pPr>
              <w:widowControl/>
              <w:jc w:val="left"/>
              <w:textAlignment w:val="center"/>
              <w:rPr>
                <w:rFonts w:ascii="等线" w:eastAsia="宋体" w:hAnsi="等线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46" w:rsidRPr="008A0946" w:rsidRDefault="008A0946" w:rsidP="000A4F17">
            <w:pPr>
              <w:jc w:val="center"/>
              <w:rPr>
                <w:rFonts w:ascii="等线" w:eastAsia="宋体" w:hAnsi="等线" w:cs="等线"/>
                <w:szCs w:val="24"/>
              </w:rPr>
            </w:pPr>
          </w:p>
        </w:tc>
      </w:tr>
    </w:tbl>
    <w:tbl>
      <w:tblPr>
        <w:tblStyle w:val="a5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7796"/>
      </w:tblGrid>
      <w:tr w:rsidR="008A0946" w:rsidTr="008A0946">
        <w:trPr>
          <w:trHeight w:val="680"/>
          <w:jc w:val="center"/>
        </w:trPr>
        <w:tc>
          <w:tcPr>
            <w:tcW w:w="704" w:type="dxa"/>
            <w:vAlign w:val="center"/>
          </w:tcPr>
          <w:p w:rsidR="008A0946" w:rsidRPr="00F23B90" w:rsidRDefault="008A0946" w:rsidP="000A4F17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33</w:t>
            </w:r>
          </w:p>
        </w:tc>
        <w:tc>
          <w:tcPr>
            <w:tcW w:w="5245" w:type="dxa"/>
            <w:vAlign w:val="center"/>
          </w:tcPr>
          <w:p w:rsidR="008A0946" w:rsidRDefault="008A0946" w:rsidP="000A4F1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7796" w:type="dxa"/>
          </w:tcPr>
          <w:p w:rsidR="008A0946" w:rsidRDefault="008A0946" w:rsidP="000A4F1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8A0946" w:rsidRDefault="008A0946" w:rsidP="008A0946">
      <w:pPr>
        <w:ind w:right="944"/>
        <w:rPr>
          <w:rFonts w:ascii="宋体" w:hAnsi="宋体" w:hint="eastAsia"/>
        </w:rPr>
      </w:pPr>
    </w:p>
    <w:p w:rsidR="00FB61F4" w:rsidRDefault="00FB61F4">
      <w:pPr>
        <w:spacing w:line="440" w:lineRule="exact"/>
        <w:rPr>
          <w:rFonts w:ascii="黑体" w:eastAsia="黑体" w:hAnsi="华文楷体" w:hint="eastAsia"/>
        </w:rPr>
      </w:pPr>
    </w:p>
    <w:p w:rsidR="00FB61F4" w:rsidRDefault="00C0015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FB61F4" w:rsidRDefault="00FB61F4">
      <w:pPr>
        <w:rPr>
          <w:rFonts w:ascii="黑体" w:eastAsia="黑体" w:hAnsi="华文楷体"/>
          <w:szCs w:val="21"/>
        </w:rPr>
      </w:pPr>
    </w:p>
    <w:p w:rsidR="00FB61F4" w:rsidRDefault="00FB61F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 w:rsidP="008A0946">
      <w:pPr>
        <w:widowControl/>
        <w:textAlignment w:val="center"/>
        <w:rPr>
          <w:rFonts w:ascii="黑体" w:eastAsia="黑体" w:hAnsi="宋体" w:cs="黑体" w:hint="eastAsia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  <w:bookmarkStart w:id="0" w:name="_GoBack"/>
      <w:bookmarkEnd w:id="0"/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</w:t>
      </w:r>
      <w:r w:rsidR="00F9409F">
        <w:rPr>
          <w:rFonts w:ascii="宋体" w:hAnsi="宋体" w:hint="eastAsia"/>
        </w:rPr>
        <w:t xml:space="preserve">                   </w:t>
      </w:r>
      <w:r>
        <w:rPr>
          <w:rFonts w:ascii="宋体" w:hAnsi="宋体" w:hint="eastAsia"/>
        </w:rPr>
        <w:t xml:space="preserve">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/>
    <w:sectPr w:rsidR="00FB61F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6B" w:rsidRDefault="002F676B">
      <w:r>
        <w:separator/>
      </w:r>
    </w:p>
  </w:endnote>
  <w:endnote w:type="continuationSeparator" w:id="0">
    <w:p w:rsidR="002F676B" w:rsidRDefault="002F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62" w:rsidRDefault="00676062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8A0946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8A0946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62" w:rsidRDefault="00676062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8A0946">
      <w:rPr>
        <w:noProof/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8A0946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6B" w:rsidRDefault="002F676B">
      <w:r>
        <w:separator/>
      </w:r>
    </w:p>
  </w:footnote>
  <w:footnote w:type="continuationSeparator" w:id="0">
    <w:p w:rsidR="002F676B" w:rsidRDefault="002F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62" w:rsidRDefault="008D1B07">
    <w:pPr>
      <w:spacing w:beforeLines="50" w:before="120" w:afterLines="50" w:after="120"/>
      <w:jc w:val="right"/>
    </w:pPr>
    <w:r w:rsidRPr="008D1B07">
      <w:rPr>
        <w:rFonts w:ascii="宋体" w:hAnsi="宋体" w:hint="eastAsia"/>
        <w:snapToGrid/>
        <w:spacing w:val="0"/>
        <w:sz w:val="18"/>
      </w:rPr>
      <w:t>上海海事大学“红色港湾”党建服务中心装修改造</w:t>
    </w:r>
    <w:r w:rsidR="00676062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7544F86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D9DE6"/>
    <w:multiLevelType w:val="singleLevel"/>
    <w:tmpl w:val="58ED9DE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69B16D82"/>
    <w:multiLevelType w:val="hybridMultilevel"/>
    <w:tmpl w:val="C6D21DD2"/>
    <w:lvl w:ilvl="0" w:tplc="D8D04C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06D16"/>
    <w:rsid w:val="00030F40"/>
    <w:rsid w:val="0005294E"/>
    <w:rsid w:val="00061BF1"/>
    <w:rsid w:val="000C00B0"/>
    <w:rsid w:val="00104C7A"/>
    <w:rsid w:val="00141D3B"/>
    <w:rsid w:val="00231A4A"/>
    <w:rsid w:val="00283623"/>
    <w:rsid w:val="002F676B"/>
    <w:rsid w:val="00343B38"/>
    <w:rsid w:val="00385B95"/>
    <w:rsid w:val="00386A17"/>
    <w:rsid w:val="003F02E5"/>
    <w:rsid w:val="00401AAB"/>
    <w:rsid w:val="004A3E85"/>
    <w:rsid w:val="00520B3C"/>
    <w:rsid w:val="005531C2"/>
    <w:rsid w:val="00553F11"/>
    <w:rsid w:val="0057785E"/>
    <w:rsid w:val="005A226C"/>
    <w:rsid w:val="00646F0D"/>
    <w:rsid w:val="00676062"/>
    <w:rsid w:val="006C4186"/>
    <w:rsid w:val="00734131"/>
    <w:rsid w:val="00780EFC"/>
    <w:rsid w:val="00802A07"/>
    <w:rsid w:val="0085703F"/>
    <w:rsid w:val="008A0946"/>
    <w:rsid w:val="008D1B07"/>
    <w:rsid w:val="00907E42"/>
    <w:rsid w:val="009B05A9"/>
    <w:rsid w:val="00A20E86"/>
    <w:rsid w:val="00A530DC"/>
    <w:rsid w:val="00A65584"/>
    <w:rsid w:val="00A77A5E"/>
    <w:rsid w:val="00A9329C"/>
    <w:rsid w:val="00B00F29"/>
    <w:rsid w:val="00B013BE"/>
    <w:rsid w:val="00B16242"/>
    <w:rsid w:val="00B953A7"/>
    <w:rsid w:val="00BF60D8"/>
    <w:rsid w:val="00C00156"/>
    <w:rsid w:val="00C150C2"/>
    <w:rsid w:val="00C37B66"/>
    <w:rsid w:val="00C42D66"/>
    <w:rsid w:val="00C6441C"/>
    <w:rsid w:val="00C64BF8"/>
    <w:rsid w:val="00C939FF"/>
    <w:rsid w:val="00CB2EFC"/>
    <w:rsid w:val="00CC65CD"/>
    <w:rsid w:val="00D45C04"/>
    <w:rsid w:val="00D513B8"/>
    <w:rsid w:val="00D5492C"/>
    <w:rsid w:val="00DF096E"/>
    <w:rsid w:val="00DF2FD3"/>
    <w:rsid w:val="00E213ED"/>
    <w:rsid w:val="00E35973"/>
    <w:rsid w:val="00EA123C"/>
    <w:rsid w:val="00F002AC"/>
    <w:rsid w:val="00F23B90"/>
    <w:rsid w:val="00F46872"/>
    <w:rsid w:val="00F9409F"/>
    <w:rsid w:val="00FB61F4"/>
    <w:rsid w:val="00FC2047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5A6CF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577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7</Pages>
  <Words>486</Words>
  <Characters>2771</Characters>
  <Application>Microsoft Office Word</Application>
  <DocSecurity>0</DocSecurity>
  <Lines>23</Lines>
  <Paragraphs>6</Paragraphs>
  <ScaleCrop>false</ScaleCrop>
  <Company>微软中国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C</cp:lastModifiedBy>
  <cp:revision>21</cp:revision>
  <cp:lastPrinted>2019-03-26T01:16:00Z</cp:lastPrinted>
  <dcterms:created xsi:type="dcterms:W3CDTF">2020-04-07T01:20:00Z</dcterms:created>
  <dcterms:modified xsi:type="dcterms:W3CDTF">2021-10-09T04:55:00Z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