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A4E12">
      <w:pPr>
        <w:kinsoku w:val="0"/>
        <w:overflowPunct w:val="0"/>
        <w:autoSpaceDE w:val="0"/>
        <w:autoSpaceDN w:val="0"/>
        <w:adjustRightInd w:val="0"/>
        <w:snapToGrid w:val="0"/>
        <w:spacing w:line="360" w:lineRule="auto"/>
        <w:jc w:val="center"/>
        <w:rPr>
          <w:b/>
          <w:color w:val="auto"/>
          <w:sz w:val="32"/>
          <w:szCs w:val="32"/>
        </w:rPr>
      </w:pPr>
      <w:r>
        <w:rPr>
          <w:rFonts w:hint="eastAsia"/>
          <w:b/>
          <w:color w:val="auto"/>
          <w:sz w:val="32"/>
          <w:szCs w:val="32"/>
        </w:rPr>
        <w:t>上海海事大学</w:t>
      </w:r>
      <w:r>
        <w:rPr>
          <w:rFonts w:hint="eastAsia"/>
          <w:b/>
          <w:color w:val="auto"/>
          <w:sz w:val="32"/>
          <w:szCs w:val="32"/>
          <w:lang w:val="en-US" w:eastAsia="zh-CN"/>
        </w:rPr>
        <w:t>部分学院楼、教学楼</w:t>
      </w:r>
      <w:r>
        <w:rPr>
          <w:rFonts w:hint="eastAsia"/>
          <w:b/>
          <w:color w:val="auto"/>
          <w:sz w:val="32"/>
          <w:szCs w:val="32"/>
        </w:rPr>
        <w:t>直饮</w:t>
      </w:r>
      <w:r>
        <w:rPr>
          <w:rFonts w:hint="eastAsia"/>
          <w:b/>
          <w:color w:val="auto"/>
          <w:sz w:val="32"/>
          <w:szCs w:val="32"/>
          <w:lang w:val="en-US" w:eastAsia="zh-CN"/>
        </w:rPr>
        <w:t>净水机租赁</w:t>
      </w:r>
      <w:r>
        <w:rPr>
          <w:rFonts w:hint="eastAsia"/>
          <w:b/>
          <w:color w:val="auto"/>
          <w:sz w:val="32"/>
          <w:szCs w:val="32"/>
        </w:rPr>
        <w:t>服务需求</w:t>
      </w:r>
    </w:p>
    <w:p w14:paraId="67B4E41A">
      <w:pPr>
        <w:kinsoku w:val="0"/>
        <w:overflowPunct w:val="0"/>
        <w:autoSpaceDE w:val="0"/>
        <w:autoSpaceDN w:val="0"/>
        <w:adjustRightInd w:val="0"/>
        <w:snapToGrid w:val="0"/>
        <w:spacing w:line="360" w:lineRule="auto"/>
        <w:jc w:val="center"/>
        <w:rPr>
          <w:b/>
          <w:color w:val="auto"/>
          <w:sz w:val="24"/>
        </w:rPr>
      </w:pPr>
    </w:p>
    <w:p w14:paraId="106AF2B6">
      <w:pPr>
        <w:kinsoku w:val="0"/>
        <w:overflowPunct w:val="0"/>
        <w:autoSpaceDE w:val="0"/>
        <w:autoSpaceDN w:val="0"/>
        <w:adjustRightInd w:val="0"/>
        <w:snapToGrid w:val="0"/>
        <w:spacing w:line="360" w:lineRule="auto"/>
        <w:jc w:val="left"/>
        <w:rPr>
          <w:rFonts w:ascii="宋体" w:hAnsi="宋体" w:cs="宋体"/>
          <w:b/>
          <w:color w:val="auto"/>
          <w:sz w:val="24"/>
        </w:rPr>
      </w:pPr>
      <w:r>
        <w:rPr>
          <w:rFonts w:hint="eastAsia"/>
          <w:b/>
          <w:color w:val="auto"/>
          <w:sz w:val="24"/>
        </w:rPr>
        <w:t>一、</w:t>
      </w:r>
      <w:r>
        <w:rPr>
          <w:rFonts w:hint="eastAsia" w:ascii="宋体" w:hAnsi="宋体"/>
          <w:b/>
          <w:color w:val="auto"/>
          <w:sz w:val="24"/>
        </w:rPr>
        <w:t>报价文件</w:t>
      </w:r>
      <w:r>
        <w:rPr>
          <w:rFonts w:hint="eastAsia" w:ascii="宋体" w:hAnsi="宋体" w:cs="Dotum"/>
          <w:b/>
          <w:color w:val="auto"/>
          <w:sz w:val="24"/>
        </w:rPr>
        <w:t>的</w:t>
      </w:r>
      <w:r>
        <w:rPr>
          <w:rFonts w:hint="eastAsia" w:ascii="宋体" w:hAnsi="宋体" w:cs="宋体"/>
          <w:b/>
          <w:color w:val="auto"/>
          <w:sz w:val="24"/>
        </w:rPr>
        <w:t>编写要求</w:t>
      </w:r>
    </w:p>
    <w:p w14:paraId="2AE9E55A">
      <w:pPr>
        <w:kinsoku w:val="0"/>
        <w:overflowPunct w:val="0"/>
        <w:autoSpaceDE w:val="0"/>
        <w:autoSpaceDN w:val="0"/>
        <w:adjustRightInd w:val="0"/>
        <w:snapToGrid w:val="0"/>
        <w:spacing w:line="360" w:lineRule="auto"/>
        <w:jc w:val="left"/>
        <w:rPr>
          <w:rFonts w:ascii="宋体" w:hAnsi="宋体"/>
          <w:b/>
          <w:color w:val="auto"/>
          <w:sz w:val="24"/>
        </w:rPr>
      </w:pPr>
      <w:r>
        <w:rPr>
          <w:rFonts w:hint="eastAsia" w:ascii="宋体" w:hAnsi="宋体"/>
          <w:b/>
          <w:color w:val="auto"/>
          <w:sz w:val="24"/>
        </w:rPr>
        <w:t>1. 要求</w:t>
      </w:r>
    </w:p>
    <w:p w14:paraId="2FB55DAA">
      <w:pPr>
        <w:kinsoku w:val="0"/>
        <w:overflowPunct w:val="0"/>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olor w:val="auto"/>
          <w:sz w:val="24"/>
        </w:rPr>
        <w:t>投</w:t>
      </w:r>
      <w:r>
        <w:rPr>
          <w:rFonts w:hint="eastAsia" w:ascii="宋体" w:hAnsi="宋体" w:cs="宋体"/>
          <w:color w:val="auto"/>
          <w:sz w:val="24"/>
        </w:rPr>
        <w:t>标</w:t>
      </w:r>
      <w:r>
        <w:rPr>
          <w:rFonts w:hint="eastAsia" w:ascii="宋体" w:hAnsi="宋体" w:cs="Dotum"/>
          <w:color w:val="auto"/>
          <w:sz w:val="24"/>
        </w:rPr>
        <w:t>方</w:t>
      </w:r>
      <w:r>
        <w:rPr>
          <w:rFonts w:hint="eastAsia" w:ascii="宋体" w:hAnsi="宋体" w:cs="宋体"/>
          <w:color w:val="auto"/>
          <w:sz w:val="24"/>
        </w:rPr>
        <w:t>应</w:t>
      </w:r>
      <w:r>
        <w:rPr>
          <w:rFonts w:hint="eastAsia" w:ascii="宋体" w:hAnsi="宋体" w:cs="Dotum"/>
          <w:color w:val="auto"/>
          <w:sz w:val="24"/>
        </w:rPr>
        <w:t>仔</w:t>
      </w:r>
      <w:r>
        <w:rPr>
          <w:rFonts w:hint="eastAsia" w:ascii="宋体" w:hAnsi="宋体" w:cs="宋体"/>
          <w:color w:val="auto"/>
          <w:sz w:val="24"/>
        </w:rPr>
        <w:t>细阅读</w:t>
      </w:r>
      <w:r>
        <w:rPr>
          <w:rFonts w:hint="eastAsia" w:ascii="宋体" w:hAnsi="宋体" w:cs="Dotum"/>
          <w:color w:val="auto"/>
          <w:sz w:val="24"/>
        </w:rPr>
        <w:t>询价文件的所有</w:t>
      </w:r>
      <w:r>
        <w:rPr>
          <w:rFonts w:hint="eastAsia" w:ascii="宋体" w:hAnsi="宋体" w:cs="宋体"/>
          <w:color w:val="auto"/>
          <w:sz w:val="24"/>
        </w:rPr>
        <w:t>内</w:t>
      </w:r>
      <w:r>
        <w:rPr>
          <w:rFonts w:hint="eastAsia" w:ascii="宋体" w:hAnsi="宋体" w:cs="Dotum"/>
          <w:color w:val="auto"/>
          <w:sz w:val="24"/>
        </w:rPr>
        <w:t>容，按询价文件的要求提供报价文件，</w:t>
      </w:r>
      <w:r>
        <w:rPr>
          <w:rFonts w:hint="eastAsia" w:ascii="宋体" w:hAnsi="宋体" w:cs="宋体"/>
          <w:color w:val="auto"/>
          <w:sz w:val="24"/>
        </w:rPr>
        <w:t>并</w:t>
      </w:r>
      <w:r>
        <w:rPr>
          <w:rFonts w:hint="eastAsia" w:ascii="宋体" w:hAnsi="宋体" w:cs="Dotum"/>
          <w:color w:val="auto"/>
          <w:sz w:val="24"/>
        </w:rPr>
        <w:t>保</w:t>
      </w:r>
      <w:r>
        <w:rPr>
          <w:rFonts w:hint="eastAsia" w:ascii="宋体" w:hAnsi="宋体" w:cs="宋体"/>
          <w:color w:val="auto"/>
          <w:sz w:val="24"/>
        </w:rPr>
        <w:t>证</w:t>
      </w:r>
      <w:r>
        <w:rPr>
          <w:rFonts w:hint="eastAsia" w:ascii="宋体" w:hAnsi="宋体" w:cs="Dotum"/>
          <w:color w:val="auto"/>
          <w:sz w:val="24"/>
        </w:rPr>
        <w:t>所提供的全部</w:t>
      </w:r>
      <w:r>
        <w:rPr>
          <w:rFonts w:hint="eastAsia" w:ascii="宋体" w:hAnsi="宋体" w:cs="宋体"/>
          <w:color w:val="auto"/>
          <w:sz w:val="24"/>
        </w:rPr>
        <w:t>资</w:t>
      </w:r>
      <w:r>
        <w:rPr>
          <w:rFonts w:hint="eastAsia" w:ascii="宋体" w:hAnsi="宋体" w:cs="Dotum"/>
          <w:color w:val="auto"/>
          <w:sz w:val="24"/>
        </w:rPr>
        <w:t>料的</w:t>
      </w:r>
      <w:r>
        <w:rPr>
          <w:rFonts w:hint="eastAsia" w:ascii="宋体" w:hAnsi="宋体" w:cs="宋体"/>
          <w:color w:val="auto"/>
          <w:sz w:val="24"/>
        </w:rPr>
        <w:t>真实</w:t>
      </w:r>
      <w:r>
        <w:rPr>
          <w:rFonts w:hint="eastAsia" w:ascii="宋体" w:hAnsi="宋体" w:cs="Dotum"/>
          <w:color w:val="auto"/>
          <w:sz w:val="24"/>
        </w:rPr>
        <w:t>性，确保</w:t>
      </w:r>
      <w:r>
        <w:rPr>
          <w:rFonts w:hint="eastAsia" w:ascii="宋体" w:hAnsi="宋体" w:cs="宋体"/>
          <w:color w:val="auto"/>
          <w:sz w:val="24"/>
        </w:rPr>
        <w:t>对询价</w:t>
      </w:r>
      <w:r>
        <w:rPr>
          <w:rFonts w:hint="eastAsia" w:ascii="宋体" w:hAnsi="宋体" w:cs="Dotum"/>
          <w:color w:val="auto"/>
          <w:sz w:val="24"/>
        </w:rPr>
        <w:t>文件作出</w:t>
      </w:r>
      <w:r>
        <w:rPr>
          <w:rFonts w:hint="eastAsia" w:ascii="宋体" w:hAnsi="宋体" w:cs="宋体"/>
          <w:color w:val="auto"/>
          <w:sz w:val="24"/>
        </w:rPr>
        <w:t>实质</w:t>
      </w:r>
      <w:r>
        <w:rPr>
          <w:rFonts w:hint="eastAsia" w:ascii="宋体" w:hAnsi="宋体" w:cs="Dotum"/>
          <w:color w:val="auto"/>
          <w:sz w:val="24"/>
        </w:rPr>
        <w:t>性</w:t>
      </w:r>
      <w:r>
        <w:rPr>
          <w:rFonts w:hint="eastAsia" w:ascii="宋体" w:hAnsi="宋体" w:cs="宋体"/>
          <w:color w:val="auto"/>
          <w:sz w:val="24"/>
        </w:rPr>
        <w:t>响应。</w:t>
      </w:r>
    </w:p>
    <w:p w14:paraId="49370BDC">
      <w:pPr>
        <w:kinsoku w:val="0"/>
        <w:overflowPunct w:val="0"/>
        <w:autoSpaceDE w:val="0"/>
        <w:autoSpaceDN w:val="0"/>
        <w:adjustRightInd w:val="0"/>
        <w:snapToGrid w:val="0"/>
        <w:spacing w:line="360" w:lineRule="auto"/>
        <w:jc w:val="left"/>
        <w:rPr>
          <w:rFonts w:hint="eastAsia" w:ascii="宋体" w:hAnsi="宋体"/>
          <w:b/>
          <w:color w:val="auto"/>
          <w:sz w:val="24"/>
        </w:rPr>
      </w:pPr>
      <w:r>
        <w:rPr>
          <w:rFonts w:hint="eastAsia" w:ascii="宋体" w:hAnsi="宋体"/>
          <w:b/>
          <w:color w:val="auto"/>
          <w:sz w:val="24"/>
        </w:rPr>
        <w:t>2. 投标单位资格审核要求</w:t>
      </w:r>
    </w:p>
    <w:p w14:paraId="20DF72AD">
      <w:pPr>
        <w:kinsoku w:val="0"/>
        <w:overflowPunct w:val="0"/>
        <w:autoSpaceDE w:val="0"/>
        <w:autoSpaceDN w:val="0"/>
        <w:adjustRightInd w:val="0"/>
        <w:snapToGrid w:val="0"/>
        <w:spacing w:line="360" w:lineRule="auto"/>
        <w:textAlignment w:val="bottom"/>
        <w:rPr>
          <w:color w:val="auto"/>
          <w:sz w:val="24"/>
        </w:rPr>
      </w:pPr>
      <w:r>
        <w:rPr>
          <w:rFonts w:hint="eastAsia" w:ascii="宋体" w:hAnsi="宋体"/>
          <w:color w:val="auto"/>
          <w:sz w:val="24"/>
          <w:lang w:eastAsia="zh-CN"/>
        </w:rPr>
        <w:t>（</w:t>
      </w:r>
      <w:r>
        <w:rPr>
          <w:rFonts w:hint="eastAsia" w:ascii="宋体" w:hAnsi="宋体"/>
          <w:color w:val="auto"/>
          <w:sz w:val="24"/>
        </w:rPr>
        <w:t>1）</w:t>
      </w:r>
      <w:r>
        <w:rPr>
          <w:rFonts w:hint="eastAsia" w:ascii="宋体" w:hAnsi="宋体" w:cs="宋体"/>
          <w:color w:val="auto"/>
          <w:kern w:val="0"/>
          <w:sz w:val="24"/>
        </w:rPr>
        <w:t>投标单位须经国家工商行政管理部门登记注册，具有独立法人资格，具有相应经营范围</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无经营风险和法律纠纷，具备履约能力</w:t>
      </w:r>
      <w:r>
        <w:rPr>
          <w:rFonts w:hint="eastAsia" w:ascii="宋体" w:hAnsi="宋体" w:cs="宋体"/>
          <w:color w:val="auto"/>
          <w:kern w:val="0"/>
          <w:sz w:val="24"/>
        </w:rPr>
        <w:t>；</w:t>
      </w:r>
    </w:p>
    <w:p w14:paraId="00386DB3">
      <w:pPr>
        <w:kinsoku w:val="0"/>
        <w:overflowPunct w:val="0"/>
        <w:autoSpaceDE w:val="0"/>
        <w:autoSpaceDN w:val="0"/>
        <w:adjustRightInd w:val="0"/>
        <w:snapToGrid w:val="0"/>
        <w:spacing w:line="360" w:lineRule="auto"/>
        <w:jc w:val="left"/>
        <w:rPr>
          <w:color w:val="auto"/>
          <w:sz w:val="24"/>
        </w:rPr>
      </w:pPr>
      <w:r>
        <w:rPr>
          <w:rFonts w:hint="eastAsia"/>
          <w:color w:val="auto"/>
          <w:sz w:val="24"/>
          <w:lang w:eastAsia="zh-CN"/>
        </w:rPr>
        <w:t>（</w:t>
      </w:r>
      <w:r>
        <w:rPr>
          <w:color w:val="auto"/>
          <w:sz w:val="24"/>
        </w:rPr>
        <w:t>2</w:t>
      </w:r>
      <w:r>
        <w:rPr>
          <w:rFonts w:hint="eastAsia"/>
          <w:color w:val="auto"/>
          <w:sz w:val="24"/>
        </w:rPr>
        <w:t>）投标单位应具有履行合同所必需的</w:t>
      </w:r>
      <w:r>
        <w:rPr>
          <w:rFonts w:hint="eastAsia"/>
          <w:color w:val="auto"/>
          <w:sz w:val="24"/>
          <w:lang w:val="en-US" w:eastAsia="zh-CN"/>
        </w:rPr>
        <w:t>足够</w:t>
      </w:r>
      <w:r>
        <w:rPr>
          <w:rFonts w:hint="eastAsia"/>
          <w:color w:val="auto"/>
          <w:sz w:val="24"/>
        </w:rPr>
        <w:t>设备和专业技术能力，所配备产品须有</w:t>
      </w:r>
      <w:r>
        <w:rPr>
          <w:color w:val="auto"/>
          <w:sz w:val="24"/>
        </w:rPr>
        <w:t>3C</w:t>
      </w:r>
      <w:r>
        <w:rPr>
          <w:rFonts w:hint="eastAsia"/>
          <w:color w:val="auto"/>
          <w:sz w:val="24"/>
          <w:lang w:val="en-US" w:eastAsia="zh-CN"/>
        </w:rPr>
        <w:t>认证</w:t>
      </w:r>
      <w:r>
        <w:rPr>
          <w:rFonts w:hint="eastAsia"/>
          <w:color w:val="auto"/>
          <w:sz w:val="24"/>
        </w:rPr>
        <w:t>证书</w:t>
      </w:r>
      <w:r>
        <w:rPr>
          <w:rFonts w:hint="eastAsia"/>
          <w:color w:val="auto"/>
          <w:sz w:val="24"/>
          <w:lang w:val="en-US" w:eastAsia="zh-CN"/>
        </w:rPr>
        <w:t>和相应的卫生许可批件</w:t>
      </w:r>
      <w:r>
        <w:rPr>
          <w:rFonts w:hint="eastAsia"/>
          <w:color w:val="auto"/>
          <w:sz w:val="24"/>
        </w:rPr>
        <w:t>；</w:t>
      </w:r>
    </w:p>
    <w:p w14:paraId="01BA4C50">
      <w:pPr>
        <w:kinsoku w:val="0"/>
        <w:overflowPunct w:val="0"/>
        <w:autoSpaceDE w:val="0"/>
        <w:autoSpaceDN w:val="0"/>
        <w:adjustRightInd w:val="0"/>
        <w:snapToGrid w:val="0"/>
        <w:spacing w:line="360" w:lineRule="auto"/>
        <w:jc w:val="left"/>
        <w:rPr>
          <w:color w:val="auto"/>
          <w:sz w:val="24"/>
        </w:rPr>
      </w:pPr>
      <w:r>
        <w:rPr>
          <w:rFonts w:hint="eastAsia"/>
          <w:color w:val="auto"/>
          <w:sz w:val="24"/>
          <w:lang w:eastAsia="zh-CN"/>
        </w:rPr>
        <w:t>（</w:t>
      </w:r>
      <w:r>
        <w:rPr>
          <w:color w:val="auto"/>
          <w:sz w:val="24"/>
        </w:rPr>
        <w:t>3</w:t>
      </w:r>
      <w:r>
        <w:rPr>
          <w:rFonts w:hint="eastAsia"/>
          <w:color w:val="auto"/>
          <w:sz w:val="24"/>
        </w:rPr>
        <w:t>）报价时须提供公司营业执照；</w:t>
      </w:r>
      <w:r>
        <w:rPr>
          <w:rFonts w:hint="eastAsia" w:ascii="宋体" w:hAnsi="宋体" w:cs="宋体"/>
          <w:color w:val="auto"/>
          <w:kern w:val="0"/>
          <w:sz w:val="24"/>
        </w:rPr>
        <w:t>涉及饮用水卫生安全产品卫生许可批件；</w:t>
      </w:r>
      <w:r>
        <w:rPr>
          <w:rFonts w:hint="eastAsia"/>
          <w:color w:val="auto"/>
          <w:sz w:val="24"/>
        </w:rPr>
        <w:t>所配备产品</w:t>
      </w:r>
      <w:r>
        <w:rPr>
          <w:rFonts w:hint="eastAsia" w:ascii="宋体" w:hAnsi="宋体" w:cs="宋体"/>
          <w:color w:val="auto"/>
          <w:kern w:val="0"/>
          <w:sz w:val="24"/>
        </w:rPr>
        <w:t>技术说明</w:t>
      </w:r>
      <w:r>
        <w:rPr>
          <w:rFonts w:hint="eastAsia"/>
          <w:color w:val="auto"/>
          <w:sz w:val="24"/>
        </w:rPr>
        <w:t>及服务方案；</w:t>
      </w:r>
    </w:p>
    <w:p w14:paraId="465DA148">
      <w:pPr>
        <w:kinsoku w:val="0"/>
        <w:overflowPunct w:val="0"/>
        <w:autoSpaceDE w:val="0"/>
        <w:autoSpaceDN w:val="0"/>
        <w:adjustRightInd w:val="0"/>
        <w:snapToGrid w:val="0"/>
        <w:spacing w:line="360" w:lineRule="auto"/>
        <w:jc w:val="left"/>
        <w:rPr>
          <w:color w:val="auto"/>
          <w:sz w:val="24"/>
        </w:rPr>
      </w:pPr>
      <w:r>
        <w:rPr>
          <w:rFonts w:hint="eastAsia"/>
          <w:color w:val="auto"/>
          <w:sz w:val="24"/>
          <w:lang w:eastAsia="zh-CN"/>
        </w:rPr>
        <w:t>（</w:t>
      </w:r>
      <w:r>
        <w:rPr>
          <w:color w:val="auto"/>
          <w:sz w:val="24"/>
        </w:rPr>
        <w:t>4</w:t>
      </w:r>
      <w:r>
        <w:rPr>
          <w:rFonts w:hint="eastAsia"/>
          <w:color w:val="auto"/>
          <w:sz w:val="24"/>
        </w:rPr>
        <w:t>）</w:t>
      </w:r>
      <w:r>
        <w:rPr>
          <w:rFonts w:hint="eastAsia"/>
          <w:color w:val="auto"/>
          <w:sz w:val="24"/>
          <w:lang w:val="en-US" w:eastAsia="zh-CN"/>
        </w:rPr>
        <w:t>近三年</w:t>
      </w:r>
      <w:r>
        <w:rPr>
          <w:rFonts w:hint="eastAsia"/>
          <w:color w:val="auto"/>
          <w:sz w:val="24"/>
        </w:rPr>
        <w:t>具有学校服务类似业绩。</w:t>
      </w:r>
    </w:p>
    <w:p w14:paraId="0572C0A6">
      <w:pPr>
        <w:kinsoku w:val="0"/>
        <w:overflowPunct w:val="0"/>
        <w:autoSpaceDE w:val="0"/>
        <w:autoSpaceDN w:val="0"/>
        <w:adjustRightInd w:val="0"/>
        <w:snapToGrid w:val="0"/>
        <w:spacing w:line="360" w:lineRule="auto"/>
        <w:jc w:val="left"/>
        <w:rPr>
          <w:rFonts w:hint="eastAsia" w:ascii="宋体" w:hAnsi="宋体"/>
          <w:b/>
          <w:color w:val="auto"/>
          <w:sz w:val="24"/>
        </w:rPr>
      </w:pPr>
      <w:r>
        <w:rPr>
          <w:rFonts w:hint="eastAsia" w:ascii="宋体" w:hAnsi="宋体"/>
          <w:b/>
          <w:color w:val="auto"/>
          <w:sz w:val="24"/>
        </w:rPr>
        <w:t>3. 报价文件的组成</w:t>
      </w:r>
    </w:p>
    <w:p w14:paraId="4D3924ED">
      <w:pPr>
        <w:kinsoku w:val="0"/>
        <w:overflowPunct w:val="0"/>
        <w:autoSpaceDE w:val="0"/>
        <w:autoSpaceDN w:val="0"/>
        <w:adjustRightInd w:val="0"/>
        <w:snapToGrid w:val="0"/>
        <w:spacing w:line="360" w:lineRule="auto"/>
        <w:jc w:val="left"/>
        <w:rPr>
          <w:rFonts w:ascii="宋体" w:hAnsi="宋体"/>
          <w:color w:val="auto"/>
          <w:sz w:val="24"/>
        </w:rPr>
      </w:pPr>
      <w:r>
        <w:rPr>
          <w:rFonts w:hint="eastAsia" w:ascii="宋体" w:hAnsi="宋体"/>
          <w:color w:val="auto"/>
          <w:sz w:val="24"/>
          <w:lang w:eastAsia="zh-CN"/>
        </w:rPr>
        <w:t>（</w:t>
      </w:r>
      <w:r>
        <w:rPr>
          <w:rFonts w:hint="eastAsia" w:ascii="宋体" w:hAnsi="宋体"/>
          <w:color w:val="auto"/>
          <w:sz w:val="24"/>
        </w:rPr>
        <w:t>1）报价单（须</w:t>
      </w:r>
      <w:r>
        <w:rPr>
          <w:rFonts w:hint="eastAsia"/>
          <w:color w:val="auto"/>
          <w:sz w:val="24"/>
        </w:rPr>
        <w:t>经企业法人代表签字，加盖单位公章</w:t>
      </w:r>
      <w:r>
        <w:rPr>
          <w:rFonts w:hint="eastAsia" w:ascii="宋体" w:hAnsi="宋体"/>
          <w:color w:val="auto"/>
          <w:sz w:val="24"/>
        </w:rPr>
        <w:t>）；</w:t>
      </w:r>
    </w:p>
    <w:p w14:paraId="34587739">
      <w:pPr>
        <w:kinsoku w:val="0"/>
        <w:overflowPunct w:val="0"/>
        <w:autoSpaceDE w:val="0"/>
        <w:autoSpaceDN w:val="0"/>
        <w:adjustRightInd w:val="0"/>
        <w:snapToGrid w:val="0"/>
        <w:spacing w:line="360" w:lineRule="auto"/>
        <w:jc w:val="left"/>
        <w:rPr>
          <w:rFonts w:ascii="宋体" w:hAnsi="宋体"/>
          <w:color w:val="auto"/>
          <w:sz w:val="24"/>
        </w:rPr>
      </w:pPr>
      <w:r>
        <w:rPr>
          <w:rFonts w:hint="eastAsia" w:ascii="宋体" w:hAnsi="宋体"/>
          <w:color w:val="auto"/>
          <w:sz w:val="24"/>
          <w:lang w:eastAsia="zh-CN"/>
        </w:rPr>
        <w:t>（</w:t>
      </w:r>
      <w:r>
        <w:rPr>
          <w:rFonts w:hint="eastAsia" w:ascii="宋体" w:hAnsi="宋体"/>
          <w:color w:val="auto"/>
          <w:sz w:val="24"/>
        </w:rPr>
        <w:t>2）资质证明文件：</w:t>
      </w:r>
    </w:p>
    <w:p w14:paraId="366F834D">
      <w:pPr>
        <w:kinsoku w:val="0"/>
        <w:overflowPunct w:val="0"/>
        <w:autoSpaceDE w:val="0"/>
        <w:autoSpaceDN w:val="0"/>
        <w:adjustRightInd w:val="0"/>
        <w:snapToGrid w:val="0"/>
        <w:spacing w:line="360" w:lineRule="auto"/>
        <w:ind w:firstLine="240" w:firstLineChars="100"/>
        <w:rPr>
          <w:rFonts w:hint="eastAsia" w:ascii="宋体" w:hAnsi="宋体" w:eastAsia="宋体"/>
          <w:color w:val="auto"/>
          <w:sz w:val="24"/>
          <w:lang w:eastAsia="zh-CN"/>
        </w:rPr>
      </w:pPr>
      <w:r>
        <w:rPr>
          <w:rFonts w:hint="eastAsia" w:ascii="宋体" w:hAnsi="宋体"/>
          <w:color w:val="auto"/>
          <w:sz w:val="24"/>
        </w:rPr>
        <w:t>1）营业执照（</w:t>
      </w:r>
      <w:r>
        <w:rPr>
          <w:rFonts w:hint="eastAsia"/>
          <w:color w:val="auto"/>
          <w:sz w:val="24"/>
        </w:rPr>
        <w:t>复印件并加盖公章</w:t>
      </w:r>
      <w:r>
        <w:rPr>
          <w:rFonts w:hint="eastAsia" w:ascii="宋体" w:hAnsi="宋体"/>
          <w:color w:val="auto"/>
          <w:sz w:val="24"/>
        </w:rPr>
        <w:t>）</w:t>
      </w:r>
      <w:r>
        <w:rPr>
          <w:rFonts w:hint="eastAsia" w:ascii="宋体" w:hAnsi="宋体"/>
          <w:color w:val="auto"/>
          <w:sz w:val="24"/>
          <w:lang w:eastAsia="zh-CN"/>
        </w:rPr>
        <w:t>；</w:t>
      </w:r>
    </w:p>
    <w:p w14:paraId="252C871D">
      <w:pPr>
        <w:kinsoku w:val="0"/>
        <w:overflowPunct w:val="0"/>
        <w:autoSpaceDE w:val="0"/>
        <w:autoSpaceDN w:val="0"/>
        <w:adjustRightInd w:val="0"/>
        <w:snapToGrid w:val="0"/>
        <w:spacing w:line="360" w:lineRule="auto"/>
        <w:ind w:firstLine="240" w:firstLineChars="100"/>
        <w:rPr>
          <w:rFonts w:ascii="宋体" w:hAnsi="宋体"/>
          <w:color w:val="auto"/>
          <w:sz w:val="24"/>
        </w:rPr>
      </w:pPr>
      <w:r>
        <w:rPr>
          <w:rFonts w:hint="eastAsia" w:ascii="宋体" w:hAnsi="宋体"/>
          <w:color w:val="auto"/>
          <w:sz w:val="24"/>
        </w:rPr>
        <w:t>2）</w:t>
      </w:r>
      <w:r>
        <w:rPr>
          <w:rFonts w:hint="eastAsia" w:ascii="宋体" w:hAnsi="宋体" w:cs="宋体"/>
          <w:color w:val="auto"/>
          <w:kern w:val="0"/>
          <w:sz w:val="24"/>
        </w:rPr>
        <w:t>涉及饮用水卫生安全产品卫生许可批件；</w:t>
      </w:r>
    </w:p>
    <w:p w14:paraId="79108084">
      <w:pPr>
        <w:kinsoku w:val="0"/>
        <w:overflowPunct w:val="0"/>
        <w:autoSpaceDE w:val="0"/>
        <w:autoSpaceDN w:val="0"/>
        <w:adjustRightInd w:val="0"/>
        <w:snapToGrid w:val="0"/>
        <w:spacing w:line="360" w:lineRule="auto"/>
        <w:ind w:firstLine="240" w:firstLineChars="100"/>
        <w:rPr>
          <w:rFonts w:ascii="宋体" w:hAnsi="宋体"/>
          <w:color w:val="auto"/>
          <w:sz w:val="24"/>
        </w:rPr>
      </w:pPr>
      <w:r>
        <w:rPr>
          <w:rFonts w:hint="eastAsia" w:ascii="宋体" w:hAnsi="宋体"/>
          <w:color w:val="auto"/>
          <w:sz w:val="24"/>
        </w:rPr>
        <w:t>3）所配备产品的</w:t>
      </w:r>
      <w:r>
        <w:rPr>
          <w:rFonts w:hint="eastAsia" w:ascii="宋体" w:hAnsi="宋体" w:cs="宋体"/>
          <w:color w:val="auto"/>
          <w:kern w:val="0"/>
          <w:sz w:val="24"/>
        </w:rPr>
        <w:t>3C认证</w:t>
      </w:r>
      <w:r>
        <w:rPr>
          <w:rFonts w:hint="eastAsia" w:ascii="宋体" w:hAnsi="宋体"/>
          <w:color w:val="auto"/>
          <w:sz w:val="24"/>
        </w:rPr>
        <w:t>证书；</w:t>
      </w:r>
    </w:p>
    <w:p w14:paraId="6A32BC50">
      <w:pPr>
        <w:kinsoku w:val="0"/>
        <w:overflowPunct w:val="0"/>
        <w:autoSpaceDE w:val="0"/>
        <w:autoSpaceDN w:val="0"/>
        <w:adjustRightInd w:val="0"/>
        <w:snapToGrid w:val="0"/>
        <w:spacing w:line="360" w:lineRule="auto"/>
        <w:jc w:val="left"/>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）所配备产品的</w:t>
      </w:r>
      <w:r>
        <w:rPr>
          <w:rFonts w:hint="eastAsia" w:ascii="宋体" w:hAnsi="宋体" w:cs="宋体"/>
          <w:color w:val="auto"/>
          <w:kern w:val="0"/>
          <w:sz w:val="24"/>
        </w:rPr>
        <w:t>详细外观</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出水口</w:t>
      </w:r>
      <w:r>
        <w:rPr>
          <w:rFonts w:hint="eastAsia" w:ascii="宋体" w:hAnsi="宋体" w:cs="宋体"/>
          <w:color w:val="auto"/>
          <w:kern w:val="0"/>
          <w:sz w:val="24"/>
        </w:rPr>
        <w:t>尺寸、技术说明（含净化技术说明）</w:t>
      </w:r>
      <w:r>
        <w:rPr>
          <w:rFonts w:hint="eastAsia" w:ascii="宋体" w:hAnsi="宋体"/>
          <w:color w:val="auto"/>
          <w:sz w:val="24"/>
        </w:rPr>
        <w:t>；</w:t>
      </w:r>
    </w:p>
    <w:p w14:paraId="56460C05">
      <w:pPr>
        <w:kinsoku w:val="0"/>
        <w:overflowPunct w:val="0"/>
        <w:autoSpaceDE w:val="0"/>
        <w:autoSpaceDN w:val="0"/>
        <w:adjustRightInd w:val="0"/>
        <w:snapToGrid w:val="0"/>
        <w:spacing w:line="360" w:lineRule="auto"/>
        <w:jc w:val="left"/>
        <w:rPr>
          <w:rFonts w:ascii="宋体" w:hAnsi="宋体" w:cs="宋体"/>
          <w:color w:val="auto"/>
          <w:kern w:val="0"/>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s="宋体"/>
          <w:color w:val="auto"/>
          <w:kern w:val="0"/>
          <w:sz w:val="24"/>
        </w:rPr>
        <w:t>服务方案及报修响应时间；</w:t>
      </w:r>
    </w:p>
    <w:p w14:paraId="3D315424">
      <w:pPr>
        <w:kinsoku w:val="0"/>
        <w:overflowPunct w:val="0"/>
        <w:autoSpaceDE w:val="0"/>
        <w:autoSpaceDN w:val="0"/>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5</w:t>
      </w:r>
      <w:r>
        <w:rPr>
          <w:rFonts w:hint="eastAsia" w:ascii="宋体" w:hAnsi="宋体" w:cs="宋体"/>
          <w:color w:val="auto"/>
          <w:kern w:val="0"/>
          <w:sz w:val="24"/>
        </w:rPr>
        <w:t>）维保人员证书；</w:t>
      </w:r>
    </w:p>
    <w:p w14:paraId="0E202081">
      <w:pPr>
        <w:kinsoku w:val="0"/>
        <w:overflowPunct w:val="0"/>
        <w:autoSpaceDE w:val="0"/>
        <w:autoSpaceDN w:val="0"/>
        <w:adjustRightInd w:val="0"/>
        <w:snapToGrid w:val="0"/>
        <w:spacing w:line="360" w:lineRule="auto"/>
        <w:jc w:val="left"/>
        <w:rPr>
          <w:rFonts w:ascii="宋体" w:hAnsi="宋体"/>
          <w:color w:val="auto"/>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6</w:t>
      </w:r>
      <w:r>
        <w:rPr>
          <w:rFonts w:hint="eastAsia" w:ascii="宋体" w:hAnsi="宋体" w:cs="宋体"/>
          <w:color w:val="auto"/>
          <w:kern w:val="0"/>
          <w:sz w:val="24"/>
        </w:rPr>
        <w:t>）近三年高校服务业绩（提供合同）；</w:t>
      </w:r>
    </w:p>
    <w:p w14:paraId="47CCD1A0">
      <w:pPr>
        <w:kinsoku w:val="0"/>
        <w:overflowPunct w:val="0"/>
        <w:autoSpaceDE w:val="0"/>
        <w:autoSpaceDN w:val="0"/>
        <w:adjustRightInd w:val="0"/>
        <w:snapToGrid w:val="0"/>
        <w:spacing w:line="360" w:lineRule="auto"/>
        <w:jc w:val="left"/>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7</w:t>
      </w:r>
      <w:r>
        <w:rPr>
          <w:rFonts w:hint="eastAsia" w:ascii="宋体" w:hAnsi="宋体"/>
          <w:color w:val="auto"/>
          <w:sz w:val="24"/>
        </w:rPr>
        <w:t>）投标人认为有必要表述的其他相关内容；</w:t>
      </w:r>
    </w:p>
    <w:p w14:paraId="0860E3DE">
      <w:pPr>
        <w:kinsoku w:val="0"/>
        <w:overflowPunct w:val="0"/>
        <w:autoSpaceDE w:val="0"/>
        <w:autoSpaceDN w:val="0"/>
        <w:adjustRightInd w:val="0"/>
        <w:snapToGrid w:val="0"/>
        <w:spacing w:line="360" w:lineRule="auto"/>
        <w:jc w:val="left"/>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8</w:t>
      </w:r>
      <w:r>
        <w:rPr>
          <w:rFonts w:hint="eastAsia" w:ascii="宋体" w:hAnsi="宋体"/>
          <w:color w:val="auto"/>
          <w:sz w:val="24"/>
        </w:rPr>
        <w:t>）</w:t>
      </w:r>
      <w:r>
        <w:rPr>
          <w:rFonts w:hint="eastAsia" w:ascii="宋体" w:hAnsi="宋体"/>
          <w:color w:val="auto"/>
          <w:sz w:val="24"/>
          <w:lang w:val="en-US" w:eastAsia="zh-CN"/>
        </w:rPr>
        <w:t>服务</w:t>
      </w:r>
      <w:r>
        <w:rPr>
          <w:rFonts w:hint="eastAsia" w:ascii="宋体" w:hAnsi="宋体"/>
          <w:color w:val="auto"/>
          <w:sz w:val="24"/>
        </w:rPr>
        <w:t>承诺；</w:t>
      </w:r>
    </w:p>
    <w:p w14:paraId="15C44D47">
      <w:pPr>
        <w:kinsoku w:val="0"/>
        <w:overflowPunct w:val="0"/>
        <w:autoSpaceDE w:val="0"/>
        <w:autoSpaceDN w:val="0"/>
        <w:adjustRightInd w:val="0"/>
        <w:snapToGrid w:val="0"/>
        <w:spacing w:line="360" w:lineRule="auto"/>
        <w:jc w:val="left"/>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9</w:t>
      </w:r>
      <w:r>
        <w:rPr>
          <w:rFonts w:hint="eastAsia" w:ascii="宋体" w:hAnsi="宋体"/>
          <w:color w:val="auto"/>
          <w:sz w:val="24"/>
        </w:rPr>
        <w:t>）处罚承诺。</w:t>
      </w:r>
    </w:p>
    <w:p w14:paraId="61AB4A67">
      <w:pPr>
        <w:kinsoku w:val="0"/>
        <w:overflowPunct w:val="0"/>
        <w:autoSpaceDE w:val="0"/>
        <w:autoSpaceDN w:val="0"/>
        <w:adjustRightInd w:val="0"/>
        <w:snapToGrid w:val="0"/>
        <w:spacing w:line="360" w:lineRule="auto"/>
        <w:jc w:val="left"/>
        <w:rPr>
          <w:rFonts w:hint="eastAsia" w:ascii="宋体" w:hAnsi="宋体"/>
          <w:b/>
          <w:color w:val="auto"/>
          <w:sz w:val="24"/>
        </w:rPr>
      </w:pPr>
      <w:r>
        <w:rPr>
          <w:rFonts w:hint="eastAsia" w:ascii="宋体" w:hAnsi="宋体"/>
          <w:b/>
          <w:color w:val="auto"/>
          <w:sz w:val="24"/>
          <w:lang w:val="en-US" w:eastAsia="zh-CN"/>
        </w:rPr>
        <w:t>4</w:t>
      </w:r>
      <w:r>
        <w:rPr>
          <w:rFonts w:hint="eastAsia" w:ascii="宋体" w:hAnsi="宋体"/>
          <w:b/>
          <w:color w:val="auto"/>
          <w:sz w:val="24"/>
        </w:rPr>
        <w:t>. 报价文件格式</w:t>
      </w:r>
    </w:p>
    <w:p w14:paraId="00AAFA9A">
      <w:pPr>
        <w:kinsoku w:val="0"/>
        <w:overflowPunct w:val="0"/>
        <w:autoSpaceDE w:val="0"/>
        <w:autoSpaceDN w:val="0"/>
        <w:adjustRightInd w:val="0"/>
        <w:snapToGrid w:val="0"/>
        <w:spacing w:line="360" w:lineRule="auto"/>
        <w:ind w:firstLine="360" w:firstLineChars="150"/>
        <w:jc w:val="left"/>
        <w:rPr>
          <w:rFonts w:ascii="宋体" w:hAnsi="宋体" w:cs="宋体"/>
          <w:b/>
          <w:color w:val="auto"/>
          <w:sz w:val="24"/>
        </w:rPr>
      </w:pPr>
      <w:r>
        <w:rPr>
          <w:rFonts w:hint="eastAsia" w:ascii="宋体" w:hAnsi="宋体"/>
          <w:color w:val="auto"/>
          <w:sz w:val="24"/>
        </w:rPr>
        <w:t>要求投标单位将所有报价文件的组成部分统一制作成</w:t>
      </w:r>
      <w:r>
        <w:rPr>
          <w:rFonts w:hint="eastAsia" w:ascii="宋体" w:hAnsi="宋体"/>
          <w:b/>
          <w:color w:val="auto"/>
          <w:sz w:val="24"/>
        </w:rPr>
        <w:t>PDF</w:t>
      </w:r>
      <w:r>
        <w:rPr>
          <w:rFonts w:hint="eastAsia" w:ascii="宋体" w:hAnsi="宋体"/>
          <w:color w:val="auto"/>
          <w:sz w:val="24"/>
        </w:rPr>
        <w:t>格式。</w:t>
      </w:r>
    </w:p>
    <w:p w14:paraId="2081F169">
      <w:pPr>
        <w:kinsoku w:val="0"/>
        <w:overflowPunct w:val="0"/>
        <w:autoSpaceDE w:val="0"/>
        <w:autoSpaceDN w:val="0"/>
        <w:adjustRightInd w:val="0"/>
        <w:snapToGrid w:val="0"/>
        <w:spacing w:line="360" w:lineRule="auto"/>
        <w:jc w:val="left"/>
        <w:rPr>
          <w:rFonts w:ascii="宋体" w:hAnsi="宋体" w:cs="Dotum"/>
          <w:color w:val="auto"/>
          <w:sz w:val="24"/>
        </w:rPr>
      </w:pPr>
    </w:p>
    <w:p w14:paraId="067CDCB4">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b/>
          <w:color w:val="auto"/>
          <w:sz w:val="24"/>
        </w:rPr>
      </w:pPr>
      <w:r>
        <w:rPr>
          <w:rFonts w:hint="eastAsia"/>
          <w:b/>
          <w:color w:val="auto"/>
          <w:sz w:val="24"/>
          <w:lang w:val="en-US" w:eastAsia="zh-CN"/>
        </w:rPr>
        <w:t>二、项目概述：</w:t>
      </w:r>
    </w:p>
    <w:p w14:paraId="6EBF9FAD">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Times New Roman"/>
          <w:color w:val="auto"/>
          <w:sz w:val="24"/>
        </w:rPr>
      </w:pPr>
      <w:r>
        <w:rPr>
          <w:rFonts w:hint="eastAsia" w:ascii="宋体" w:hAnsi="宋体" w:cs="Times New Roman"/>
          <w:b w:val="0"/>
          <w:bCs/>
          <w:color w:val="auto"/>
          <w:sz w:val="24"/>
        </w:rPr>
        <w:t>上海</w:t>
      </w:r>
      <w:r>
        <w:rPr>
          <w:rFonts w:hint="eastAsia" w:ascii="宋体" w:hAnsi="宋体" w:cs="Times New Roman"/>
          <w:b w:val="0"/>
          <w:bCs/>
          <w:color w:val="auto"/>
          <w:sz w:val="24"/>
          <w:lang w:val="en-US" w:eastAsia="zh-CN"/>
        </w:rPr>
        <w:t>海事大学</w:t>
      </w:r>
      <w:r>
        <w:rPr>
          <w:rFonts w:hint="eastAsia" w:ascii="宋体" w:hAnsi="宋体" w:cs="Times New Roman"/>
          <w:b w:val="0"/>
          <w:bCs/>
          <w:color w:val="auto"/>
          <w:sz w:val="24"/>
        </w:rPr>
        <w:t>采购直饮</w:t>
      </w:r>
      <w:r>
        <w:rPr>
          <w:rFonts w:hint="eastAsia" w:ascii="宋体" w:hAnsi="宋体" w:cs="Times New Roman"/>
          <w:b w:val="0"/>
          <w:bCs/>
          <w:color w:val="auto"/>
          <w:sz w:val="24"/>
          <w:lang w:val="en-US" w:eastAsia="zh-CN"/>
        </w:rPr>
        <w:t>净水机</w:t>
      </w:r>
      <w:r>
        <w:rPr>
          <w:rFonts w:hint="eastAsia" w:ascii="宋体" w:hAnsi="宋体" w:cs="Times New Roman"/>
          <w:b w:val="0"/>
          <w:bCs/>
          <w:color w:val="auto"/>
          <w:sz w:val="24"/>
        </w:rPr>
        <w:t>租赁服务，需在</w:t>
      </w:r>
      <w:r>
        <w:rPr>
          <w:rFonts w:hint="eastAsia" w:ascii="宋体" w:hAnsi="宋体" w:cs="Times New Roman"/>
          <w:b w:val="0"/>
          <w:bCs/>
          <w:color w:val="auto"/>
          <w:sz w:val="24"/>
          <w:lang w:val="en-US" w:eastAsia="zh-CN"/>
        </w:rPr>
        <w:t>学校</w:t>
      </w:r>
      <w:r>
        <w:rPr>
          <w:rFonts w:hint="eastAsia" w:ascii="宋体" w:hAnsi="宋体" w:cs="Times New Roman"/>
          <w:b w:val="0"/>
          <w:bCs/>
          <w:color w:val="auto"/>
          <w:sz w:val="24"/>
        </w:rPr>
        <w:t>安装共计</w:t>
      </w:r>
      <w:r>
        <w:rPr>
          <w:rFonts w:hint="eastAsia" w:ascii="宋体" w:hAnsi="宋体" w:cs="Times New Roman"/>
          <w:b w:val="0"/>
          <w:bCs/>
          <w:color w:val="auto"/>
          <w:sz w:val="24"/>
          <w:lang w:val="en-US" w:eastAsia="zh-CN"/>
        </w:rPr>
        <w:t>10</w:t>
      </w:r>
      <w:r>
        <w:rPr>
          <w:rFonts w:hint="eastAsia" w:ascii="宋体" w:hAnsi="宋体" w:cs="Times New Roman"/>
          <w:b w:val="0"/>
          <w:bCs/>
          <w:color w:val="auto"/>
          <w:sz w:val="24"/>
        </w:rPr>
        <w:t>台直饮</w:t>
      </w:r>
      <w:r>
        <w:rPr>
          <w:rFonts w:hint="eastAsia" w:ascii="宋体" w:hAnsi="宋体" w:cs="Times New Roman"/>
          <w:b w:val="0"/>
          <w:bCs/>
          <w:color w:val="auto"/>
          <w:sz w:val="24"/>
          <w:lang w:val="en-US" w:eastAsia="zh-CN"/>
        </w:rPr>
        <w:t>净水</w:t>
      </w:r>
      <w:r>
        <w:rPr>
          <w:rFonts w:hint="eastAsia" w:ascii="宋体" w:hAnsi="宋体" w:cs="Times New Roman"/>
          <w:b w:val="0"/>
          <w:bCs/>
          <w:color w:val="auto"/>
          <w:sz w:val="24"/>
        </w:rPr>
        <w:t>机并</w:t>
      </w:r>
      <w:r>
        <w:rPr>
          <w:rFonts w:hint="eastAsia" w:ascii="宋体" w:hAnsi="宋体" w:cs="Times New Roman"/>
          <w:color w:val="auto"/>
          <w:sz w:val="24"/>
          <w:lang w:val="en-US" w:eastAsia="zh-CN"/>
        </w:rPr>
        <w:t>由投标单位</w:t>
      </w:r>
      <w:r>
        <w:rPr>
          <w:rFonts w:hint="eastAsia" w:ascii="宋体" w:hAnsi="宋体" w:cs="Times New Roman"/>
          <w:color w:val="auto"/>
          <w:sz w:val="24"/>
        </w:rPr>
        <w:t>承担设备的运输、安装、调试、保养、维修、水质检测服务等所有费用</w:t>
      </w:r>
    </w:p>
    <w:p w14:paraId="69D0FD7E">
      <w:pPr>
        <w:pStyle w:val="9"/>
        <w:rPr>
          <w:rFonts w:hint="default"/>
          <w:color w:val="auto"/>
          <w:lang w:val="en-US" w:eastAsia="zh-CN"/>
        </w:rPr>
      </w:pPr>
    </w:p>
    <w:p w14:paraId="08F10975">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ascii="宋体" w:hAnsi="宋体"/>
          <w:b/>
          <w:color w:val="auto"/>
          <w:sz w:val="24"/>
        </w:rPr>
      </w:pPr>
      <w:r>
        <w:rPr>
          <w:rFonts w:hint="eastAsia" w:ascii="宋体" w:hAnsi="宋体"/>
          <w:b/>
          <w:color w:val="auto"/>
          <w:sz w:val="24"/>
          <w:lang w:val="en-US" w:eastAsia="zh-CN"/>
        </w:rPr>
        <w:t>三</w:t>
      </w:r>
      <w:r>
        <w:rPr>
          <w:rFonts w:hint="eastAsia" w:ascii="宋体" w:hAnsi="宋体"/>
          <w:b/>
          <w:color w:val="auto"/>
          <w:sz w:val="24"/>
        </w:rPr>
        <w:t>、项目技术要求</w:t>
      </w:r>
    </w:p>
    <w:p w14:paraId="2163EEDB">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b/>
          <w:color w:val="auto"/>
          <w:sz w:val="24"/>
          <w:lang w:val="en-US" w:eastAsia="zh-CN"/>
        </w:rPr>
      </w:pPr>
      <w:r>
        <w:rPr>
          <w:rFonts w:hint="eastAsia" w:ascii="宋体" w:hAnsi="宋体"/>
          <w:b/>
          <w:color w:val="auto"/>
          <w:sz w:val="24"/>
          <w:lang w:val="en-US" w:eastAsia="zh-CN"/>
        </w:rPr>
        <w:t>1.安装地点及数量</w:t>
      </w:r>
    </w:p>
    <w:p w14:paraId="4EEB40C7">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1）安装地点：上海海事大学临港校区</w:t>
      </w:r>
    </w:p>
    <w:p w14:paraId="53C6A88A">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rPr>
        <w:t>2）安装数量：共</w:t>
      </w:r>
      <w:r>
        <w:rPr>
          <w:rFonts w:hint="eastAsia" w:ascii="宋体" w:hAnsi="宋体" w:cs="宋体"/>
          <w:color w:val="auto"/>
          <w:kern w:val="0"/>
          <w:sz w:val="24"/>
          <w:lang w:val="en-US" w:eastAsia="zh-CN"/>
        </w:rPr>
        <w:t>10台直饮净水机（两龙头直饮净水机7台，三龙头直饮净水机3台）</w:t>
      </w:r>
    </w:p>
    <w:p w14:paraId="6B3F6A80">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b/>
          <w:color w:val="auto"/>
          <w:sz w:val="24"/>
          <w:lang w:val="en-US" w:eastAsia="zh-CN"/>
        </w:rPr>
      </w:pPr>
      <w:r>
        <w:rPr>
          <w:rFonts w:hint="eastAsia"/>
          <w:b/>
          <w:color w:val="auto"/>
          <w:sz w:val="24"/>
          <w:lang w:val="en-US" w:eastAsia="zh-CN"/>
        </w:rPr>
        <w:t>2.设备要求：</w:t>
      </w:r>
    </w:p>
    <w:p w14:paraId="6A2D0367">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b w:val="0"/>
          <w:bCs/>
          <w:color w:val="auto"/>
          <w:sz w:val="24"/>
          <w:lang w:val="en-US" w:eastAsia="zh-CN"/>
        </w:rPr>
      </w:pPr>
      <w:r>
        <w:rPr>
          <w:rFonts w:hint="eastAsia"/>
          <w:b w:val="0"/>
          <w:bCs/>
          <w:color w:val="auto"/>
          <w:sz w:val="24"/>
          <w:lang w:val="en-US" w:eastAsia="zh-CN"/>
        </w:rPr>
        <w:t>（1）直饮净水机必须是独立水处理设备：设备应为固定式或驻立式，机器内应具有防干烧、防入侵、防漏水和防漏电功能，设备能够自动净化、自动对滤芯进行冲洗、故障自动报警、远程调控、远程控温；</w:t>
      </w:r>
    </w:p>
    <w:p w14:paraId="3B3ED1A6">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外壳材质：</w:t>
      </w:r>
      <w:r>
        <w:rPr>
          <w:rFonts w:hint="eastAsia" w:ascii="宋体" w:hAnsi="宋体" w:cs="宋体"/>
          <w:color w:val="auto"/>
          <w:kern w:val="0"/>
          <w:sz w:val="24"/>
          <w:lang w:val="en-US" w:eastAsia="zh-CN"/>
        </w:rPr>
        <w:t>直饮净水机机身整体应</w:t>
      </w:r>
      <w:r>
        <w:rPr>
          <w:rFonts w:hint="eastAsia" w:ascii="宋体" w:hAnsi="宋体" w:cs="宋体"/>
          <w:color w:val="auto"/>
          <w:kern w:val="0"/>
          <w:sz w:val="24"/>
          <w:lang w:eastAsia="zh-CN"/>
        </w:rPr>
        <w:t>采用304不锈钢材质，厚度≥1.</w:t>
      </w: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mm，防腐防锈，经久耐用；</w:t>
      </w:r>
    </w:p>
    <w:p w14:paraId="61CE2828">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3</w:t>
      </w:r>
      <w:r>
        <w:rPr>
          <w:rFonts w:hint="eastAsia" w:ascii="宋体" w:hAnsi="宋体" w:cs="宋体"/>
          <w:color w:val="auto"/>
          <w:kern w:val="0"/>
          <w:sz w:val="24"/>
          <w:lang w:eastAsia="zh-CN"/>
        </w:rPr>
        <w:t>）水处理工艺：</w:t>
      </w:r>
      <w:r>
        <w:rPr>
          <w:rFonts w:hint="eastAsia" w:ascii="宋体" w:hAnsi="宋体" w:cs="宋体"/>
          <w:color w:val="auto"/>
          <w:kern w:val="0"/>
          <w:sz w:val="24"/>
          <w:lang w:val="en-US" w:eastAsia="zh-CN"/>
        </w:rPr>
        <w:t>采用</w:t>
      </w:r>
      <w:r>
        <w:rPr>
          <w:rFonts w:hint="eastAsia" w:ascii="宋体" w:hAnsi="宋体" w:cs="宋体"/>
          <w:b/>
          <w:bCs/>
          <w:color w:val="auto"/>
          <w:kern w:val="0"/>
          <w:sz w:val="24"/>
          <w:lang w:eastAsia="zh-CN"/>
        </w:rPr>
        <w:t>超滤</w:t>
      </w:r>
      <w:r>
        <w:rPr>
          <w:rFonts w:hint="eastAsia" w:ascii="宋体" w:hAnsi="宋体" w:cs="宋体"/>
          <w:color w:val="auto"/>
          <w:kern w:val="0"/>
          <w:sz w:val="24"/>
          <w:lang w:eastAsia="zh-CN"/>
        </w:rPr>
        <w:t>水处理工艺，出水水质应符合《生活饮用水水质处理器卫生安全与功能评价规范---一般水质处理器标准》（2001）或《饮用净水水质标准》CJ94-2005的要求；</w:t>
      </w:r>
    </w:p>
    <w:p w14:paraId="008359EF">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4</w:t>
      </w:r>
      <w:r>
        <w:rPr>
          <w:rFonts w:hint="eastAsia" w:ascii="宋体" w:hAnsi="宋体" w:cs="宋体"/>
          <w:color w:val="auto"/>
          <w:kern w:val="0"/>
          <w:sz w:val="24"/>
          <w:lang w:eastAsia="zh-CN"/>
        </w:rPr>
        <w:t>）额定总净水量：额定总净水量≥</w:t>
      </w:r>
      <w:r>
        <w:rPr>
          <w:rFonts w:hint="eastAsia" w:ascii="宋体" w:hAnsi="宋体" w:cs="宋体"/>
          <w:color w:val="auto"/>
          <w:kern w:val="0"/>
          <w:sz w:val="24"/>
          <w:lang w:val="en-US" w:eastAsia="zh-CN"/>
        </w:rPr>
        <w:t>6</w:t>
      </w:r>
      <w:r>
        <w:rPr>
          <w:rFonts w:hint="eastAsia" w:ascii="宋体" w:hAnsi="宋体" w:cs="宋体"/>
          <w:color w:val="auto"/>
          <w:kern w:val="0"/>
          <w:sz w:val="24"/>
          <w:lang w:eastAsia="zh-CN"/>
        </w:rPr>
        <w:t>0m³（以涉及饮用水卫生安全产品卫生许可批件为准）；</w:t>
      </w:r>
    </w:p>
    <w:p w14:paraId="4DAAA184">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5</w:t>
      </w:r>
      <w:r>
        <w:rPr>
          <w:rFonts w:hint="eastAsia" w:ascii="宋体" w:hAnsi="宋体" w:cs="宋体"/>
          <w:color w:val="auto"/>
          <w:kern w:val="0"/>
          <w:sz w:val="24"/>
          <w:lang w:eastAsia="zh-CN"/>
        </w:rPr>
        <w:t>）净水流量：净水流量≥1</w:t>
      </w:r>
      <w:r>
        <w:rPr>
          <w:rFonts w:hint="eastAsia" w:ascii="宋体" w:hAnsi="宋体" w:cs="宋体"/>
          <w:color w:val="auto"/>
          <w:kern w:val="0"/>
          <w:sz w:val="24"/>
          <w:lang w:val="en-US" w:eastAsia="zh-CN"/>
        </w:rPr>
        <w:t>5</w:t>
      </w:r>
      <w:r>
        <w:rPr>
          <w:rFonts w:hint="eastAsia" w:ascii="宋体" w:hAnsi="宋体" w:cs="宋体"/>
          <w:color w:val="auto"/>
          <w:kern w:val="0"/>
          <w:sz w:val="24"/>
          <w:lang w:eastAsia="zh-CN"/>
        </w:rPr>
        <w:t>L/min（以涉及饮用水卫生安全产品卫生许可批件为准）；</w:t>
      </w:r>
    </w:p>
    <w:p w14:paraId="704C4099">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6</w:t>
      </w:r>
      <w:r>
        <w:rPr>
          <w:rFonts w:hint="eastAsia" w:ascii="宋体" w:hAnsi="宋体" w:cs="宋体"/>
          <w:color w:val="auto"/>
          <w:kern w:val="0"/>
          <w:sz w:val="24"/>
          <w:lang w:eastAsia="zh-CN"/>
        </w:rPr>
        <w:t>）加热</w:t>
      </w:r>
      <w:r>
        <w:rPr>
          <w:rFonts w:hint="eastAsia" w:ascii="宋体" w:hAnsi="宋体" w:cs="宋体"/>
          <w:color w:val="auto"/>
          <w:kern w:val="0"/>
          <w:sz w:val="24"/>
          <w:lang w:val="en-US" w:eastAsia="zh-CN"/>
        </w:rPr>
        <w:t>要求</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采用</w:t>
      </w:r>
      <w:r>
        <w:rPr>
          <w:rFonts w:hint="eastAsia" w:ascii="宋体" w:hAnsi="宋体" w:cs="宋体"/>
          <w:color w:val="auto"/>
          <w:kern w:val="0"/>
          <w:sz w:val="24"/>
          <w:lang w:eastAsia="zh-CN"/>
        </w:rPr>
        <w:t>步进式加热技术，</w:t>
      </w:r>
      <w:r>
        <w:rPr>
          <w:rFonts w:hint="eastAsia" w:ascii="宋体" w:hAnsi="宋体" w:cs="宋体"/>
          <w:color w:val="auto"/>
          <w:kern w:val="0"/>
          <w:sz w:val="24"/>
          <w:lang w:val="en-US" w:eastAsia="zh-CN"/>
        </w:rPr>
        <w:t>三</w:t>
      </w:r>
      <w:r>
        <w:rPr>
          <w:rFonts w:hint="eastAsia" w:ascii="宋体" w:hAnsi="宋体" w:cs="宋体"/>
          <w:color w:val="auto"/>
          <w:kern w:val="0"/>
          <w:sz w:val="24"/>
          <w:lang w:eastAsia="zh-CN"/>
        </w:rPr>
        <w:t>龙头直饮</w:t>
      </w:r>
      <w:r>
        <w:rPr>
          <w:rFonts w:hint="eastAsia" w:ascii="宋体" w:hAnsi="宋体" w:cs="宋体"/>
          <w:color w:val="auto"/>
          <w:kern w:val="0"/>
          <w:sz w:val="24"/>
          <w:lang w:val="en-US" w:eastAsia="zh-CN"/>
        </w:rPr>
        <w:t>净水</w:t>
      </w:r>
      <w:r>
        <w:rPr>
          <w:rFonts w:hint="eastAsia" w:ascii="宋体" w:hAnsi="宋体" w:cs="宋体"/>
          <w:color w:val="auto"/>
          <w:kern w:val="0"/>
          <w:sz w:val="24"/>
          <w:lang w:eastAsia="zh-CN"/>
        </w:rPr>
        <w:t>机热水出水量≥</w:t>
      </w:r>
      <w:r>
        <w:rPr>
          <w:rFonts w:hint="eastAsia" w:ascii="宋体" w:hAnsi="宋体" w:cs="宋体"/>
          <w:color w:val="auto"/>
          <w:kern w:val="0"/>
          <w:sz w:val="24"/>
          <w:lang w:val="en-US" w:eastAsia="zh-CN"/>
        </w:rPr>
        <w:t>55</w:t>
      </w:r>
      <w:r>
        <w:rPr>
          <w:rFonts w:hint="eastAsia" w:ascii="宋体" w:hAnsi="宋体" w:cs="宋体"/>
          <w:color w:val="auto"/>
          <w:kern w:val="0"/>
          <w:sz w:val="24"/>
          <w:lang w:eastAsia="zh-CN"/>
        </w:rPr>
        <w:t>L/h、</w:t>
      </w:r>
      <w:r>
        <w:rPr>
          <w:rFonts w:hint="eastAsia" w:ascii="宋体" w:hAnsi="宋体" w:cs="宋体"/>
          <w:color w:val="auto"/>
          <w:kern w:val="0"/>
          <w:sz w:val="24"/>
          <w:lang w:val="en-US" w:eastAsia="zh-CN"/>
        </w:rPr>
        <w:t>两</w:t>
      </w:r>
      <w:r>
        <w:rPr>
          <w:rFonts w:hint="eastAsia" w:ascii="宋体" w:hAnsi="宋体" w:cs="宋体"/>
          <w:color w:val="auto"/>
          <w:kern w:val="0"/>
          <w:sz w:val="24"/>
          <w:lang w:eastAsia="zh-CN"/>
        </w:rPr>
        <w:t>龙头直饮</w:t>
      </w:r>
      <w:r>
        <w:rPr>
          <w:rFonts w:hint="eastAsia" w:ascii="宋体" w:hAnsi="宋体" w:cs="宋体"/>
          <w:color w:val="auto"/>
          <w:kern w:val="0"/>
          <w:sz w:val="24"/>
          <w:lang w:val="en-US" w:eastAsia="zh-CN"/>
        </w:rPr>
        <w:t>净水</w:t>
      </w:r>
      <w:r>
        <w:rPr>
          <w:rFonts w:hint="eastAsia" w:ascii="宋体" w:hAnsi="宋体" w:cs="宋体"/>
          <w:color w:val="auto"/>
          <w:kern w:val="0"/>
          <w:sz w:val="24"/>
          <w:lang w:eastAsia="zh-CN"/>
        </w:rPr>
        <w:t>机热水出水量≥</w:t>
      </w:r>
      <w:r>
        <w:rPr>
          <w:rFonts w:hint="eastAsia" w:ascii="宋体" w:hAnsi="宋体" w:cs="宋体"/>
          <w:color w:val="auto"/>
          <w:kern w:val="0"/>
          <w:sz w:val="24"/>
          <w:lang w:val="en-US" w:eastAsia="zh-CN"/>
        </w:rPr>
        <w:t>40</w:t>
      </w:r>
      <w:r>
        <w:rPr>
          <w:rFonts w:hint="eastAsia" w:ascii="宋体" w:hAnsi="宋体" w:cs="宋体"/>
          <w:color w:val="auto"/>
          <w:kern w:val="0"/>
          <w:sz w:val="24"/>
          <w:lang w:eastAsia="zh-CN"/>
        </w:rPr>
        <w:t>L/h（整机涉及饮用水卫生安全产品卫生许可批件内需要有加热装置或加热部件）；</w:t>
      </w:r>
    </w:p>
    <w:p w14:paraId="4C53F8AF">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7</w:t>
      </w:r>
      <w:r>
        <w:rPr>
          <w:rFonts w:hint="eastAsia" w:ascii="宋体" w:hAnsi="宋体" w:cs="宋体"/>
          <w:color w:val="auto"/>
          <w:kern w:val="0"/>
          <w:sz w:val="24"/>
          <w:lang w:eastAsia="zh-CN"/>
        </w:rPr>
        <w:t>）隔夜水自动排空：直饮</w:t>
      </w:r>
      <w:r>
        <w:rPr>
          <w:rFonts w:hint="eastAsia" w:ascii="宋体" w:hAnsi="宋体" w:cs="宋体"/>
          <w:color w:val="auto"/>
          <w:kern w:val="0"/>
          <w:sz w:val="24"/>
          <w:lang w:val="en-US" w:eastAsia="zh-CN"/>
        </w:rPr>
        <w:t>净水</w:t>
      </w:r>
      <w:r>
        <w:rPr>
          <w:rFonts w:hint="eastAsia" w:ascii="宋体" w:hAnsi="宋体" w:cs="宋体"/>
          <w:color w:val="auto"/>
          <w:kern w:val="0"/>
          <w:sz w:val="24"/>
          <w:lang w:eastAsia="zh-CN"/>
        </w:rPr>
        <w:t>机应有隔夜热水自动排空技术（详细描述排空过程）；</w:t>
      </w:r>
    </w:p>
    <w:p w14:paraId="5D61582B">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8</w:t>
      </w:r>
      <w:r>
        <w:rPr>
          <w:rFonts w:hint="eastAsia" w:ascii="宋体" w:hAnsi="宋体" w:cs="宋体"/>
          <w:color w:val="auto"/>
          <w:kern w:val="0"/>
          <w:sz w:val="24"/>
          <w:lang w:eastAsia="zh-CN"/>
        </w:rPr>
        <w:t>）净化系统自动冲洗功能：直饮</w:t>
      </w:r>
      <w:r>
        <w:rPr>
          <w:rFonts w:hint="eastAsia" w:ascii="宋体" w:hAnsi="宋体" w:cs="宋体"/>
          <w:color w:val="auto"/>
          <w:kern w:val="0"/>
          <w:sz w:val="24"/>
          <w:lang w:val="en-US" w:eastAsia="zh-CN"/>
        </w:rPr>
        <w:t>净水机</w:t>
      </w:r>
      <w:r>
        <w:rPr>
          <w:rFonts w:hint="eastAsia" w:ascii="宋体" w:hAnsi="宋体" w:cs="宋体"/>
          <w:color w:val="auto"/>
          <w:kern w:val="0"/>
          <w:sz w:val="24"/>
          <w:lang w:eastAsia="zh-CN"/>
        </w:rPr>
        <w:t>净化系统应具有自动正反冲洗功能，并自动定时排出；</w:t>
      </w:r>
    </w:p>
    <w:p w14:paraId="17466C52">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9</w:t>
      </w:r>
      <w:r>
        <w:rPr>
          <w:rFonts w:hint="eastAsia" w:ascii="宋体" w:hAnsi="宋体" w:cs="宋体"/>
          <w:color w:val="auto"/>
          <w:kern w:val="0"/>
          <w:sz w:val="24"/>
          <w:lang w:eastAsia="zh-CN"/>
        </w:rPr>
        <w:t>）出水控制方式：采用电磁阀控制，电磁阀需采用断电自闭式的方式，且出水口配有不锈钢水嘴；</w:t>
      </w:r>
    </w:p>
    <w:p w14:paraId="607684AC">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10</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设备外观</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外</w:t>
      </w:r>
      <w:r>
        <w:rPr>
          <w:rFonts w:hint="eastAsia" w:ascii="宋体" w:hAnsi="宋体" w:cs="宋体"/>
          <w:color w:val="auto"/>
          <w:kern w:val="0"/>
          <w:sz w:val="24"/>
          <w:lang w:eastAsia="zh-CN"/>
        </w:rPr>
        <w:t>观尺寸需满足摆放、使用要求，</w:t>
      </w:r>
      <w:r>
        <w:rPr>
          <w:rFonts w:hint="eastAsia" w:ascii="宋体" w:hAnsi="宋体" w:cs="宋体"/>
          <w:color w:val="auto"/>
          <w:kern w:val="0"/>
          <w:sz w:val="24"/>
          <w:lang w:val="en-US" w:eastAsia="zh-CN"/>
        </w:rPr>
        <w:t>屏幕能够</w:t>
      </w:r>
      <w:r>
        <w:rPr>
          <w:rFonts w:hint="eastAsia" w:ascii="宋体" w:hAnsi="宋体" w:cs="宋体"/>
          <w:color w:val="auto"/>
          <w:kern w:val="0"/>
          <w:sz w:val="24"/>
          <w:lang w:eastAsia="zh-CN"/>
        </w:rPr>
        <w:t>实时显示</w:t>
      </w:r>
      <w:r>
        <w:rPr>
          <w:rFonts w:hint="eastAsia" w:ascii="宋体" w:hAnsi="宋体" w:cs="宋体"/>
          <w:color w:val="auto"/>
          <w:kern w:val="0"/>
          <w:sz w:val="24"/>
          <w:lang w:val="en-US" w:eastAsia="zh-CN"/>
        </w:rPr>
        <w:t>累计净水量、滤芯剩余时间、</w:t>
      </w:r>
      <w:r>
        <w:rPr>
          <w:rFonts w:hint="eastAsia" w:ascii="宋体" w:hAnsi="宋体" w:cs="宋体"/>
          <w:color w:val="auto"/>
          <w:kern w:val="0"/>
          <w:sz w:val="24"/>
          <w:lang w:eastAsia="zh-CN"/>
        </w:rPr>
        <w:t>出水温度等</w:t>
      </w:r>
      <w:r>
        <w:rPr>
          <w:rFonts w:hint="eastAsia" w:ascii="宋体" w:hAnsi="宋体" w:cs="宋体"/>
          <w:color w:val="auto"/>
          <w:kern w:val="0"/>
          <w:sz w:val="24"/>
          <w:lang w:val="en-US" w:eastAsia="zh-CN"/>
        </w:rPr>
        <w:t>信息，并在累计净水量达到设备额定总净水量前进行提示，提醒及时更换整套过滤滤芯</w:t>
      </w:r>
      <w:r>
        <w:rPr>
          <w:rFonts w:hint="eastAsia" w:ascii="宋体" w:hAnsi="宋体" w:cs="宋体"/>
          <w:color w:val="auto"/>
          <w:kern w:val="0"/>
          <w:sz w:val="24"/>
          <w:lang w:eastAsia="zh-CN"/>
        </w:rPr>
        <w:t>；</w:t>
      </w:r>
    </w:p>
    <w:p w14:paraId="1F8D6AB5">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11</w:t>
      </w:r>
      <w:r>
        <w:rPr>
          <w:rFonts w:hint="eastAsia" w:ascii="宋体" w:hAnsi="宋体" w:cs="宋体"/>
          <w:color w:val="auto"/>
          <w:kern w:val="0"/>
          <w:sz w:val="24"/>
          <w:lang w:eastAsia="zh-CN"/>
        </w:rPr>
        <w:t>）出水水温：常温水和热水，热水水温在95度以上。</w:t>
      </w:r>
    </w:p>
    <w:p w14:paraId="2A943EF7">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default"/>
          <w:color w:val="auto"/>
          <w:lang w:val="en-US"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12）机器出水区域设置不少于两个出水口，龙头至接水底盘高度》38CM（要能容纳2L保温水壶）</w:t>
      </w:r>
      <w:r>
        <w:rPr>
          <w:rFonts w:hint="eastAsia" w:ascii="宋体" w:hAnsi="宋体" w:cs="宋体"/>
          <w:color w:val="auto"/>
          <w:kern w:val="0"/>
          <w:sz w:val="24"/>
        </w:rPr>
        <w:t>。</w:t>
      </w:r>
    </w:p>
    <w:p w14:paraId="3819142C">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val="en-US" w:eastAsia="zh-CN"/>
        </w:rPr>
        <w:t>备注：如投标单位虚假响应的，招标人有权进行废标。中标人所交付产品和服务如不符合招标人招标要求且未在投标文件中明确说明的，招标人有权进行废标并拒绝接收。</w:t>
      </w:r>
    </w:p>
    <w:p w14:paraId="03F73FCE">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ascii="宋体" w:hAnsi="宋体" w:cs="宋体"/>
          <w:b/>
          <w:color w:val="auto"/>
          <w:kern w:val="0"/>
          <w:sz w:val="24"/>
        </w:rPr>
      </w:pPr>
      <w:r>
        <w:rPr>
          <w:rFonts w:hint="eastAsia" w:ascii="宋体" w:hAnsi="宋体" w:cs="宋体"/>
          <w:b/>
          <w:color w:val="auto"/>
          <w:kern w:val="0"/>
          <w:sz w:val="24"/>
        </w:rPr>
        <w:t>3. 服务要求</w:t>
      </w:r>
    </w:p>
    <w:p w14:paraId="2C4D98F8">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rPr>
        <w:t>1）投标方全额投资智能直饮水系统（包括：智能终端直饮水设备、设备定位、防入侵、防漏电、防漏水、自动净化、自动清洗、远程调控、远程控温、自动计量收费、移动支付、故障自动报警和大数据平台）；</w:t>
      </w:r>
    </w:p>
    <w:p w14:paraId="4F2C4A4D">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rPr>
        <w:t>2）投标方承担所有设备采购及运输、安装调试、水质检测（一年两次）、</w:t>
      </w:r>
      <w:r>
        <w:rPr>
          <w:rFonts w:hint="eastAsia" w:ascii="宋体" w:hAnsi="宋体" w:cs="宋体"/>
          <w:color w:val="auto"/>
          <w:kern w:val="0"/>
          <w:sz w:val="24"/>
          <w:lang w:val="en-US" w:eastAsia="zh-CN"/>
        </w:rPr>
        <w:t>维修</w:t>
      </w:r>
      <w:r>
        <w:rPr>
          <w:rFonts w:hint="eastAsia" w:ascii="宋体" w:hAnsi="宋体" w:cs="宋体"/>
          <w:color w:val="auto"/>
          <w:kern w:val="0"/>
          <w:sz w:val="24"/>
        </w:rPr>
        <w:t>、</w:t>
      </w:r>
      <w:r>
        <w:rPr>
          <w:rFonts w:hint="eastAsia" w:ascii="宋体" w:hAnsi="宋体" w:cs="宋体"/>
          <w:color w:val="auto"/>
          <w:kern w:val="0"/>
          <w:sz w:val="24"/>
          <w:lang w:val="en-US" w:eastAsia="zh-CN"/>
        </w:rPr>
        <w:t>保养、经营管理费用</w:t>
      </w:r>
      <w:r>
        <w:rPr>
          <w:rFonts w:hint="eastAsia" w:ascii="宋体" w:hAnsi="宋体" w:cs="宋体"/>
          <w:color w:val="auto"/>
          <w:kern w:val="0"/>
          <w:sz w:val="24"/>
        </w:rPr>
        <w:t>；</w:t>
      </w:r>
    </w:p>
    <w:p w14:paraId="761F25E7">
      <w:pPr>
        <w:keepNext w:val="0"/>
        <w:keepLines w:val="0"/>
        <w:pageBreakBefore w:val="0"/>
        <w:widowControl w:val="0"/>
        <w:numPr>
          <w:ilvl w:val="0"/>
          <w:numId w:val="0"/>
        </w:numPr>
        <w:wordWrap/>
        <w:topLinePunct w:val="0"/>
        <w:bidi w:val="0"/>
        <w:spacing w:line="360" w:lineRule="auto"/>
        <w:textAlignment w:val="auto"/>
        <w:rPr>
          <w:rFonts w:hint="eastAsia" w:eastAsia="Optimum"/>
          <w:color w:val="auto"/>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3</w:t>
      </w:r>
      <w:r>
        <w:rPr>
          <w:rFonts w:hint="eastAsia" w:ascii="宋体" w:hAnsi="宋体" w:cs="宋体"/>
          <w:color w:val="auto"/>
          <w:kern w:val="0"/>
          <w:sz w:val="24"/>
          <w:lang w:eastAsia="zh-CN"/>
        </w:rPr>
        <w:t>）</w:t>
      </w:r>
      <w:r>
        <w:rPr>
          <w:rFonts w:hint="eastAsia" w:ascii="宋体" w:hAnsi="宋体" w:eastAsia="宋体" w:cs="宋体"/>
          <w:color w:val="auto"/>
          <w:sz w:val="24"/>
          <w:szCs w:val="24"/>
        </w:rPr>
        <w:t>由投标单位对设备的各种功能操作进行培训，使招标方操作人员能够熟练并规范地使用设备；</w:t>
      </w:r>
    </w:p>
    <w:p w14:paraId="395763B1">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4</w:t>
      </w:r>
      <w:r>
        <w:rPr>
          <w:rFonts w:hint="eastAsia" w:ascii="宋体" w:hAnsi="宋体" w:cs="宋体"/>
          <w:color w:val="auto"/>
          <w:kern w:val="0"/>
          <w:sz w:val="24"/>
        </w:rPr>
        <w:t>）</w:t>
      </w:r>
      <w:r>
        <w:rPr>
          <w:rFonts w:hint="eastAsia" w:ascii="宋体" w:hAnsi="宋体" w:eastAsia="宋体" w:cs="宋体"/>
          <w:color w:val="auto"/>
          <w:sz w:val="24"/>
          <w:szCs w:val="24"/>
        </w:rPr>
        <w:t>每台设备每年提供</w:t>
      </w:r>
      <w:r>
        <w:rPr>
          <w:rFonts w:hint="eastAsia" w:ascii="宋体" w:hAnsi="宋体" w:cs="宋体"/>
          <w:color w:val="auto"/>
          <w:sz w:val="24"/>
          <w:szCs w:val="24"/>
          <w:lang w:val="en-US" w:eastAsia="zh-CN"/>
        </w:rPr>
        <w:t>两</w:t>
      </w:r>
      <w:r>
        <w:rPr>
          <w:rFonts w:hint="eastAsia" w:ascii="宋体" w:hAnsi="宋体" w:eastAsia="宋体" w:cs="宋体"/>
          <w:color w:val="auto"/>
          <w:sz w:val="24"/>
          <w:szCs w:val="24"/>
        </w:rPr>
        <w:t>次水质</w:t>
      </w:r>
      <w:r>
        <w:rPr>
          <w:rFonts w:hint="eastAsia" w:ascii="宋体" w:hAnsi="宋体" w:cs="宋体"/>
          <w:color w:val="auto"/>
          <w:sz w:val="24"/>
          <w:szCs w:val="24"/>
          <w:lang w:val="en-US" w:eastAsia="zh-CN"/>
        </w:rPr>
        <w:t>检测</w:t>
      </w:r>
      <w:r>
        <w:rPr>
          <w:rFonts w:hint="eastAsia" w:ascii="宋体" w:hAnsi="宋体" w:eastAsia="宋体" w:cs="宋体"/>
          <w:color w:val="auto"/>
          <w:sz w:val="24"/>
          <w:szCs w:val="24"/>
        </w:rPr>
        <w:t>服务</w:t>
      </w:r>
      <w:r>
        <w:rPr>
          <w:rFonts w:hint="eastAsia" w:ascii="宋体" w:hAnsi="宋体" w:cs="宋体"/>
          <w:color w:val="auto"/>
          <w:kern w:val="0"/>
          <w:sz w:val="24"/>
        </w:rPr>
        <w:t>，检测指标不少于8个，费用由投标方承担，将检测报告予以公示并向招标方备案；</w:t>
      </w:r>
    </w:p>
    <w:p w14:paraId="2F56AC14">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5</w:t>
      </w:r>
      <w:r>
        <w:rPr>
          <w:rFonts w:hint="eastAsia" w:ascii="宋体" w:hAnsi="宋体" w:cs="宋体"/>
          <w:color w:val="auto"/>
          <w:kern w:val="0"/>
          <w:sz w:val="24"/>
        </w:rPr>
        <w:t>）智能直饮水系统大数据平台的数据，在招标方需要时向招标方开放</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如有电子显示屏需根据招标方要求加强管控；</w:t>
      </w:r>
    </w:p>
    <w:p w14:paraId="683112BF">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6</w:t>
      </w:r>
      <w:r>
        <w:rPr>
          <w:rFonts w:hint="eastAsia" w:ascii="宋体" w:hAnsi="宋体" w:cs="宋体"/>
          <w:color w:val="auto"/>
          <w:kern w:val="0"/>
          <w:sz w:val="24"/>
        </w:rPr>
        <w:t>）根据招标方实际情况，做好常规维保工作，在每学期开学前对设备进行专项保养；</w:t>
      </w:r>
    </w:p>
    <w:p w14:paraId="20704A7E">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7</w:t>
      </w:r>
      <w:r>
        <w:rPr>
          <w:rFonts w:hint="eastAsia" w:ascii="宋体" w:hAnsi="宋体" w:cs="宋体"/>
          <w:color w:val="auto"/>
          <w:kern w:val="0"/>
          <w:sz w:val="24"/>
        </w:rPr>
        <w:t>）每年更换一次滤芯，或年内出水量累计达到</w:t>
      </w:r>
      <w:r>
        <w:rPr>
          <w:rFonts w:hint="eastAsia" w:ascii="宋体" w:hAnsi="宋体" w:cs="宋体"/>
          <w:color w:val="auto"/>
          <w:kern w:val="0"/>
          <w:sz w:val="24"/>
          <w:lang w:val="en-US" w:eastAsia="zh-CN"/>
        </w:rPr>
        <w:t>投标机器型号额定总净水量</w:t>
      </w:r>
      <w:r>
        <w:rPr>
          <w:rFonts w:hint="eastAsia" w:ascii="宋体" w:hAnsi="宋体" w:cs="宋体"/>
          <w:color w:val="auto"/>
          <w:kern w:val="0"/>
          <w:sz w:val="24"/>
        </w:rPr>
        <w:t>更换滤芯；</w:t>
      </w:r>
    </w:p>
    <w:p w14:paraId="24562A7D">
      <w:pPr>
        <w:keepNext w:val="0"/>
        <w:keepLines w:val="0"/>
        <w:pageBreakBefore w:val="0"/>
        <w:widowControl w:val="0"/>
        <w:numPr>
          <w:ilvl w:val="0"/>
          <w:numId w:val="0"/>
        </w:numPr>
        <w:wordWrap/>
        <w:topLinePunct w:val="0"/>
        <w:bidi w:val="0"/>
        <w:spacing w:line="360" w:lineRule="auto"/>
        <w:textAlignment w:val="auto"/>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8</w:t>
      </w:r>
      <w:r>
        <w:rPr>
          <w:rFonts w:hint="eastAsia" w:ascii="宋体" w:hAnsi="宋体" w:cs="宋体"/>
          <w:color w:val="auto"/>
          <w:kern w:val="0"/>
          <w:sz w:val="24"/>
        </w:rPr>
        <w:t>）投标方应及时响应招标方的报修</w:t>
      </w:r>
      <w:r>
        <w:rPr>
          <w:rFonts w:hint="eastAsia" w:ascii="宋体" w:hAnsi="宋体" w:cs="宋体"/>
          <w:color w:val="auto"/>
          <w:kern w:val="0"/>
          <w:sz w:val="24"/>
          <w:lang w:eastAsia="zh-CN"/>
        </w:rPr>
        <w:t>，</w:t>
      </w:r>
      <w:r>
        <w:rPr>
          <w:rFonts w:hint="eastAsia" w:ascii="宋体" w:hAnsi="宋体"/>
          <w:color w:val="auto"/>
          <w:sz w:val="24"/>
        </w:rPr>
        <w:t>响应时间不得超过2小时</w:t>
      </w:r>
      <w:r>
        <w:rPr>
          <w:rFonts w:hint="eastAsia" w:ascii="宋体" w:hAnsi="宋体"/>
          <w:color w:val="auto"/>
          <w:sz w:val="24"/>
          <w:lang w:eastAsia="zh-CN"/>
        </w:rPr>
        <w:t>，</w:t>
      </w:r>
      <w:r>
        <w:rPr>
          <w:rFonts w:hint="eastAsia" w:ascii="宋体" w:hAnsi="宋体" w:eastAsia="宋体" w:cs="宋体"/>
          <w:color w:val="auto"/>
          <w:sz w:val="24"/>
          <w:szCs w:val="24"/>
        </w:rPr>
        <w:t>并在24小时内到达用户现场</w:t>
      </w:r>
      <w:r>
        <w:rPr>
          <w:rFonts w:hint="eastAsia" w:ascii="宋体" w:hAnsi="宋体" w:eastAsia="宋体" w:cs="宋体"/>
          <w:color w:val="auto"/>
          <w:sz w:val="24"/>
          <w:szCs w:val="24"/>
          <w:lang w:val="en-US" w:eastAsia="zh-CN"/>
        </w:rPr>
        <w:t>进行维修</w:t>
      </w:r>
      <w:r>
        <w:rPr>
          <w:rFonts w:hint="eastAsia" w:ascii="宋体" w:hAnsi="宋体" w:eastAsia="宋体" w:cs="宋体"/>
          <w:color w:val="auto"/>
          <w:sz w:val="24"/>
          <w:szCs w:val="24"/>
          <w:lang w:eastAsia="zh-CN"/>
        </w:rPr>
        <w:t>；</w:t>
      </w:r>
    </w:p>
    <w:p w14:paraId="13E9C6D0">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9</w:t>
      </w:r>
      <w:r>
        <w:rPr>
          <w:rFonts w:hint="eastAsia" w:ascii="宋体" w:hAnsi="宋体" w:cs="宋体"/>
          <w:color w:val="auto"/>
          <w:kern w:val="0"/>
          <w:sz w:val="24"/>
        </w:rPr>
        <w:t>）维保人员应具有电工证及健康证</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健康证需主动公示</w:t>
      </w:r>
      <w:r>
        <w:rPr>
          <w:rFonts w:hint="eastAsia" w:ascii="宋体" w:hAnsi="宋体" w:cs="宋体"/>
          <w:color w:val="auto"/>
          <w:kern w:val="0"/>
          <w:sz w:val="24"/>
        </w:rPr>
        <w:t>；</w:t>
      </w:r>
    </w:p>
    <w:p w14:paraId="5F4FFD70">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10</w:t>
      </w:r>
      <w:r>
        <w:rPr>
          <w:rFonts w:hint="eastAsia" w:ascii="宋体" w:hAnsi="宋体" w:cs="宋体"/>
          <w:color w:val="auto"/>
          <w:kern w:val="0"/>
          <w:sz w:val="24"/>
        </w:rPr>
        <w:t>）设备陈旧或维修后影响使用的，投标方应主动更换设备</w:t>
      </w:r>
      <w:r>
        <w:rPr>
          <w:rFonts w:hint="eastAsia" w:ascii="宋体" w:hAnsi="宋体" w:cs="宋体"/>
          <w:color w:val="auto"/>
          <w:kern w:val="0"/>
          <w:sz w:val="24"/>
          <w:lang w:eastAsia="zh-CN"/>
        </w:rPr>
        <w:t>；</w:t>
      </w:r>
    </w:p>
    <w:p w14:paraId="58B4FABF">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default" w:ascii="宋体" w:hAnsi="宋体" w:cs="宋体"/>
          <w:color w:val="auto"/>
          <w:kern w:val="0"/>
          <w:sz w:val="24"/>
          <w:lang w:val="en-US"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11</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投标单位须提供详细完善的售后服务运行维护制度、培训方案、档案管理制度、应急制度和水质检测制度。</w:t>
      </w:r>
    </w:p>
    <w:p w14:paraId="54FB4E45">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ascii="宋体" w:hAnsi="宋体" w:cs="宋体"/>
          <w:b/>
          <w:color w:val="auto"/>
          <w:kern w:val="0"/>
          <w:sz w:val="24"/>
        </w:rPr>
      </w:pPr>
      <w:r>
        <w:rPr>
          <w:rFonts w:hint="eastAsia" w:ascii="宋体" w:hAnsi="宋体" w:cs="宋体"/>
          <w:b/>
          <w:color w:val="auto"/>
          <w:kern w:val="0"/>
          <w:sz w:val="24"/>
        </w:rPr>
        <w:t>4</w:t>
      </w:r>
      <w:r>
        <w:rPr>
          <w:rFonts w:ascii="宋体" w:hAnsi="宋体" w:cs="宋体"/>
          <w:b/>
          <w:color w:val="auto"/>
          <w:kern w:val="0"/>
          <w:sz w:val="24"/>
        </w:rPr>
        <w:t xml:space="preserve">. </w:t>
      </w:r>
      <w:r>
        <w:rPr>
          <w:rFonts w:hint="eastAsia" w:ascii="宋体" w:hAnsi="宋体" w:cs="宋体"/>
          <w:b/>
          <w:color w:val="auto"/>
          <w:kern w:val="0"/>
          <w:sz w:val="24"/>
        </w:rPr>
        <w:t>其他要求</w:t>
      </w:r>
    </w:p>
    <w:p w14:paraId="0195717B">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（1）交货期是指从合同签订之日起，直至将所有直饮水设备运抵项目现场并安装调试完毕，可以交付招标方使用的时间。本项目要求：设备的安装调试必须在202</w:t>
      </w:r>
      <w:r>
        <w:rPr>
          <w:rFonts w:hint="eastAsia" w:ascii="宋体" w:hAnsi="宋体" w:cs="宋体"/>
          <w:color w:val="auto"/>
          <w:kern w:val="0"/>
          <w:sz w:val="24"/>
          <w:lang w:val="en-US" w:eastAsia="zh-CN"/>
        </w:rPr>
        <w:t>4</w:t>
      </w:r>
      <w:r>
        <w:rPr>
          <w:rFonts w:hint="eastAsia" w:ascii="宋体" w:hAnsi="宋体" w:cs="宋体"/>
          <w:color w:val="auto"/>
          <w:kern w:val="0"/>
          <w:sz w:val="24"/>
          <w:lang w:eastAsia="zh-CN"/>
        </w:rPr>
        <w:t>年</w:t>
      </w:r>
      <w:r>
        <w:rPr>
          <w:rFonts w:hint="eastAsia" w:ascii="宋体" w:hAnsi="宋体" w:cs="宋体"/>
          <w:color w:val="auto"/>
          <w:kern w:val="0"/>
          <w:sz w:val="24"/>
          <w:lang w:val="en-US" w:eastAsia="zh-CN"/>
        </w:rPr>
        <w:t>12</w:t>
      </w:r>
      <w:r>
        <w:rPr>
          <w:rFonts w:hint="eastAsia" w:ascii="宋体" w:hAnsi="宋体" w:cs="宋体"/>
          <w:color w:val="auto"/>
          <w:kern w:val="0"/>
          <w:sz w:val="24"/>
          <w:lang w:eastAsia="zh-CN"/>
        </w:rPr>
        <w:t>月31日前完成；</w:t>
      </w:r>
    </w:p>
    <w:p w14:paraId="53898201">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（2）投标文件中应说明在签订合同后可能的最短交货期。交货期不得超出规定交货期；</w:t>
      </w:r>
    </w:p>
    <w:p w14:paraId="2FC05D6B">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（3）投标单位在整个经营活动期间，必须保证招标方所有资产的完好性，不得改变原建筑物的使用性质或任意处置招标方资产；</w:t>
      </w:r>
    </w:p>
    <w:p w14:paraId="477646E7">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（4）本技术规格未作规定之处，应符合有关国家最新标准的规定。</w:t>
      </w:r>
    </w:p>
    <w:p w14:paraId="460CBE0F">
      <w:pPr>
        <w:pStyle w:val="9"/>
        <w:rPr>
          <w:rFonts w:hint="eastAsia"/>
          <w:color w:val="auto"/>
          <w:lang w:eastAsia="zh-CN"/>
        </w:rPr>
      </w:pPr>
    </w:p>
    <w:p w14:paraId="76952A43">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b/>
          <w:color w:val="auto"/>
          <w:sz w:val="24"/>
          <w:lang w:val="en-US" w:eastAsia="zh-CN"/>
        </w:rPr>
      </w:pPr>
      <w:r>
        <w:rPr>
          <w:rFonts w:hint="eastAsia"/>
          <w:b/>
          <w:color w:val="auto"/>
          <w:sz w:val="24"/>
          <w:lang w:val="en-US" w:eastAsia="zh-CN"/>
        </w:rPr>
        <w:t>四、服务期限</w:t>
      </w:r>
    </w:p>
    <w:p w14:paraId="71F96D14">
      <w:pPr>
        <w:keepNext w:val="0"/>
        <w:keepLines w:val="0"/>
        <w:pageBreakBefore w:val="0"/>
        <w:widowControl w:val="0"/>
        <w:numPr>
          <w:ilvl w:val="0"/>
          <w:numId w:val="0"/>
        </w:numPr>
        <w:wordWrap/>
        <w:topLinePunct w:val="0"/>
        <w:bidi w:val="0"/>
        <w:spacing w:line="360" w:lineRule="auto"/>
        <w:textAlignment w:val="auto"/>
        <w:rPr>
          <w:rFonts w:hint="eastAsia"/>
          <w:b w:val="0"/>
          <w:bCs/>
          <w:color w:val="auto"/>
          <w:sz w:val="24"/>
          <w:lang w:val="en-US" w:eastAsia="zh-CN"/>
        </w:rPr>
      </w:pPr>
      <w:r>
        <w:rPr>
          <w:rFonts w:hint="eastAsia"/>
          <w:b w:val="0"/>
          <w:bCs/>
          <w:color w:val="auto"/>
          <w:sz w:val="24"/>
          <w:lang w:val="en-US" w:eastAsia="zh-CN"/>
        </w:rPr>
        <w:t>自合同签订之日起一年，2025年1月1日-2025年</w:t>
      </w:r>
      <w:bookmarkStart w:id="0" w:name="_GoBack"/>
      <w:bookmarkEnd w:id="0"/>
      <w:r>
        <w:rPr>
          <w:rFonts w:hint="eastAsia"/>
          <w:b w:val="0"/>
          <w:bCs/>
          <w:color w:val="auto"/>
          <w:sz w:val="24"/>
          <w:lang w:val="en-US" w:eastAsia="zh-CN"/>
        </w:rPr>
        <w:t>12月31日。本项目采用一次招标、两年有效。合同服务期满后若甲方对乙方服务质量满意，可续签下一年度合同，最多可续签一次。</w:t>
      </w:r>
    </w:p>
    <w:p w14:paraId="4B9893BE">
      <w:pPr>
        <w:pStyle w:val="9"/>
        <w:rPr>
          <w:color w:val="auto"/>
        </w:rPr>
      </w:pPr>
    </w:p>
    <w:p w14:paraId="7C39FFB7">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ascii="宋体" w:hAnsi="宋体"/>
          <w:b/>
          <w:bCs/>
          <w:snapToGrid w:val="0"/>
          <w:color w:val="auto"/>
          <w:spacing w:val="-2"/>
          <w:kern w:val="0"/>
          <w:sz w:val="24"/>
        </w:rPr>
      </w:pPr>
      <w:r>
        <w:rPr>
          <w:rFonts w:hint="eastAsia" w:ascii="宋体" w:hAnsi="宋体"/>
          <w:b/>
          <w:bCs/>
          <w:snapToGrid w:val="0"/>
          <w:color w:val="auto"/>
          <w:spacing w:val="-2"/>
          <w:kern w:val="0"/>
          <w:sz w:val="24"/>
          <w:lang w:val="en-US" w:eastAsia="zh-CN"/>
        </w:rPr>
        <w:t>五</w:t>
      </w:r>
      <w:r>
        <w:rPr>
          <w:rFonts w:hint="eastAsia" w:ascii="宋体" w:hAnsi="宋体"/>
          <w:b/>
          <w:bCs/>
          <w:snapToGrid w:val="0"/>
          <w:color w:val="auto"/>
          <w:spacing w:val="-2"/>
          <w:kern w:val="0"/>
          <w:sz w:val="24"/>
        </w:rPr>
        <w:t>、工期要求</w:t>
      </w:r>
    </w:p>
    <w:p w14:paraId="056EC475">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b w:val="0"/>
          <w:bCs/>
          <w:color w:val="auto"/>
          <w:kern w:val="0"/>
          <w:sz w:val="24"/>
          <w:lang w:eastAsia="zh-CN"/>
        </w:rPr>
      </w:pPr>
      <w:r>
        <w:rPr>
          <w:rFonts w:hint="eastAsia" w:ascii="宋体" w:hAnsi="宋体" w:cs="宋体"/>
          <w:b w:val="0"/>
          <w:bCs/>
          <w:color w:val="auto"/>
          <w:kern w:val="0"/>
          <w:sz w:val="24"/>
          <w:lang w:val="en-US" w:eastAsia="zh-CN"/>
        </w:rPr>
        <w:t>1.</w:t>
      </w:r>
      <w:r>
        <w:rPr>
          <w:rFonts w:hint="eastAsia" w:ascii="宋体" w:hAnsi="宋体" w:cs="宋体"/>
          <w:b w:val="0"/>
          <w:bCs/>
          <w:color w:val="auto"/>
          <w:kern w:val="0"/>
          <w:sz w:val="24"/>
          <w:lang w:eastAsia="zh-CN"/>
        </w:rPr>
        <w:t>设备安装调试必须在</w:t>
      </w:r>
      <w:r>
        <w:rPr>
          <w:rFonts w:hint="eastAsia" w:ascii="宋体" w:hAnsi="宋体" w:cs="宋体"/>
          <w:b w:val="0"/>
          <w:bCs/>
          <w:color w:val="auto"/>
          <w:kern w:val="0"/>
          <w:sz w:val="24"/>
          <w:lang w:val="en-US" w:eastAsia="zh-CN"/>
        </w:rPr>
        <w:t>合同签订后的15天内</w:t>
      </w:r>
      <w:r>
        <w:rPr>
          <w:rFonts w:hint="eastAsia" w:ascii="宋体" w:hAnsi="宋体" w:cs="宋体"/>
          <w:b w:val="0"/>
          <w:bCs/>
          <w:color w:val="auto"/>
          <w:kern w:val="0"/>
          <w:sz w:val="24"/>
          <w:lang w:eastAsia="zh-CN"/>
        </w:rPr>
        <w:t>完成；</w:t>
      </w:r>
    </w:p>
    <w:p w14:paraId="19304A21">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延迟交付时间每超过1天，按合同金额的1%付日赔偿金，最高赔偿金不超过合同金额的20%。如果中标人在达到最高赔偿金后仍不能交货，招标人有权</w:t>
      </w:r>
      <w:r>
        <w:rPr>
          <w:rFonts w:hint="eastAsia" w:ascii="宋体" w:hAnsi="宋体" w:cs="宋体"/>
          <w:color w:val="auto"/>
          <w:kern w:val="0"/>
          <w:sz w:val="24"/>
          <w:lang w:val="en-US" w:eastAsia="zh-CN"/>
        </w:rPr>
        <w:t>解除</w:t>
      </w:r>
      <w:r>
        <w:rPr>
          <w:rFonts w:hint="eastAsia" w:ascii="宋体" w:hAnsi="宋体" w:cs="宋体"/>
          <w:color w:val="auto"/>
          <w:kern w:val="0"/>
          <w:sz w:val="24"/>
          <w:lang w:eastAsia="zh-CN"/>
        </w:rPr>
        <w:t>合同，而中标人仍应支付</w:t>
      </w:r>
      <w:r>
        <w:rPr>
          <w:rFonts w:hint="eastAsia" w:ascii="宋体" w:hAnsi="宋体" w:cs="宋体"/>
          <w:color w:val="auto"/>
          <w:kern w:val="0"/>
          <w:sz w:val="24"/>
          <w:lang w:val="en-US" w:eastAsia="zh-CN"/>
        </w:rPr>
        <w:t>上述赔偿金</w:t>
      </w:r>
      <w:r>
        <w:rPr>
          <w:rFonts w:hint="eastAsia" w:ascii="宋体" w:hAnsi="宋体" w:cs="宋体"/>
          <w:color w:val="auto"/>
          <w:kern w:val="0"/>
          <w:sz w:val="24"/>
          <w:lang w:eastAsia="zh-CN"/>
        </w:rPr>
        <w:t>。</w:t>
      </w:r>
    </w:p>
    <w:p w14:paraId="0786C2C0">
      <w:pPr>
        <w:pStyle w:val="2"/>
        <w:numPr>
          <w:ilvl w:val="0"/>
          <w:numId w:val="0"/>
        </w:numPr>
        <w:kinsoku w:val="0"/>
        <w:overflowPunct w:val="0"/>
        <w:autoSpaceDE w:val="0"/>
        <w:autoSpaceDN w:val="0"/>
        <w:adjustRightInd w:val="0"/>
        <w:snapToGrid w:val="0"/>
        <w:spacing w:line="360" w:lineRule="auto"/>
        <w:ind w:leftChars="0"/>
        <w:rPr>
          <w:rFonts w:ascii="宋体" w:hAnsi="宋体" w:cs="宋体"/>
          <w:color w:val="auto"/>
          <w:sz w:val="24"/>
          <w:szCs w:val="24"/>
        </w:rPr>
      </w:pPr>
    </w:p>
    <w:p w14:paraId="456B3034">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b/>
          <w:color w:val="auto"/>
          <w:sz w:val="24"/>
        </w:rPr>
      </w:pPr>
      <w:r>
        <w:rPr>
          <w:rFonts w:hint="eastAsia"/>
          <w:b/>
          <w:color w:val="auto"/>
          <w:sz w:val="24"/>
          <w:lang w:val="en-US" w:eastAsia="zh-CN"/>
        </w:rPr>
        <w:t>六、</w:t>
      </w:r>
      <w:r>
        <w:rPr>
          <w:rFonts w:hint="eastAsia"/>
          <w:b/>
          <w:color w:val="auto"/>
          <w:sz w:val="24"/>
        </w:rPr>
        <w:t>退出机制要求</w:t>
      </w:r>
    </w:p>
    <w:p w14:paraId="4087C055">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right="246" w:rightChars="117"/>
        <w:textAlignment w:val="auto"/>
        <w:rPr>
          <w:color w:val="auto"/>
          <w:sz w:val="24"/>
        </w:rPr>
      </w:pPr>
      <w:r>
        <w:rPr>
          <w:rFonts w:hint="eastAsia"/>
          <w:color w:val="auto"/>
          <w:sz w:val="24"/>
        </w:rPr>
        <w:t>若</w:t>
      </w:r>
      <w:r>
        <w:rPr>
          <w:rFonts w:hint="eastAsia"/>
          <w:color w:val="auto"/>
          <w:sz w:val="24"/>
          <w:lang w:val="en-US" w:eastAsia="zh-CN"/>
        </w:rPr>
        <w:t>中标方</w:t>
      </w:r>
      <w:r>
        <w:rPr>
          <w:rFonts w:hint="eastAsia"/>
          <w:color w:val="auto"/>
          <w:sz w:val="24"/>
        </w:rPr>
        <w:t>出现下列情况之一，校方有权单方面解除合同：</w:t>
      </w:r>
      <w:r>
        <w:rPr>
          <w:color w:val="auto"/>
          <w:sz w:val="24"/>
        </w:rPr>
        <w:t xml:space="preserve"> </w:t>
      </w:r>
    </w:p>
    <w:p w14:paraId="2D732EB6">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1.中标方在经营期间，水质检测不合格，师生投诉率高；</w:t>
      </w:r>
    </w:p>
    <w:p w14:paraId="5125DA09">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2.中标方因不正当经营而产生重大经济纠纷给校方造成重大影响；</w:t>
      </w:r>
    </w:p>
    <w:p w14:paraId="1DDD7D0F">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3.中标方经营期间发生重大安全责任事故，给校方造成较大财产损失；</w:t>
      </w:r>
    </w:p>
    <w:p w14:paraId="494E91D2">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4.中标方不服从校方管理，恶意承诺或违背投标承诺；</w:t>
      </w:r>
    </w:p>
    <w:p w14:paraId="3A61590C">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5.若解除合同，中标方须在校方规定的时间内无条件撤场。退出时恢复场地原貌，不留存物品或影响正常使用。对未经同意留存的物品，校方有权处置。若中标方因自身原因，主动提出退出的，校方同意后方可退出。</w:t>
      </w:r>
    </w:p>
    <w:p w14:paraId="04BC0ADA">
      <w:pPr>
        <w:pStyle w:val="9"/>
        <w:rPr>
          <w:rFonts w:hint="eastAsia"/>
          <w:color w:val="auto"/>
          <w:lang w:val="en-US" w:eastAsia="zh-CN"/>
        </w:rPr>
      </w:pPr>
    </w:p>
    <w:p w14:paraId="64907249">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Times New Roman"/>
          <w:b/>
          <w:color w:val="auto"/>
          <w:sz w:val="24"/>
          <w:lang w:val="en-US" w:eastAsia="zh-CN"/>
        </w:rPr>
      </w:pPr>
      <w:r>
        <w:rPr>
          <w:rFonts w:hint="eastAsia" w:ascii="宋体" w:hAnsi="宋体" w:cs="Times New Roman"/>
          <w:b/>
          <w:color w:val="auto"/>
          <w:sz w:val="24"/>
          <w:lang w:val="en-US" w:eastAsia="zh-CN"/>
        </w:rPr>
        <w:t>七、注意事项</w:t>
      </w:r>
    </w:p>
    <w:p w14:paraId="48A2B4A6">
      <w:pPr>
        <w:pStyle w:val="2"/>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0"/>
        <w:textAlignment w:val="auto"/>
        <w:rPr>
          <w:rFonts w:ascii="宋体" w:hAnsi="宋体" w:cs="宋体"/>
          <w:color w:val="auto"/>
          <w:sz w:val="24"/>
          <w:szCs w:val="24"/>
        </w:rPr>
      </w:pPr>
      <w:r>
        <w:rPr>
          <w:rFonts w:hint="eastAsia" w:ascii="宋体" w:hAnsi="宋体" w:cs="宋体"/>
          <w:color w:val="auto"/>
          <w:sz w:val="24"/>
          <w:szCs w:val="24"/>
        </w:rPr>
        <w:t>1.</w:t>
      </w:r>
      <w:r>
        <w:rPr>
          <w:rFonts w:hint="eastAsia" w:ascii="宋体" w:hAnsi="宋体"/>
          <w:color w:val="auto"/>
          <w:sz w:val="24"/>
          <w:szCs w:val="24"/>
        </w:rPr>
        <w:t>投标单位提交投标文件的同时即认为已同意上述条款并保证遵守。</w:t>
      </w:r>
    </w:p>
    <w:p w14:paraId="0E5612E3">
      <w:pPr>
        <w:pStyle w:val="2"/>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0"/>
        <w:textAlignment w:val="auto"/>
        <w:rPr>
          <w:rFonts w:hint="eastAsia" w:ascii="宋体" w:hAnsi="宋体"/>
          <w:color w:val="auto"/>
          <w:sz w:val="24"/>
          <w:szCs w:val="24"/>
        </w:rPr>
      </w:pPr>
      <w:r>
        <w:rPr>
          <w:rFonts w:hint="eastAsia" w:ascii="宋体" w:hAnsi="宋体" w:cs="宋体"/>
          <w:color w:val="auto"/>
          <w:sz w:val="24"/>
          <w:szCs w:val="24"/>
        </w:rPr>
        <w:t>2.</w:t>
      </w:r>
      <w:r>
        <w:rPr>
          <w:rFonts w:hint="eastAsia" w:ascii="宋体" w:hAnsi="宋体"/>
          <w:color w:val="auto"/>
          <w:sz w:val="24"/>
          <w:szCs w:val="24"/>
        </w:rPr>
        <w:t>报价表中不得出现任何涂改、修正迹象，也不得出现任何选择性报价，否则一律视作</w:t>
      </w:r>
      <w:r>
        <w:rPr>
          <w:rFonts w:hint="eastAsia" w:ascii="宋体" w:hAnsi="宋体"/>
          <w:color w:val="auto"/>
          <w:sz w:val="24"/>
          <w:szCs w:val="24"/>
          <w:lang w:val="en-US" w:eastAsia="zh-CN"/>
        </w:rPr>
        <w:t>无效报价</w:t>
      </w:r>
      <w:r>
        <w:rPr>
          <w:rFonts w:hint="eastAsia" w:ascii="宋体" w:hAnsi="宋体"/>
          <w:color w:val="auto"/>
          <w:sz w:val="24"/>
          <w:szCs w:val="24"/>
        </w:rPr>
        <w:t>。</w:t>
      </w:r>
    </w:p>
    <w:p w14:paraId="2A757B53">
      <w:pPr>
        <w:pStyle w:val="2"/>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0"/>
        <w:textAlignment w:val="auto"/>
        <w:rPr>
          <w:rFonts w:hint="eastAsia" w:ascii="宋体" w:hAnsi="宋体"/>
          <w:color w:val="auto"/>
          <w:sz w:val="24"/>
          <w:szCs w:val="24"/>
        </w:rPr>
      </w:pPr>
    </w:p>
    <w:p w14:paraId="2620A9C9">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cs="Times New Roman"/>
          <w:b/>
          <w:color w:val="auto"/>
          <w:sz w:val="24"/>
          <w:lang w:val="en-US" w:eastAsia="zh-CN"/>
        </w:rPr>
      </w:pPr>
      <w:r>
        <w:rPr>
          <w:rFonts w:hint="eastAsia" w:ascii="宋体" w:hAnsi="宋体" w:cs="Times New Roman"/>
          <w:b/>
          <w:color w:val="auto"/>
          <w:sz w:val="24"/>
          <w:lang w:val="en-US" w:eastAsia="zh-CN"/>
        </w:rPr>
        <w:t>八、评分标准</w:t>
      </w:r>
    </w:p>
    <w:p w14:paraId="5EC1A2C5">
      <w:pPr>
        <w:pStyle w:val="9"/>
        <w:keepNext w:val="0"/>
        <w:keepLines w:val="0"/>
        <w:pageBreakBefore w:val="0"/>
        <w:wordWrap/>
        <w:topLinePunct w:val="0"/>
        <w:bidi w:val="0"/>
        <w:spacing w:line="360" w:lineRule="auto"/>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具体评分细则如下：</w:t>
      </w:r>
    </w:p>
    <w:tbl>
      <w:tblPr>
        <w:tblStyle w:val="6"/>
        <w:tblW w:w="90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3"/>
        <w:gridCol w:w="1326"/>
        <w:gridCol w:w="1320"/>
        <w:gridCol w:w="5578"/>
      </w:tblGrid>
      <w:tr w14:paraId="2B987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833" w:type="dxa"/>
            <w:tcBorders>
              <w:top w:val="single" w:color="auto" w:sz="12" w:space="0"/>
              <w:bottom w:val="double" w:color="auto" w:sz="6" w:space="0"/>
            </w:tcBorders>
            <w:noWrap w:val="0"/>
            <w:vAlign w:val="center"/>
          </w:tcPr>
          <w:p w14:paraId="593F0CAD">
            <w:pPr>
              <w:keepNext w:val="0"/>
              <w:keepLines w:val="0"/>
              <w:pageBreakBefore w:val="0"/>
              <w:wordWrap/>
              <w:topLinePunct w:val="0"/>
              <w:bidi w:val="0"/>
              <w:spacing w:line="360" w:lineRule="auto"/>
              <w:ind w:left="67" w:leftChars="30" w:right="63" w:rightChars="30" w:hanging="4" w:hangingChars="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326" w:type="dxa"/>
            <w:tcBorders>
              <w:top w:val="single" w:color="auto" w:sz="12" w:space="0"/>
              <w:bottom w:val="double" w:color="auto" w:sz="6" w:space="0"/>
            </w:tcBorders>
            <w:noWrap w:val="0"/>
            <w:vAlign w:val="center"/>
          </w:tcPr>
          <w:p w14:paraId="485B476B">
            <w:pPr>
              <w:keepNext w:val="0"/>
              <w:keepLines w:val="0"/>
              <w:pageBreakBefore w:val="0"/>
              <w:wordWrap/>
              <w:topLinePunct w:val="0"/>
              <w:bidi w:val="0"/>
              <w:spacing w:line="360" w:lineRule="auto"/>
              <w:ind w:left="67" w:leftChars="30" w:right="63" w:rightChars="30" w:hanging="4" w:hangingChars="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评标要素</w:t>
            </w:r>
          </w:p>
        </w:tc>
        <w:tc>
          <w:tcPr>
            <w:tcW w:w="1320" w:type="dxa"/>
            <w:tcBorders>
              <w:top w:val="single" w:color="auto" w:sz="12" w:space="0"/>
              <w:bottom w:val="double" w:color="auto" w:sz="6" w:space="0"/>
            </w:tcBorders>
            <w:noWrap w:val="0"/>
            <w:vAlign w:val="center"/>
          </w:tcPr>
          <w:p w14:paraId="10FE21FE">
            <w:pPr>
              <w:keepNext w:val="0"/>
              <w:keepLines w:val="0"/>
              <w:pageBreakBefore w:val="0"/>
              <w:wordWrap/>
              <w:topLinePunct w:val="0"/>
              <w:bidi w:val="0"/>
              <w:spacing w:line="360" w:lineRule="auto"/>
              <w:ind w:left="67" w:leftChars="30" w:right="63" w:rightChars="30" w:hanging="4" w:hangingChars="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rPr>
              <w:t>分值</w:t>
            </w:r>
          </w:p>
        </w:tc>
        <w:tc>
          <w:tcPr>
            <w:tcW w:w="5578" w:type="dxa"/>
            <w:tcBorders>
              <w:top w:val="single" w:color="auto" w:sz="12" w:space="0"/>
              <w:bottom w:val="double" w:color="auto" w:sz="6" w:space="0"/>
            </w:tcBorders>
            <w:noWrap w:val="0"/>
            <w:vAlign w:val="center"/>
          </w:tcPr>
          <w:p w14:paraId="2B0A50B4">
            <w:pPr>
              <w:keepNext w:val="0"/>
              <w:keepLines w:val="0"/>
              <w:pageBreakBefore w:val="0"/>
              <w:wordWrap/>
              <w:topLinePunct w:val="0"/>
              <w:bidi w:val="0"/>
              <w:spacing w:line="360" w:lineRule="auto"/>
              <w:ind w:left="67" w:leftChars="30" w:right="63" w:rightChars="30" w:hanging="4" w:hangingChars="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主要评审内容</w:t>
            </w:r>
          </w:p>
        </w:tc>
      </w:tr>
      <w:tr w14:paraId="7827A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33" w:type="dxa"/>
            <w:tcBorders>
              <w:top w:val="double" w:color="auto" w:sz="6" w:space="0"/>
              <w:bottom w:val="single" w:color="auto" w:sz="6" w:space="0"/>
            </w:tcBorders>
            <w:noWrap w:val="0"/>
            <w:vAlign w:val="center"/>
          </w:tcPr>
          <w:p w14:paraId="71AC89A7">
            <w:pPr>
              <w:keepNext w:val="0"/>
              <w:keepLines w:val="0"/>
              <w:pageBreakBefore w:val="0"/>
              <w:numPr>
                <w:ilvl w:val="0"/>
                <w:numId w:val="1"/>
              </w:numPr>
              <w:wordWrap/>
              <w:topLinePunct w:val="0"/>
              <w:bidi w:val="0"/>
              <w:adjustRightInd w:val="0"/>
              <w:spacing w:line="360" w:lineRule="auto"/>
              <w:jc w:val="center"/>
              <w:textAlignment w:val="baseline"/>
              <w:rPr>
                <w:rFonts w:hint="eastAsia" w:ascii="宋体" w:hAnsi="宋体" w:eastAsia="宋体" w:cs="宋体"/>
                <w:color w:val="auto"/>
                <w:sz w:val="21"/>
                <w:szCs w:val="21"/>
                <w:highlight w:val="none"/>
              </w:rPr>
            </w:pPr>
          </w:p>
        </w:tc>
        <w:tc>
          <w:tcPr>
            <w:tcW w:w="1326" w:type="dxa"/>
            <w:tcBorders>
              <w:top w:val="double" w:color="auto" w:sz="6" w:space="0"/>
              <w:bottom w:val="single" w:color="auto" w:sz="6" w:space="0"/>
            </w:tcBorders>
            <w:noWrap w:val="0"/>
            <w:vAlign w:val="center"/>
          </w:tcPr>
          <w:p w14:paraId="7D1AEB4C">
            <w:pPr>
              <w:keepNext w:val="0"/>
              <w:keepLines w:val="0"/>
              <w:pageBreakBefore w:val="0"/>
              <w:wordWrap/>
              <w:topLinePunct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w:t>
            </w:r>
          </w:p>
        </w:tc>
        <w:tc>
          <w:tcPr>
            <w:tcW w:w="1320" w:type="dxa"/>
            <w:tcBorders>
              <w:top w:val="double" w:color="auto" w:sz="6" w:space="0"/>
              <w:bottom w:val="single" w:color="auto" w:sz="6" w:space="0"/>
            </w:tcBorders>
            <w:noWrap w:val="0"/>
            <w:vAlign w:val="center"/>
          </w:tcPr>
          <w:p w14:paraId="716C2C58">
            <w:pPr>
              <w:keepNext w:val="0"/>
              <w:keepLines w:val="0"/>
              <w:pageBreakBefore w:val="0"/>
              <w:wordWrap/>
              <w:topLinePunct w:val="0"/>
              <w:bidi w:val="0"/>
              <w:spacing w:line="360" w:lineRule="auto"/>
              <w:ind w:left="4" w:hanging="4" w:hangingChars="2"/>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0</w:t>
            </w:r>
          </w:p>
        </w:tc>
        <w:tc>
          <w:tcPr>
            <w:tcW w:w="5578" w:type="dxa"/>
            <w:tcBorders>
              <w:top w:val="double" w:color="auto" w:sz="6" w:space="0"/>
              <w:bottom w:val="single" w:color="auto" w:sz="6" w:space="0"/>
            </w:tcBorders>
            <w:noWrap w:val="0"/>
            <w:vAlign w:val="center"/>
          </w:tcPr>
          <w:p w14:paraId="1A1E5B91">
            <w:pPr>
              <w:widowControl/>
              <w:spacing w:line="360" w:lineRule="auto"/>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投标报价得分=（评标基准价/投标人的投标报价）</w:t>
            </w:r>
            <w:r>
              <w:rPr>
                <w:rFonts w:hint="eastAsia" w:ascii="宋体" w:hAnsi="宋体" w:eastAsia="宋体" w:cs="宋体"/>
                <w:bCs/>
                <w:color w:val="auto"/>
                <w:sz w:val="21"/>
                <w:szCs w:val="21"/>
                <w:highlight w:val="none"/>
              </w:rPr>
              <w:t>×</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0</w:t>
            </w:r>
            <w:r>
              <w:rPr>
                <w:rFonts w:hint="eastAsia" w:ascii="宋体" w:hAnsi="宋体" w:cs="宋体"/>
                <w:color w:val="auto"/>
                <w:kern w:val="0"/>
                <w:szCs w:val="21"/>
                <w:lang w:eastAsia="zh-CN"/>
              </w:rPr>
              <w:t>，</w:t>
            </w:r>
          </w:p>
          <w:p w14:paraId="7EEA2D52">
            <w:pPr>
              <w:keepNext w:val="0"/>
              <w:keepLines w:val="0"/>
              <w:pageBreakBefore w:val="0"/>
              <w:wordWrap/>
              <w:topLinePunct w:val="0"/>
              <w:bidi w:val="0"/>
              <w:spacing w:line="360" w:lineRule="auto"/>
              <w:ind w:left="4" w:hanging="4" w:hangingChars="2"/>
              <w:rPr>
                <w:rFonts w:hint="eastAsia" w:ascii="宋体" w:hAnsi="宋体" w:eastAsia="宋体" w:cs="宋体"/>
                <w:bCs/>
                <w:color w:val="auto"/>
                <w:sz w:val="21"/>
                <w:szCs w:val="21"/>
                <w:highlight w:val="none"/>
              </w:rPr>
            </w:pPr>
            <w:r>
              <w:rPr>
                <w:rFonts w:hint="eastAsia" w:ascii="宋体" w:hAnsi="宋体" w:cs="宋体"/>
                <w:color w:val="auto"/>
                <w:kern w:val="0"/>
                <w:szCs w:val="21"/>
                <w:lang w:val="en-US" w:eastAsia="zh-CN"/>
              </w:rPr>
              <w:t>报价少于4家（含4家）以最低价为基准价，</w:t>
            </w:r>
            <w:r>
              <w:rPr>
                <w:rFonts w:hint="eastAsia" w:ascii="宋体" w:hAnsi="宋体" w:eastAsia="宋体" w:cs="宋体"/>
                <w:color w:val="auto"/>
                <w:kern w:val="0"/>
                <w:szCs w:val="21"/>
              </w:rPr>
              <w:t>有效标超过 5家（含5家）时去掉一个最高报价和一个最低报价，其余有效报价的算术平均值为评标基准价。有效标报价超过8家（含8家），取邻近基准价上下各4家为入围评审单位。</w:t>
            </w:r>
          </w:p>
        </w:tc>
      </w:tr>
      <w:tr w14:paraId="551BB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33" w:type="dxa"/>
            <w:noWrap w:val="0"/>
            <w:vAlign w:val="center"/>
          </w:tcPr>
          <w:p w14:paraId="0BBF2909">
            <w:pPr>
              <w:keepNext w:val="0"/>
              <w:keepLines w:val="0"/>
              <w:pageBreakBefore w:val="0"/>
              <w:numPr>
                <w:ilvl w:val="0"/>
                <w:numId w:val="1"/>
              </w:numPr>
              <w:wordWrap/>
              <w:topLinePunct w:val="0"/>
              <w:bidi w:val="0"/>
              <w:adjustRightInd w:val="0"/>
              <w:spacing w:line="360" w:lineRule="auto"/>
              <w:jc w:val="center"/>
              <w:textAlignment w:val="baseline"/>
              <w:rPr>
                <w:rFonts w:hint="eastAsia" w:ascii="宋体" w:hAnsi="宋体" w:eastAsia="宋体" w:cs="宋体"/>
                <w:color w:val="auto"/>
                <w:sz w:val="21"/>
                <w:szCs w:val="21"/>
                <w:highlight w:val="none"/>
              </w:rPr>
            </w:pPr>
          </w:p>
        </w:tc>
        <w:tc>
          <w:tcPr>
            <w:tcW w:w="1326" w:type="dxa"/>
            <w:noWrap w:val="0"/>
            <w:vAlign w:val="center"/>
          </w:tcPr>
          <w:p w14:paraId="513729D6">
            <w:pPr>
              <w:keepNext w:val="0"/>
              <w:keepLines w:val="0"/>
              <w:pageBreakBefore w:val="0"/>
              <w:wordWrap/>
              <w:topLinePunct w:val="0"/>
              <w:bidi w:val="0"/>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企业资质</w:t>
            </w:r>
          </w:p>
        </w:tc>
        <w:tc>
          <w:tcPr>
            <w:tcW w:w="1320" w:type="dxa"/>
            <w:noWrap w:val="0"/>
            <w:vAlign w:val="center"/>
          </w:tcPr>
          <w:p w14:paraId="1EB30CAE">
            <w:pPr>
              <w:keepNext w:val="0"/>
              <w:keepLines w:val="0"/>
              <w:pageBreakBefore w:val="0"/>
              <w:wordWrap/>
              <w:topLinePunct w:val="0"/>
              <w:bidi w:val="0"/>
              <w:spacing w:line="360" w:lineRule="auto"/>
              <w:ind w:left="420" w:hanging="420" w:hangingChars="20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5578" w:type="dxa"/>
            <w:tcBorders>
              <w:top w:val="single" w:color="auto" w:sz="6" w:space="0"/>
            </w:tcBorders>
            <w:noWrap w:val="0"/>
            <w:vAlign w:val="center"/>
          </w:tcPr>
          <w:p w14:paraId="1D05A47E">
            <w:pPr>
              <w:keepNext w:val="0"/>
              <w:keepLines w:val="0"/>
              <w:pageBreakBefore w:val="0"/>
              <w:wordWrap/>
              <w:topLinePunct w:val="0"/>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营业执照（复印件并加盖公章</w:t>
            </w:r>
            <w:r>
              <w:rPr>
                <w:rFonts w:hint="eastAsia" w:ascii="宋体" w:hAnsi="宋体" w:eastAsia="宋体" w:cs="宋体"/>
                <w:color w:val="auto"/>
                <w:sz w:val="21"/>
                <w:szCs w:val="21"/>
                <w:highlight w:val="none"/>
                <w:lang w:eastAsia="zh-CN"/>
              </w:rPr>
              <w:t>）；</w:t>
            </w:r>
          </w:p>
          <w:p w14:paraId="70656ED4">
            <w:pPr>
              <w:keepNext w:val="0"/>
              <w:keepLines w:val="0"/>
              <w:pageBreakBefore w:val="0"/>
              <w:wordWrap/>
              <w:topLinePunct w:val="0"/>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2.涉及饮用水卫生安全产品卫生许可批件；</w:t>
            </w:r>
          </w:p>
          <w:p w14:paraId="7C66210E">
            <w:pPr>
              <w:keepNext w:val="0"/>
              <w:keepLines w:val="0"/>
              <w:pageBreakBefore w:val="0"/>
              <w:wordWrap/>
              <w:topLinePunct w:val="0"/>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3.所配备产品的3C认证证书；</w:t>
            </w:r>
          </w:p>
          <w:p w14:paraId="0572E1B5">
            <w:pPr>
              <w:keepNext w:val="0"/>
              <w:keepLines w:val="0"/>
              <w:pageBreakBefore w:val="0"/>
              <w:wordWrap/>
              <w:topLinePunct w:val="0"/>
              <w:bidi w:val="0"/>
              <w:spacing w:line="360" w:lineRule="auto"/>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4.服务承诺书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违约处罚承诺书</w:t>
            </w:r>
            <w:r>
              <w:rPr>
                <w:rFonts w:hint="eastAsia" w:ascii="宋体" w:hAnsi="宋体" w:cs="宋体"/>
                <w:color w:val="auto"/>
                <w:sz w:val="21"/>
                <w:szCs w:val="21"/>
                <w:highlight w:val="none"/>
                <w:lang w:val="en-US" w:eastAsia="zh-CN"/>
              </w:rPr>
              <w:t>；</w:t>
            </w:r>
          </w:p>
          <w:p w14:paraId="76AC8684">
            <w:pPr>
              <w:keepNext w:val="0"/>
              <w:keepLines w:val="0"/>
              <w:pageBreakBefore w:val="0"/>
              <w:wordWrap/>
              <w:topLinePunct w:val="0"/>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5.水质检测报告</w:t>
            </w:r>
            <w:r>
              <w:rPr>
                <w:rFonts w:hint="eastAsia" w:ascii="宋体" w:hAnsi="宋体" w:eastAsia="宋体" w:cs="宋体"/>
                <w:color w:val="auto"/>
                <w:sz w:val="21"/>
                <w:szCs w:val="21"/>
                <w:highlight w:val="none"/>
                <w:lang w:val="en-US" w:eastAsia="zh-CN"/>
              </w:rPr>
              <w:t>。</w:t>
            </w:r>
          </w:p>
          <w:p w14:paraId="28C66BE5">
            <w:pPr>
              <w:keepNext w:val="0"/>
              <w:keepLines w:val="0"/>
              <w:pageBreakBefore w:val="0"/>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每提供一个证书证明文件得1分，最高5分。</w:t>
            </w:r>
          </w:p>
        </w:tc>
      </w:tr>
      <w:tr w14:paraId="168F6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33" w:type="dxa"/>
            <w:noWrap w:val="0"/>
            <w:vAlign w:val="center"/>
          </w:tcPr>
          <w:p w14:paraId="0DD3BAFD">
            <w:pPr>
              <w:keepNext w:val="0"/>
              <w:keepLines w:val="0"/>
              <w:pageBreakBefore w:val="0"/>
              <w:numPr>
                <w:ilvl w:val="0"/>
                <w:numId w:val="1"/>
              </w:numPr>
              <w:wordWrap/>
              <w:topLinePunct w:val="0"/>
              <w:bidi w:val="0"/>
              <w:adjustRightInd w:val="0"/>
              <w:spacing w:line="360" w:lineRule="auto"/>
              <w:jc w:val="center"/>
              <w:textAlignment w:val="baseline"/>
              <w:rPr>
                <w:rFonts w:hint="eastAsia" w:ascii="宋体" w:hAnsi="宋体" w:eastAsia="宋体" w:cs="宋体"/>
                <w:color w:val="auto"/>
                <w:sz w:val="21"/>
                <w:szCs w:val="21"/>
                <w:highlight w:val="none"/>
              </w:rPr>
            </w:pPr>
          </w:p>
        </w:tc>
        <w:tc>
          <w:tcPr>
            <w:tcW w:w="1326" w:type="dxa"/>
            <w:noWrap w:val="0"/>
            <w:vAlign w:val="center"/>
          </w:tcPr>
          <w:p w14:paraId="70A9BFDC">
            <w:pPr>
              <w:keepNext w:val="0"/>
              <w:keepLines w:val="0"/>
              <w:pageBreakBefore w:val="0"/>
              <w:wordWrap/>
              <w:topLinePunct w:val="0"/>
              <w:bidi w:val="0"/>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饮水机技术参数</w:t>
            </w:r>
          </w:p>
        </w:tc>
        <w:tc>
          <w:tcPr>
            <w:tcW w:w="1320" w:type="dxa"/>
            <w:noWrap w:val="0"/>
            <w:vAlign w:val="center"/>
          </w:tcPr>
          <w:p w14:paraId="0F42FD33">
            <w:pPr>
              <w:keepNext w:val="0"/>
              <w:keepLines w:val="0"/>
              <w:pageBreakBefore w:val="0"/>
              <w:wordWrap/>
              <w:topLinePunct w:val="0"/>
              <w:bidi w:val="0"/>
              <w:spacing w:line="360" w:lineRule="auto"/>
              <w:ind w:left="420" w:hanging="420" w:hangingChars="20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20</w:t>
            </w:r>
          </w:p>
        </w:tc>
        <w:tc>
          <w:tcPr>
            <w:tcW w:w="5578" w:type="dxa"/>
            <w:tcBorders>
              <w:top w:val="single" w:color="auto" w:sz="6" w:space="0"/>
            </w:tcBorders>
            <w:noWrap w:val="0"/>
            <w:vAlign w:val="center"/>
          </w:tcPr>
          <w:p w14:paraId="02CE6D7F">
            <w:pPr>
              <w:keepNext w:val="0"/>
              <w:keepLines w:val="0"/>
              <w:pageBreakBefore w:val="0"/>
              <w:widowControl/>
              <w:wordWrap/>
              <w:topLinePunct w:val="0"/>
              <w:bidi w:val="0"/>
              <w:spacing w:line="360" w:lineRule="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投标人提供技术</w:t>
            </w:r>
            <w:r>
              <w:rPr>
                <w:rFonts w:hint="eastAsia" w:ascii="宋体" w:hAnsi="宋体" w:eastAsia="宋体" w:cs="宋体"/>
                <w:color w:val="auto"/>
                <w:kern w:val="0"/>
                <w:sz w:val="21"/>
                <w:szCs w:val="21"/>
                <w:highlight w:val="none"/>
                <w:lang w:val="en-US" w:eastAsia="zh-CN"/>
              </w:rPr>
              <w:t>参数</w:t>
            </w:r>
            <w:r>
              <w:rPr>
                <w:rFonts w:hint="eastAsia" w:ascii="宋体" w:hAnsi="宋体" w:eastAsia="宋体" w:cs="宋体"/>
                <w:color w:val="auto"/>
                <w:kern w:val="0"/>
                <w:sz w:val="21"/>
                <w:szCs w:val="21"/>
                <w:highlight w:val="none"/>
              </w:rPr>
              <w:t>偏离表，</w:t>
            </w:r>
            <w:r>
              <w:rPr>
                <w:rFonts w:hint="eastAsia" w:ascii="宋体" w:hAnsi="宋体" w:eastAsia="宋体" w:cs="宋体"/>
                <w:color w:val="auto"/>
                <w:kern w:val="0"/>
                <w:sz w:val="21"/>
                <w:szCs w:val="21"/>
                <w:highlight w:val="none"/>
                <w:lang w:val="en-US" w:eastAsia="zh-CN"/>
              </w:rPr>
              <w:t>未提供扣5分。</w:t>
            </w:r>
            <w:r>
              <w:rPr>
                <w:rFonts w:hint="eastAsia" w:ascii="宋体" w:hAnsi="宋体" w:eastAsia="宋体" w:cs="宋体"/>
                <w:color w:val="auto"/>
                <w:kern w:val="0"/>
                <w:sz w:val="21"/>
                <w:szCs w:val="21"/>
                <w:highlight w:val="none"/>
              </w:rPr>
              <w:t>如设备参数及技术规格低于招标文件要求，即为负偏离</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每有一项参数负偏离扣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分，扣完为止</w:t>
            </w:r>
            <w:r>
              <w:rPr>
                <w:rFonts w:hint="eastAsia" w:ascii="宋体" w:hAnsi="宋体" w:eastAsia="宋体" w:cs="宋体"/>
                <w:color w:val="auto"/>
                <w:kern w:val="0"/>
                <w:sz w:val="21"/>
                <w:szCs w:val="21"/>
                <w:highlight w:val="none"/>
                <w:lang w:eastAsia="zh-CN"/>
              </w:rPr>
              <w:t>；</w:t>
            </w:r>
          </w:p>
          <w:p w14:paraId="2620A96C">
            <w:pPr>
              <w:keepNext w:val="0"/>
              <w:keepLines w:val="0"/>
              <w:pageBreakBefore w:val="0"/>
              <w:widowControl/>
              <w:wordWrap/>
              <w:topLinePunct w:val="0"/>
              <w:bidi w:val="0"/>
              <w:spacing w:line="360" w:lineRule="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详细介绍直饮净水机设备参数、性能、净化原理、核心优势、安全保障等技术说明</w:t>
            </w:r>
            <w:r>
              <w:rPr>
                <w:rFonts w:hint="eastAsia" w:ascii="宋体" w:hAnsi="宋体" w:eastAsia="宋体" w:cs="宋体"/>
                <w:color w:val="auto"/>
                <w:kern w:val="0"/>
                <w:sz w:val="21"/>
                <w:szCs w:val="21"/>
                <w:highlight w:val="none"/>
                <w:lang w:val="en-US" w:eastAsia="zh-CN"/>
              </w:rPr>
              <w:t>；</w:t>
            </w:r>
          </w:p>
          <w:p w14:paraId="520CE832">
            <w:pPr>
              <w:keepNext w:val="0"/>
              <w:keepLines w:val="0"/>
              <w:pageBreakBefore w:val="0"/>
              <w:widowControl/>
              <w:wordWrap/>
              <w:topLinePunct w:val="0"/>
              <w:bidi w:val="0"/>
              <w:spacing w:line="360" w:lineRule="auto"/>
              <w:rPr>
                <w:rFonts w:hint="eastAsia"/>
                <w:color w:val="auto"/>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.提供</w:t>
            </w:r>
            <w:r>
              <w:rPr>
                <w:rFonts w:hint="eastAsia" w:ascii="宋体" w:hAnsi="宋体" w:eastAsia="宋体" w:cs="宋体"/>
                <w:color w:val="auto"/>
                <w:kern w:val="0"/>
                <w:sz w:val="21"/>
                <w:szCs w:val="21"/>
                <w:highlight w:val="none"/>
              </w:rPr>
              <w:t>所配备饮水机的外观</w:t>
            </w:r>
            <w:r>
              <w:rPr>
                <w:rFonts w:hint="eastAsia" w:ascii="宋体" w:hAnsi="宋体" w:eastAsia="宋体" w:cs="宋体"/>
                <w:color w:val="auto"/>
                <w:kern w:val="0"/>
                <w:sz w:val="21"/>
                <w:szCs w:val="21"/>
                <w:highlight w:val="none"/>
                <w:lang w:val="en-US" w:eastAsia="zh-CN"/>
              </w:rPr>
              <w:t>图片</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尺寸，</w:t>
            </w:r>
            <w:r>
              <w:rPr>
                <w:rFonts w:hint="eastAsia" w:ascii="宋体" w:hAnsi="宋体" w:eastAsia="宋体" w:cs="宋体"/>
                <w:color w:val="auto"/>
                <w:kern w:val="0"/>
                <w:sz w:val="21"/>
                <w:szCs w:val="21"/>
                <w:highlight w:val="none"/>
                <w:lang w:val="en-US" w:eastAsia="zh-CN"/>
              </w:rPr>
              <w:t>出水口尺寸。</w:t>
            </w:r>
          </w:p>
        </w:tc>
      </w:tr>
      <w:tr w14:paraId="3D55A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33" w:type="dxa"/>
            <w:noWrap w:val="0"/>
            <w:vAlign w:val="center"/>
          </w:tcPr>
          <w:p w14:paraId="2E8A5A43">
            <w:pPr>
              <w:keepNext w:val="0"/>
              <w:keepLines w:val="0"/>
              <w:pageBreakBefore w:val="0"/>
              <w:numPr>
                <w:ilvl w:val="0"/>
                <w:numId w:val="1"/>
              </w:numPr>
              <w:wordWrap/>
              <w:topLinePunct w:val="0"/>
              <w:bidi w:val="0"/>
              <w:adjustRightInd w:val="0"/>
              <w:spacing w:line="360" w:lineRule="auto"/>
              <w:jc w:val="center"/>
              <w:textAlignment w:val="baseline"/>
              <w:rPr>
                <w:rFonts w:hint="eastAsia" w:ascii="宋体" w:hAnsi="宋体" w:eastAsia="宋体" w:cs="宋体"/>
                <w:color w:val="auto"/>
                <w:sz w:val="21"/>
                <w:szCs w:val="21"/>
                <w:highlight w:val="none"/>
              </w:rPr>
            </w:pPr>
          </w:p>
        </w:tc>
        <w:tc>
          <w:tcPr>
            <w:tcW w:w="1326" w:type="dxa"/>
            <w:noWrap w:val="0"/>
            <w:vAlign w:val="center"/>
          </w:tcPr>
          <w:p w14:paraId="0BDDD45E">
            <w:pPr>
              <w:keepNext w:val="0"/>
              <w:keepLines w:val="0"/>
              <w:pageBreakBefore w:val="0"/>
              <w:wordWrap/>
              <w:topLinePunct w:val="0"/>
              <w:bidi w:val="0"/>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服务方案</w:t>
            </w:r>
          </w:p>
        </w:tc>
        <w:tc>
          <w:tcPr>
            <w:tcW w:w="1320" w:type="dxa"/>
            <w:noWrap w:val="0"/>
            <w:vAlign w:val="center"/>
          </w:tcPr>
          <w:p w14:paraId="3B22099E">
            <w:pPr>
              <w:keepNext w:val="0"/>
              <w:keepLines w:val="0"/>
              <w:pageBreakBefore w:val="0"/>
              <w:wordWrap/>
              <w:topLinePunct w:val="0"/>
              <w:bidi w:val="0"/>
              <w:spacing w:line="360" w:lineRule="auto"/>
              <w:ind w:left="420" w:hanging="420" w:hangingChars="20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15</w:t>
            </w:r>
          </w:p>
        </w:tc>
        <w:tc>
          <w:tcPr>
            <w:tcW w:w="5578" w:type="dxa"/>
            <w:tcBorders>
              <w:top w:val="single" w:color="auto" w:sz="6" w:space="0"/>
            </w:tcBorders>
            <w:noWrap w:val="0"/>
            <w:vAlign w:val="center"/>
          </w:tcPr>
          <w:p w14:paraId="4D1A922A">
            <w:pPr>
              <w:keepNext w:val="0"/>
              <w:keepLines w:val="0"/>
              <w:pageBreakBefore w:val="0"/>
              <w:widowControl/>
              <w:numPr>
                <w:ilvl w:val="0"/>
                <w:numId w:val="0"/>
              </w:numPr>
              <w:wordWrap/>
              <w:topLinePunct w:val="0"/>
              <w:bidi w:val="0"/>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投标人提供工作计划进度</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项目实施方案</w:t>
            </w:r>
            <w:r>
              <w:rPr>
                <w:rFonts w:hint="eastAsia" w:ascii="宋体" w:hAnsi="宋体" w:cs="宋体"/>
                <w:color w:val="auto"/>
                <w:kern w:val="0"/>
                <w:sz w:val="21"/>
                <w:szCs w:val="21"/>
                <w:highlight w:val="none"/>
                <w:lang w:val="en-US" w:eastAsia="zh-CN"/>
              </w:rPr>
              <w:t>及培训方案</w:t>
            </w:r>
            <w:r>
              <w:rPr>
                <w:rFonts w:hint="eastAsia" w:ascii="宋体" w:hAnsi="宋体" w:eastAsia="宋体" w:cs="宋体"/>
                <w:color w:val="auto"/>
                <w:kern w:val="0"/>
                <w:sz w:val="21"/>
                <w:szCs w:val="21"/>
                <w:highlight w:val="none"/>
              </w:rPr>
              <w:t>，包括所投标产品的供货、安装调试及成品保护、项目实施质量控制是否完善等内容</w:t>
            </w:r>
            <w:r>
              <w:rPr>
                <w:rFonts w:hint="eastAsia" w:ascii="宋体" w:hAnsi="宋体" w:cs="宋体"/>
                <w:color w:val="auto"/>
                <w:kern w:val="0"/>
                <w:sz w:val="21"/>
                <w:szCs w:val="21"/>
                <w:highlight w:val="none"/>
                <w:lang w:eastAsia="zh-CN"/>
              </w:rPr>
              <w:t>；</w:t>
            </w:r>
          </w:p>
          <w:p w14:paraId="72F9B07A">
            <w:pPr>
              <w:keepNext w:val="0"/>
              <w:keepLines w:val="0"/>
              <w:pageBreakBefore w:val="0"/>
              <w:widowControl/>
              <w:wordWrap/>
              <w:topLinePunct w:val="0"/>
              <w:bidi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工作计划完整、可行，实施方案有针对性、合理完善的得</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分；有实施方案，方案基本合理的得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分；实施方案无针对性，方案一般的得1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分；未提供项目实施方案不得分。</w:t>
            </w:r>
          </w:p>
        </w:tc>
      </w:tr>
      <w:tr w14:paraId="19B3A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33" w:type="dxa"/>
            <w:noWrap w:val="0"/>
            <w:vAlign w:val="center"/>
          </w:tcPr>
          <w:p w14:paraId="2D08E7C0">
            <w:pPr>
              <w:keepNext w:val="0"/>
              <w:keepLines w:val="0"/>
              <w:pageBreakBefore w:val="0"/>
              <w:numPr>
                <w:ilvl w:val="0"/>
                <w:numId w:val="1"/>
              </w:numPr>
              <w:wordWrap/>
              <w:topLinePunct w:val="0"/>
              <w:bidi w:val="0"/>
              <w:adjustRightInd w:val="0"/>
              <w:spacing w:line="360" w:lineRule="auto"/>
              <w:jc w:val="center"/>
              <w:textAlignment w:val="baseline"/>
              <w:rPr>
                <w:rFonts w:hint="eastAsia" w:ascii="宋体" w:hAnsi="宋体" w:eastAsia="宋体" w:cs="宋体"/>
                <w:color w:val="auto"/>
                <w:sz w:val="21"/>
                <w:szCs w:val="21"/>
                <w:highlight w:val="none"/>
              </w:rPr>
            </w:pPr>
          </w:p>
        </w:tc>
        <w:tc>
          <w:tcPr>
            <w:tcW w:w="1326" w:type="dxa"/>
            <w:noWrap w:val="0"/>
            <w:vAlign w:val="center"/>
          </w:tcPr>
          <w:p w14:paraId="22F934F3">
            <w:pPr>
              <w:keepNext w:val="0"/>
              <w:keepLines w:val="0"/>
              <w:pageBreakBefore w:val="0"/>
              <w:wordWrap/>
              <w:topLinePunct w:val="0"/>
              <w:bidi w:val="0"/>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售后服务方案</w:t>
            </w:r>
            <w:r>
              <w:rPr>
                <w:rFonts w:hint="eastAsia" w:ascii="宋体" w:hAnsi="宋体" w:cs="宋体"/>
                <w:color w:val="auto"/>
                <w:sz w:val="21"/>
                <w:szCs w:val="21"/>
                <w:highlight w:val="none"/>
                <w:lang w:val="en-US" w:eastAsia="zh-CN"/>
              </w:rPr>
              <w:t>响应</w:t>
            </w:r>
          </w:p>
        </w:tc>
        <w:tc>
          <w:tcPr>
            <w:tcW w:w="1320" w:type="dxa"/>
            <w:noWrap w:val="0"/>
            <w:vAlign w:val="center"/>
          </w:tcPr>
          <w:p w14:paraId="26F5AC0C">
            <w:pPr>
              <w:keepNext w:val="0"/>
              <w:keepLines w:val="0"/>
              <w:pageBreakBefore w:val="0"/>
              <w:wordWrap/>
              <w:topLinePunct w:val="0"/>
              <w:bidi w:val="0"/>
              <w:spacing w:line="360" w:lineRule="auto"/>
              <w:ind w:left="420" w:hanging="420" w:hangingChars="20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20</w:t>
            </w:r>
          </w:p>
        </w:tc>
        <w:tc>
          <w:tcPr>
            <w:tcW w:w="5578" w:type="dxa"/>
            <w:tcBorders>
              <w:top w:val="single" w:color="auto" w:sz="6" w:space="0"/>
            </w:tcBorders>
            <w:noWrap w:val="0"/>
            <w:vAlign w:val="center"/>
          </w:tcPr>
          <w:p w14:paraId="76AE3885">
            <w:pPr>
              <w:keepNext w:val="0"/>
              <w:keepLines w:val="0"/>
              <w:pageBreakBefore w:val="0"/>
              <w:widowControl/>
              <w:wordWrap/>
              <w:topLinePunct w:val="0"/>
              <w:bidi w:val="0"/>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1.提供详细售后服务运行维护制度、设备日常维护保养制度和档案管理制度等内容；</w:t>
            </w:r>
          </w:p>
          <w:p w14:paraId="318626FC">
            <w:pPr>
              <w:keepNext w:val="0"/>
              <w:keepLines w:val="0"/>
              <w:pageBreakBefore w:val="0"/>
              <w:widowControl/>
              <w:wordWrap/>
              <w:topLinePunct w:val="0"/>
              <w:bidi w:val="0"/>
              <w:spacing w:line="360" w:lineRule="auto"/>
              <w:rPr>
                <w:rFonts w:hint="eastAsia" w:ascii="宋体" w:hAnsi="宋体" w:eastAsia="宋体" w:cs="宋体"/>
                <w:bCs/>
                <w:color w:val="auto"/>
                <w:sz w:val="21"/>
                <w:szCs w:val="21"/>
                <w:highlight w:val="none"/>
              </w:rPr>
            </w:pPr>
            <w:r>
              <w:rPr>
                <w:rFonts w:hint="eastAsia" w:ascii="宋体" w:hAnsi="宋体" w:cs="宋体"/>
                <w:color w:val="auto"/>
                <w:kern w:val="0"/>
                <w:sz w:val="21"/>
                <w:szCs w:val="21"/>
                <w:highlight w:val="none"/>
                <w:lang w:val="en-US" w:eastAsia="zh-CN"/>
              </w:rPr>
              <w:t>2.提供设备故障响应时间、突发事件的处理措施和应急预案等内容。</w:t>
            </w:r>
          </w:p>
        </w:tc>
      </w:tr>
      <w:tr w14:paraId="76F39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33" w:type="dxa"/>
            <w:noWrap w:val="0"/>
            <w:vAlign w:val="center"/>
          </w:tcPr>
          <w:p w14:paraId="267F0AC6">
            <w:pPr>
              <w:keepNext w:val="0"/>
              <w:keepLines w:val="0"/>
              <w:pageBreakBefore w:val="0"/>
              <w:numPr>
                <w:ilvl w:val="0"/>
                <w:numId w:val="1"/>
              </w:numPr>
              <w:wordWrap/>
              <w:topLinePunct w:val="0"/>
              <w:bidi w:val="0"/>
              <w:adjustRightInd w:val="0"/>
              <w:spacing w:line="360" w:lineRule="auto"/>
              <w:jc w:val="center"/>
              <w:textAlignment w:val="baseline"/>
              <w:rPr>
                <w:rFonts w:hint="eastAsia" w:ascii="宋体" w:hAnsi="宋体" w:eastAsia="宋体" w:cs="宋体"/>
                <w:color w:val="auto"/>
                <w:sz w:val="21"/>
                <w:szCs w:val="21"/>
                <w:highlight w:val="none"/>
              </w:rPr>
            </w:pPr>
          </w:p>
        </w:tc>
        <w:tc>
          <w:tcPr>
            <w:tcW w:w="1326" w:type="dxa"/>
            <w:noWrap w:val="0"/>
            <w:vAlign w:val="center"/>
          </w:tcPr>
          <w:p w14:paraId="2ED56067">
            <w:pPr>
              <w:keepNext w:val="0"/>
              <w:keepLines w:val="0"/>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服务团队</w:t>
            </w:r>
          </w:p>
        </w:tc>
        <w:tc>
          <w:tcPr>
            <w:tcW w:w="1320" w:type="dxa"/>
            <w:noWrap w:val="0"/>
            <w:vAlign w:val="center"/>
          </w:tcPr>
          <w:p w14:paraId="724D182E">
            <w:pPr>
              <w:keepNext w:val="0"/>
              <w:keepLines w:val="0"/>
              <w:pageBreakBefore w:val="0"/>
              <w:wordWrap/>
              <w:topLinePunct w:val="0"/>
              <w:bidi w:val="0"/>
              <w:spacing w:line="360" w:lineRule="auto"/>
              <w:ind w:left="420" w:hanging="420" w:hangingChars="20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5578" w:type="dxa"/>
            <w:tcBorders>
              <w:top w:val="single" w:color="auto" w:sz="6" w:space="0"/>
            </w:tcBorders>
            <w:noWrap w:val="0"/>
            <w:vAlign w:val="center"/>
          </w:tcPr>
          <w:p w14:paraId="56CBB90C">
            <w:pPr>
              <w:keepNext w:val="0"/>
              <w:keepLines w:val="0"/>
              <w:pageBreakBefore w:val="0"/>
              <w:numPr>
                <w:ilvl w:val="0"/>
                <w:numId w:val="0"/>
              </w:numPr>
              <w:wordWrap/>
              <w:topLinePunct w:val="0"/>
              <w:bidi w:val="0"/>
              <w:spacing w:line="360" w:lineRule="auto"/>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lang w:val="en-US" w:eastAsia="zh-CN" w:bidi="ar-SA"/>
              </w:rPr>
              <w:t>1.</w:t>
            </w:r>
            <w:r>
              <w:rPr>
                <w:rFonts w:hint="eastAsia" w:ascii="宋体" w:hAnsi="宋体" w:cs="宋体"/>
                <w:color w:val="auto"/>
                <w:kern w:val="0"/>
                <w:sz w:val="21"/>
                <w:szCs w:val="21"/>
                <w:highlight w:val="none"/>
                <w:lang w:val="en-US" w:eastAsia="zh-CN"/>
              </w:rPr>
              <w:t>提供项目负责人及现场维保人员配置表，得2分；</w:t>
            </w:r>
          </w:p>
          <w:p w14:paraId="6AB935E2">
            <w:pPr>
              <w:pStyle w:val="9"/>
              <w:numPr>
                <w:ilvl w:val="0"/>
                <w:numId w:val="0"/>
              </w:numPr>
              <w:rPr>
                <w:rFonts w:hint="default"/>
                <w:color w:val="auto"/>
                <w:lang w:val="en-US"/>
              </w:rPr>
            </w:pPr>
            <w:r>
              <w:rPr>
                <w:rFonts w:hint="default" w:ascii="Optimum" w:hAnsi="Times New Roman" w:eastAsia="Optimum" w:cs="Times New Roman"/>
                <w:color w:val="auto"/>
                <w:sz w:val="24"/>
                <w:szCs w:val="24"/>
                <w:lang w:val="en-US" w:eastAsia="zh-CN" w:bidi="ar-SA"/>
              </w:rPr>
              <w:t>2.</w:t>
            </w:r>
            <w:r>
              <w:rPr>
                <w:rFonts w:hint="eastAsia" w:ascii="宋体" w:hAnsi="宋体" w:eastAsia="宋体" w:cs="宋体"/>
                <w:color w:val="auto"/>
                <w:kern w:val="0"/>
                <w:sz w:val="21"/>
                <w:szCs w:val="21"/>
                <w:highlight w:val="none"/>
                <w:lang w:val="en-US" w:eastAsia="zh-CN" w:bidi="ar-SA"/>
              </w:rPr>
              <w:t>提供技术服务人员电工证、健康证，每提供一个证书证明文件得1分，最高3分。</w:t>
            </w:r>
          </w:p>
        </w:tc>
      </w:tr>
      <w:tr w14:paraId="27D2D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833" w:type="dxa"/>
            <w:tcBorders>
              <w:top w:val="single" w:color="auto" w:sz="6" w:space="0"/>
              <w:bottom w:val="single" w:color="auto" w:sz="12" w:space="0"/>
            </w:tcBorders>
            <w:noWrap w:val="0"/>
            <w:vAlign w:val="center"/>
          </w:tcPr>
          <w:p w14:paraId="781C45B3">
            <w:pPr>
              <w:keepNext w:val="0"/>
              <w:keepLines w:val="0"/>
              <w:pageBreakBefore w:val="0"/>
              <w:numPr>
                <w:ilvl w:val="0"/>
                <w:numId w:val="1"/>
              </w:numPr>
              <w:wordWrap/>
              <w:topLinePunct w:val="0"/>
              <w:bidi w:val="0"/>
              <w:adjustRightInd w:val="0"/>
              <w:spacing w:line="360" w:lineRule="auto"/>
              <w:jc w:val="center"/>
              <w:textAlignment w:val="baseline"/>
              <w:rPr>
                <w:rFonts w:hint="eastAsia" w:ascii="宋体" w:hAnsi="宋体" w:eastAsia="宋体" w:cs="宋体"/>
                <w:color w:val="auto"/>
                <w:sz w:val="21"/>
                <w:szCs w:val="21"/>
                <w:highlight w:val="none"/>
              </w:rPr>
            </w:pPr>
          </w:p>
        </w:tc>
        <w:tc>
          <w:tcPr>
            <w:tcW w:w="1326" w:type="dxa"/>
            <w:tcBorders>
              <w:top w:val="single" w:color="auto" w:sz="6" w:space="0"/>
              <w:bottom w:val="single" w:color="auto" w:sz="12" w:space="0"/>
            </w:tcBorders>
            <w:noWrap w:val="0"/>
            <w:vAlign w:val="center"/>
          </w:tcPr>
          <w:p w14:paraId="11195C65">
            <w:pPr>
              <w:keepNext w:val="0"/>
              <w:keepLines w:val="0"/>
              <w:pageBreakBefore w:val="0"/>
              <w:wordWrap/>
              <w:topLinePunct w:val="0"/>
              <w:bidi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业绩</w:t>
            </w:r>
          </w:p>
        </w:tc>
        <w:tc>
          <w:tcPr>
            <w:tcW w:w="1320" w:type="dxa"/>
            <w:tcBorders>
              <w:top w:val="single" w:color="auto" w:sz="6" w:space="0"/>
              <w:bottom w:val="single" w:color="auto" w:sz="12" w:space="0"/>
            </w:tcBorders>
            <w:noWrap w:val="0"/>
            <w:vAlign w:val="center"/>
          </w:tcPr>
          <w:p w14:paraId="365D1FD0">
            <w:pPr>
              <w:keepNext w:val="0"/>
              <w:keepLines w:val="0"/>
              <w:pageBreakBefore w:val="0"/>
              <w:wordWrap/>
              <w:topLinePunct w:val="0"/>
              <w:bidi w:val="0"/>
              <w:spacing w:line="360" w:lineRule="auto"/>
              <w:ind w:left="420" w:leftChars="0" w:hanging="420" w:hangingChars="20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5</w:t>
            </w:r>
          </w:p>
        </w:tc>
        <w:tc>
          <w:tcPr>
            <w:tcW w:w="5578" w:type="dxa"/>
            <w:tcBorders>
              <w:top w:val="single" w:color="auto" w:sz="6" w:space="0"/>
              <w:bottom w:val="single" w:color="auto" w:sz="12" w:space="0"/>
            </w:tcBorders>
            <w:noWrap w:val="0"/>
            <w:vAlign w:val="center"/>
          </w:tcPr>
          <w:p w14:paraId="69B440CE">
            <w:pPr>
              <w:pStyle w:val="16"/>
              <w:keepNext w:val="0"/>
              <w:keepLines w:val="0"/>
              <w:pageBreakBefore w:val="0"/>
              <w:wordWrap/>
              <w:topLinePunct w:val="0"/>
              <w:bidi w:val="0"/>
              <w:spacing w:line="360" w:lineRule="auto"/>
              <w:ind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投标人近三年（202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11月</w:t>
            </w:r>
            <w:r>
              <w:rPr>
                <w:rFonts w:hint="eastAsia" w:ascii="宋体" w:hAnsi="宋体" w:eastAsia="宋体" w:cs="宋体"/>
                <w:color w:val="auto"/>
                <w:sz w:val="21"/>
                <w:szCs w:val="21"/>
                <w:highlight w:val="none"/>
              </w:rPr>
              <w:t>至今）</w:t>
            </w:r>
            <w:r>
              <w:rPr>
                <w:rFonts w:hint="eastAsia" w:ascii="宋体" w:hAnsi="宋体" w:cs="宋体"/>
                <w:color w:val="auto"/>
                <w:sz w:val="21"/>
                <w:szCs w:val="21"/>
                <w:highlight w:val="none"/>
                <w:lang w:val="en-US" w:eastAsia="zh-CN"/>
              </w:rPr>
              <w:t>高校服务</w:t>
            </w:r>
            <w:r>
              <w:rPr>
                <w:rFonts w:hint="eastAsia" w:ascii="宋体" w:hAnsi="宋体" w:eastAsia="宋体" w:cs="宋体"/>
                <w:bCs/>
                <w:color w:val="auto"/>
                <w:spacing w:val="20"/>
                <w:sz w:val="21"/>
                <w:szCs w:val="21"/>
                <w:highlight w:val="none"/>
                <w:lang w:val="en-US" w:eastAsia="zh-CN"/>
              </w:rPr>
              <w:t>项目业绩（</w:t>
            </w:r>
            <w:r>
              <w:rPr>
                <w:rFonts w:hint="eastAsia" w:ascii="宋体" w:hAnsi="宋体" w:cs="宋体"/>
                <w:bCs/>
                <w:color w:val="auto"/>
                <w:spacing w:val="20"/>
                <w:sz w:val="21"/>
                <w:szCs w:val="21"/>
                <w:highlight w:val="none"/>
                <w:lang w:val="en-US" w:eastAsia="zh-CN"/>
              </w:rPr>
              <w:t>需</w:t>
            </w:r>
            <w:r>
              <w:rPr>
                <w:rFonts w:hint="eastAsia" w:ascii="宋体" w:hAnsi="宋体" w:eastAsia="宋体" w:cs="宋体"/>
                <w:color w:val="auto"/>
                <w:sz w:val="21"/>
                <w:szCs w:val="21"/>
                <w:highlight w:val="none"/>
              </w:rPr>
              <w:t>提供合同盖章</w:t>
            </w:r>
            <w:r>
              <w:rPr>
                <w:rFonts w:hint="eastAsia" w:ascii="宋体" w:hAnsi="宋体" w:cs="宋体"/>
                <w:color w:val="auto"/>
                <w:sz w:val="21"/>
                <w:szCs w:val="21"/>
                <w:highlight w:val="none"/>
                <w:lang w:val="en-US" w:eastAsia="zh-CN"/>
              </w:rPr>
              <w:t>扫描件</w:t>
            </w:r>
            <w:r>
              <w:rPr>
                <w:rFonts w:hint="eastAsia" w:ascii="宋体" w:hAnsi="宋体" w:eastAsia="宋体" w:cs="宋体"/>
                <w:bCs/>
                <w:color w:val="auto"/>
                <w:spacing w:val="20"/>
                <w:sz w:val="21"/>
                <w:szCs w:val="21"/>
                <w:highlight w:val="none"/>
                <w:lang w:val="en-US" w:eastAsia="zh-CN"/>
              </w:rPr>
              <w:t>）</w:t>
            </w:r>
            <w:r>
              <w:rPr>
                <w:rFonts w:hint="eastAsia" w:ascii="宋体" w:hAnsi="宋体" w:cs="宋体"/>
                <w:color w:val="auto"/>
                <w:kern w:val="0"/>
                <w:sz w:val="21"/>
                <w:szCs w:val="21"/>
                <w:highlight w:val="none"/>
                <w:lang w:val="en-US" w:eastAsia="zh-CN"/>
              </w:rPr>
              <w:t>每提供一个有效业绩合同得1分，最高5分。</w:t>
            </w:r>
          </w:p>
        </w:tc>
      </w:tr>
    </w:tbl>
    <w:p w14:paraId="14FBFEF6">
      <w:pPr>
        <w:pStyle w:val="2"/>
        <w:kinsoku w:val="0"/>
        <w:overflowPunct w:val="0"/>
        <w:autoSpaceDE w:val="0"/>
        <w:autoSpaceDN w:val="0"/>
        <w:adjustRightInd w:val="0"/>
        <w:snapToGrid w:val="0"/>
        <w:spacing w:line="360" w:lineRule="auto"/>
        <w:ind w:firstLine="0"/>
        <w:rPr>
          <w:rFonts w:hint="eastAsia" w:ascii="宋体" w:hAnsi="宋体"/>
          <w:color w:val="auto"/>
          <w:sz w:val="24"/>
          <w:szCs w:val="24"/>
        </w:rPr>
      </w:pPr>
    </w:p>
    <w:p w14:paraId="3B5AB7EB">
      <w:pPr>
        <w:pStyle w:val="2"/>
        <w:kinsoku w:val="0"/>
        <w:overflowPunct w:val="0"/>
        <w:autoSpaceDE w:val="0"/>
        <w:autoSpaceDN w:val="0"/>
        <w:adjustRightInd w:val="0"/>
        <w:snapToGrid w:val="0"/>
        <w:spacing w:line="360" w:lineRule="auto"/>
        <w:ind w:firstLine="0"/>
        <w:rPr>
          <w:rFonts w:hint="eastAsia" w:ascii="宋体" w:hAnsi="宋体"/>
          <w:color w:val="auto"/>
          <w:sz w:val="24"/>
          <w:szCs w:val="24"/>
        </w:rPr>
      </w:pPr>
    </w:p>
    <w:p w14:paraId="15A89F86">
      <w:pPr>
        <w:pStyle w:val="2"/>
        <w:kinsoku w:val="0"/>
        <w:overflowPunct w:val="0"/>
        <w:autoSpaceDE w:val="0"/>
        <w:autoSpaceDN w:val="0"/>
        <w:adjustRightInd w:val="0"/>
        <w:snapToGrid w:val="0"/>
        <w:spacing w:line="360" w:lineRule="auto"/>
        <w:ind w:firstLine="0"/>
        <w:rPr>
          <w:rFonts w:hint="eastAsia" w:ascii="宋体" w:hAnsi="宋体"/>
          <w:color w:val="auto"/>
          <w:sz w:val="24"/>
          <w:szCs w:val="24"/>
        </w:rPr>
      </w:pPr>
    </w:p>
    <w:p w14:paraId="3FE52E33">
      <w:pPr>
        <w:pStyle w:val="2"/>
        <w:kinsoku w:val="0"/>
        <w:overflowPunct w:val="0"/>
        <w:autoSpaceDE w:val="0"/>
        <w:autoSpaceDN w:val="0"/>
        <w:adjustRightInd w:val="0"/>
        <w:snapToGrid w:val="0"/>
        <w:spacing w:line="360" w:lineRule="auto"/>
        <w:ind w:firstLine="0"/>
        <w:rPr>
          <w:rFonts w:hint="eastAsia" w:ascii="宋体" w:hAnsi="宋体"/>
          <w:color w:val="auto"/>
          <w:sz w:val="24"/>
          <w:szCs w:val="24"/>
        </w:rPr>
      </w:pPr>
    </w:p>
    <w:p w14:paraId="66511E8B">
      <w:pPr>
        <w:pStyle w:val="2"/>
        <w:kinsoku w:val="0"/>
        <w:overflowPunct w:val="0"/>
        <w:autoSpaceDE w:val="0"/>
        <w:autoSpaceDN w:val="0"/>
        <w:adjustRightInd w:val="0"/>
        <w:snapToGrid w:val="0"/>
        <w:spacing w:line="360" w:lineRule="auto"/>
        <w:ind w:firstLine="0"/>
        <w:rPr>
          <w:rFonts w:hint="eastAsia" w:ascii="宋体" w:hAnsi="宋体"/>
          <w:color w:val="auto"/>
          <w:sz w:val="24"/>
          <w:szCs w:val="24"/>
        </w:rPr>
      </w:pPr>
    </w:p>
    <w:p w14:paraId="57BA633F">
      <w:pPr>
        <w:pStyle w:val="2"/>
        <w:kinsoku w:val="0"/>
        <w:overflowPunct w:val="0"/>
        <w:autoSpaceDE w:val="0"/>
        <w:autoSpaceDN w:val="0"/>
        <w:adjustRightInd w:val="0"/>
        <w:snapToGrid w:val="0"/>
        <w:spacing w:line="360" w:lineRule="auto"/>
        <w:ind w:firstLine="0"/>
        <w:rPr>
          <w:rFonts w:hint="eastAsia" w:ascii="宋体" w:hAnsi="宋体"/>
          <w:color w:val="auto"/>
          <w:sz w:val="24"/>
          <w:szCs w:val="24"/>
        </w:rPr>
      </w:pPr>
    </w:p>
    <w:p w14:paraId="4C8E7E42">
      <w:pPr>
        <w:pStyle w:val="2"/>
        <w:kinsoku w:val="0"/>
        <w:overflowPunct w:val="0"/>
        <w:autoSpaceDE w:val="0"/>
        <w:autoSpaceDN w:val="0"/>
        <w:adjustRightInd w:val="0"/>
        <w:snapToGrid w:val="0"/>
        <w:spacing w:line="360" w:lineRule="auto"/>
        <w:ind w:firstLine="0"/>
        <w:rPr>
          <w:rFonts w:hint="eastAsia" w:ascii="宋体" w:hAnsi="宋体"/>
          <w:color w:val="auto"/>
          <w:sz w:val="24"/>
          <w:szCs w:val="24"/>
        </w:rPr>
      </w:pPr>
    </w:p>
    <w:p w14:paraId="0E093A57">
      <w:pPr>
        <w:pStyle w:val="2"/>
        <w:kinsoku w:val="0"/>
        <w:overflowPunct w:val="0"/>
        <w:autoSpaceDE w:val="0"/>
        <w:autoSpaceDN w:val="0"/>
        <w:adjustRightInd w:val="0"/>
        <w:snapToGrid w:val="0"/>
        <w:spacing w:line="360" w:lineRule="auto"/>
        <w:ind w:firstLine="0"/>
        <w:rPr>
          <w:rFonts w:hint="eastAsia" w:ascii="宋体" w:hAnsi="宋体"/>
          <w:color w:val="auto"/>
          <w:sz w:val="24"/>
          <w:szCs w:val="24"/>
        </w:rPr>
      </w:pPr>
    </w:p>
    <w:p w14:paraId="4FA648CF">
      <w:pPr>
        <w:pStyle w:val="2"/>
        <w:kinsoku w:val="0"/>
        <w:overflowPunct w:val="0"/>
        <w:autoSpaceDE w:val="0"/>
        <w:autoSpaceDN w:val="0"/>
        <w:adjustRightInd w:val="0"/>
        <w:snapToGrid w:val="0"/>
        <w:spacing w:line="360" w:lineRule="auto"/>
        <w:ind w:firstLine="0"/>
        <w:rPr>
          <w:rFonts w:hint="eastAsia" w:ascii="宋体" w:hAnsi="宋体"/>
          <w:color w:val="auto"/>
          <w:sz w:val="24"/>
          <w:szCs w:val="24"/>
        </w:rPr>
      </w:pPr>
    </w:p>
    <w:p w14:paraId="39092A21">
      <w:pPr>
        <w:pStyle w:val="2"/>
        <w:kinsoku w:val="0"/>
        <w:overflowPunct w:val="0"/>
        <w:autoSpaceDE w:val="0"/>
        <w:autoSpaceDN w:val="0"/>
        <w:adjustRightInd w:val="0"/>
        <w:snapToGrid w:val="0"/>
        <w:spacing w:line="360" w:lineRule="auto"/>
        <w:ind w:firstLine="0"/>
        <w:rPr>
          <w:rFonts w:hint="eastAsia" w:ascii="宋体" w:hAnsi="宋体"/>
          <w:color w:val="auto"/>
          <w:sz w:val="24"/>
          <w:szCs w:val="24"/>
        </w:rPr>
      </w:pPr>
    </w:p>
    <w:p w14:paraId="5D00F6CE">
      <w:pPr>
        <w:pStyle w:val="2"/>
        <w:kinsoku w:val="0"/>
        <w:overflowPunct w:val="0"/>
        <w:autoSpaceDE w:val="0"/>
        <w:autoSpaceDN w:val="0"/>
        <w:adjustRightInd w:val="0"/>
        <w:snapToGrid w:val="0"/>
        <w:spacing w:line="360" w:lineRule="auto"/>
        <w:ind w:firstLine="0"/>
        <w:rPr>
          <w:rFonts w:hint="eastAsia" w:ascii="宋体" w:hAnsi="宋体"/>
          <w:color w:val="auto"/>
          <w:sz w:val="24"/>
          <w:szCs w:val="24"/>
        </w:rPr>
      </w:pPr>
    </w:p>
    <w:p w14:paraId="750B8D9C">
      <w:pPr>
        <w:pStyle w:val="2"/>
        <w:kinsoku w:val="0"/>
        <w:overflowPunct w:val="0"/>
        <w:autoSpaceDE w:val="0"/>
        <w:autoSpaceDN w:val="0"/>
        <w:adjustRightInd w:val="0"/>
        <w:snapToGrid w:val="0"/>
        <w:spacing w:line="360" w:lineRule="auto"/>
        <w:ind w:firstLine="0"/>
        <w:rPr>
          <w:rFonts w:hint="eastAsia" w:ascii="宋体" w:hAnsi="宋体"/>
          <w:color w:val="auto"/>
          <w:sz w:val="24"/>
          <w:szCs w:val="24"/>
        </w:rPr>
      </w:pPr>
    </w:p>
    <w:p w14:paraId="53F0B62D">
      <w:pPr>
        <w:pStyle w:val="2"/>
        <w:kinsoku w:val="0"/>
        <w:overflowPunct w:val="0"/>
        <w:autoSpaceDE w:val="0"/>
        <w:autoSpaceDN w:val="0"/>
        <w:adjustRightInd w:val="0"/>
        <w:snapToGrid w:val="0"/>
        <w:spacing w:line="360" w:lineRule="auto"/>
        <w:ind w:firstLine="0"/>
        <w:rPr>
          <w:rFonts w:hint="eastAsia" w:ascii="宋体" w:hAnsi="宋体"/>
          <w:color w:val="auto"/>
          <w:sz w:val="24"/>
          <w:szCs w:val="24"/>
        </w:rPr>
      </w:pPr>
    </w:p>
    <w:p w14:paraId="78D44D1E">
      <w:pPr>
        <w:pStyle w:val="2"/>
        <w:kinsoku w:val="0"/>
        <w:overflowPunct w:val="0"/>
        <w:autoSpaceDE w:val="0"/>
        <w:autoSpaceDN w:val="0"/>
        <w:adjustRightInd w:val="0"/>
        <w:snapToGrid w:val="0"/>
        <w:spacing w:line="360" w:lineRule="auto"/>
        <w:ind w:firstLine="0"/>
        <w:rPr>
          <w:rFonts w:hint="eastAsia" w:ascii="宋体" w:hAnsi="宋体"/>
          <w:color w:val="auto"/>
          <w:sz w:val="24"/>
          <w:szCs w:val="24"/>
        </w:rPr>
      </w:pPr>
    </w:p>
    <w:p w14:paraId="0CBB6755">
      <w:pPr>
        <w:pStyle w:val="2"/>
        <w:kinsoku w:val="0"/>
        <w:overflowPunct w:val="0"/>
        <w:autoSpaceDE w:val="0"/>
        <w:autoSpaceDN w:val="0"/>
        <w:adjustRightInd w:val="0"/>
        <w:snapToGrid w:val="0"/>
        <w:spacing w:line="360" w:lineRule="auto"/>
        <w:ind w:firstLine="0"/>
        <w:rPr>
          <w:rFonts w:hint="eastAsia" w:ascii="宋体" w:hAnsi="宋体"/>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timum">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E15EC"/>
    <w:multiLevelType w:val="singleLevel"/>
    <w:tmpl w:val="372E15EC"/>
    <w:lvl w:ilvl="0" w:tentative="0">
      <w:start w:val="1"/>
      <w:numFmt w:val="decimal"/>
      <w:lvlText w:val="%1"/>
      <w:legacy w:legacy="1" w:legacySpace="0" w:legacyIndent="425"/>
      <w:lvlJc w:val="cente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OGQwYjhiNmI4NDMzYTcyZjE3NmU1NDRkMTcyMTMifQ=="/>
  </w:docVars>
  <w:rsids>
    <w:rsidRoot w:val="00CA13F6"/>
    <w:rsid w:val="00095EC2"/>
    <w:rsid w:val="00131512"/>
    <w:rsid w:val="00172AA3"/>
    <w:rsid w:val="00261EDA"/>
    <w:rsid w:val="00345B65"/>
    <w:rsid w:val="005902D9"/>
    <w:rsid w:val="0066780A"/>
    <w:rsid w:val="00687F80"/>
    <w:rsid w:val="008A65E6"/>
    <w:rsid w:val="008F1E36"/>
    <w:rsid w:val="0093367F"/>
    <w:rsid w:val="00AA1B35"/>
    <w:rsid w:val="00AA45C0"/>
    <w:rsid w:val="00BF47B1"/>
    <w:rsid w:val="00CA13F6"/>
    <w:rsid w:val="00DA73CD"/>
    <w:rsid w:val="00DD26EE"/>
    <w:rsid w:val="00E03C82"/>
    <w:rsid w:val="00FA0EEF"/>
    <w:rsid w:val="019726A7"/>
    <w:rsid w:val="03E66FF7"/>
    <w:rsid w:val="059C3E2D"/>
    <w:rsid w:val="06E11CBA"/>
    <w:rsid w:val="09D36C72"/>
    <w:rsid w:val="0A615D08"/>
    <w:rsid w:val="19A07A3C"/>
    <w:rsid w:val="1A2E52F6"/>
    <w:rsid w:val="2EE33935"/>
    <w:rsid w:val="30A5135D"/>
    <w:rsid w:val="320076F1"/>
    <w:rsid w:val="36200D59"/>
    <w:rsid w:val="38117569"/>
    <w:rsid w:val="3E7C13A3"/>
    <w:rsid w:val="41A73553"/>
    <w:rsid w:val="4AFD089B"/>
    <w:rsid w:val="5B183CEE"/>
    <w:rsid w:val="5B4E7CB6"/>
    <w:rsid w:val="5FB87FDE"/>
    <w:rsid w:val="679B0514"/>
    <w:rsid w:val="6B157DBF"/>
    <w:rsid w:val="6DB6183E"/>
    <w:rsid w:val="700E09EB"/>
    <w:rsid w:val="7917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
    <w:unhideWhenUsed/>
    <w:qFormat/>
    <w:uiPriority w:val="0"/>
    <w:pPr>
      <w:ind w:firstLine="540"/>
    </w:pPr>
    <w:rPr>
      <w:rFonts w:ascii="Calibri" w:hAnsi="Calibri"/>
      <w:sz w:val="28"/>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Optimum" w:hAnsi="Times New Roman" w:eastAsia="Optimum" w:cs="Times New Roman"/>
      <w:color w:val="000000"/>
      <w:sz w:val="24"/>
      <w:szCs w:val="24"/>
      <w:lang w:val="en-US" w:eastAsia="zh-CN" w:bidi="ar-SA"/>
    </w:rPr>
  </w:style>
  <w:style w:type="character" w:customStyle="1" w:styleId="10">
    <w:name w:val="正文文本缩进 2 Char"/>
    <w:basedOn w:val="8"/>
    <w:link w:val="2"/>
    <w:qFormat/>
    <w:uiPriority w:val="0"/>
    <w:rPr>
      <w:rFonts w:ascii="Calibri" w:hAnsi="Calibri" w:eastAsia="宋体" w:cs="Times New Roman"/>
      <w:sz w:val="28"/>
      <w:szCs w:val="20"/>
    </w:rPr>
  </w:style>
  <w:style w:type="paragraph" w:customStyle="1" w:styleId="11">
    <w:name w:val="正文1"/>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页眉 Char"/>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paragraph" w:customStyle="1" w:styleId="15">
    <w:name w:val="BodyText"/>
    <w:basedOn w:val="1"/>
    <w:next w:val="1"/>
    <w:qFormat/>
    <w:uiPriority w:val="0"/>
    <w:pPr>
      <w:spacing w:before="0" w:after="120" w:line="240" w:lineRule="auto"/>
      <w:ind w:left="0" w:right="0"/>
      <w:jc w:val="both"/>
      <w:textAlignment w:val="baseline"/>
    </w:pPr>
    <w:rPr>
      <w:rFonts w:ascii="宋体" w:hAnsi="宋体" w:eastAsia="仿宋"/>
      <w:kern w:val="0"/>
      <w:sz w:val="24"/>
      <w:szCs w:val="21"/>
      <w:lang w:val="en-US" w:eastAsia="zh-CN" w:bidi="ar-SA"/>
    </w:rPr>
  </w:style>
  <w:style w:type="paragraph" w:styleId="16">
    <w:name w:val="List Paragraph"/>
    <w:basedOn w:val="1"/>
    <w:qFormat/>
    <w:uiPriority w:val="34"/>
    <w:pPr>
      <w:ind w:firstLine="420" w:firstLineChars="200"/>
    </w:pPr>
    <w:rPr>
      <w:rFonts w:eastAsia="宋体"/>
      <w:sz w:val="21"/>
      <w:szCs w:val="24"/>
    </w:rPr>
  </w:style>
  <w:style w:type="character" w:customStyle="1" w:styleId="17">
    <w:name w:val="font121"/>
    <w:basedOn w:val="8"/>
    <w:qFormat/>
    <w:uiPriority w:val="0"/>
    <w:rPr>
      <w:rFonts w:hint="eastAsia" w:ascii="宋体" w:hAnsi="宋体" w:eastAsia="宋体" w:cs="宋体"/>
      <w:color w:val="FF0000"/>
      <w:sz w:val="22"/>
      <w:szCs w:val="22"/>
      <w:u w:val="none"/>
    </w:rPr>
  </w:style>
  <w:style w:type="character" w:customStyle="1" w:styleId="18">
    <w:name w:val="font13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3407</Words>
  <Characters>3523</Characters>
  <Lines>13</Lines>
  <Paragraphs>3</Paragraphs>
  <TotalTime>133</TotalTime>
  <ScaleCrop>false</ScaleCrop>
  <LinksUpToDate>false</LinksUpToDate>
  <CharactersWithSpaces>3531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2018-07-13T01:08:00Z</dcterms:created>
  <dc:creator>lenovo</dc:creator>
  <cp:lastModifiedBy>仲杰</cp:lastModifiedBy>
  <cp:lastPrinted>2021-07-05T03:18:00Z</cp:lastPrinted>
  <dcterms:modified xsi:type="dcterms:W3CDTF">2024-11-20T07:53:39Z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F412446B737A4EFF8E7C50CA3F1E51E8_13</vt:lpwstr>
  </property>
</Properties>
</file>