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航运AI知识库建设项目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HFBX2026057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HFBX2026057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航运AI知识库建设项目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委托一家合格供应商围绕智能船舶、绿色航运、海洋安全三个领域方向，整合航运领域多源权威知识资源，完成知识系统化、数字化、智能化重构，破解传统知识服务痛点与大模型应用信任难题，既可夯实学校特色学科建设根基、赋能科研创新与成果转化、提升海事教学科研与行业服务水平，又能为智能航运、海事监管、航运决策等领域提供可信知识支撑，助力航运行业高质量智能化发展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64ECA64C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合同签订后120天内完成项目并通过校方验收。</w:t>
      </w:r>
    </w:p>
    <w:p w14:paraId="32839853">
      <w:pPr>
        <w:pStyle w:val="19"/>
        <w:numPr>
          <w:ilvl w:val="0"/>
          <w:numId w:val="0"/>
        </w:numPr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交付方式：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云端部署。</w:t>
      </w:r>
    </w:p>
    <w:p w14:paraId="627DD869">
      <w:pPr>
        <w:pStyle w:val="19"/>
        <w:numPr>
          <w:ilvl w:val="0"/>
          <w:numId w:val="0"/>
        </w:numPr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合同签订后10个工作日内支付合同价款的30%，项目内容完成并经招标人确认验收试运行合格后支付合同价款的70%。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2"/>
      <w:bookmarkStart w:id="4" w:name="OLE_LINK1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021-38284943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39E2A589">
      <w:pPr>
        <w:spacing w:line="48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项目概况</w:t>
      </w:r>
    </w:p>
    <w:p w14:paraId="14F7295A">
      <w:pPr>
        <w:spacing w:line="480" w:lineRule="auto"/>
        <w:ind w:left="0" w:leftChars="0" w:firstLine="440" w:firstLineChars="20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本项目将围绕智能船舶、绿色航运、海洋安全三个领域方向，整合航运领域多源权威知识资源，完成知识系统化、数字化、智能化重构，破解传统知识服务痛点与大模型应用信任难题，既可夯实学校特色学科建设根基、赋能科研创新与成果转化、提升海事教学科研与行业服务水平，又能为智能航运、海事监管、航运决策等领域提供可信知识支撑，助力航运行业高质量智能化发展。</w:t>
      </w:r>
    </w:p>
    <w:p w14:paraId="6D46828C">
      <w:pPr>
        <w:widowControl/>
        <w:shd w:val="clear" w:color="auto" w:fill="FFFFFF"/>
        <w:spacing w:line="48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2564B485">
      <w:pPr>
        <w:widowControl/>
        <w:numPr>
          <w:ilvl w:val="0"/>
          <w:numId w:val="0"/>
        </w:numPr>
        <w:shd w:val="clear" w:color="auto" w:fill="FFFFFF"/>
        <w:spacing w:line="48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kern w:val="2"/>
          <w:sz w:val="22"/>
          <w:szCs w:val="22"/>
          <w:highlight w:val="none"/>
          <w:lang w:val="en-US" w:eastAsia="zh-CN" w:bidi="ar-SA"/>
        </w:rPr>
        <w:t>二、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服务内容</w:t>
      </w:r>
    </w:p>
    <w:p w14:paraId="0FA2CC16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1）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中标方需协助招标人完成知识库入库资料的搜集整理工作</w:t>
      </w:r>
    </w:p>
    <w:p w14:paraId="4FA13BAC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多源资源支持：需覆盖图书、期刊、权威网站、政策法规、行业标准、专利等多类知识来源，支持与权威机构（如图书馆、科研院所）联合整合专属资源，通过资源匹配来保障知识库内容的完整性和权威性。</w:t>
      </w:r>
    </w:p>
    <w:p w14:paraId="23092CA8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多模态数据处理：支持文本（TXT、DOC、PDF、HTML）、图片（JPG、PNG）、音视频（MP4、MP3）等常见格式，结构化数据（表格、数据库）与非结构化数据（自由文本、音视频）的全类型接入。</w:t>
      </w:r>
    </w:p>
    <w:p w14:paraId="54B8A8EA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资源合规性：所有入库资源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须具备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明确来源溯源，包含原始链接、出版信息（如ISBN、期刊刊号）、版权授权证明，知识库资源需符合《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中华人民共和国著作权法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》及政府采购相关合规要求。</w:t>
      </w:r>
    </w:p>
    <w:p w14:paraId="0A095F49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2）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中标方需完成数据清洗、结构化处理工作并建立动态更新机制</w:t>
      </w:r>
    </w:p>
    <w:p w14:paraId="77447231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数据清洗优化：具备自动化去重、去噪（剔除无效信息、格式错误文本）、脱敏（敏感信息屏蔽）功能，支持人工辅助审核争议文献，确保语料质量。</w:t>
      </w:r>
    </w:p>
    <w:p w14:paraId="7080A4A0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知识结构化处理：支持语义切分、文本向量化、知识图谱关联，能将非结构化数据转化为“概念-关系-属性”结构化知识，学科分类体系需兼容教育部学科目录或ESI学科目录，图书资源分类参照中图分类法选取。</w:t>
      </w:r>
    </w:p>
    <w:p w14:paraId="22E3868D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动态更新机制：支持基于网页爬虫完成门户数据自动化定向采集。</w:t>
      </w:r>
    </w:p>
    <w:p w14:paraId="1AA8BD4D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3）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中标方需建立知识库管理平台并实现以下功能</w:t>
      </w:r>
    </w:p>
    <w:p w14:paraId="593283D9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打造一站式特色资源管理平台，赋予单位自主管理特色资源的权限，可新建、删除、修改知识库，基于智能船舶、绿色航运、海洋安全（偏向航运安全）三大研究方向建设多个知识库，支撑航运领域方向的科研及教学需求。</w:t>
      </w:r>
    </w:p>
    <w:p w14:paraId="4AD91290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场景化应用支持：支持挂载至图书馆门户、图书馆AI馆员平台使用。</w:t>
      </w:r>
    </w:p>
    <w:p w14:paraId="73619F9D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提供统一的知识订阅服务，实现知识资源的统一管理和共享利用。可根据自身业务特点订阅AI知识库中的知识内容，保证知识的准确性和一致性，为教育、科研和行业应用提供全方位支持。</w:t>
      </w:r>
    </w:p>
    <w:p w14:paraId="059B87F0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多维度检索：支持语义检索+关键词检索+向量召回多路融合检索，支持用户问题改写、上下文关联检索。</w:t>
      </w:r>
    </w:p>
    <w:p w14:paraId="4CD35EFD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可信问答功能：采用RAG（检索增强生成）技术降低模型幻觉，答案需包含“知识库基准答案+来源溯源”，溯源信息需明确文献标题、作者、来源链接/刊号，核心问题（如学科基础概念、规范条款）。</w:t>
      </w:r>
    </w:p>
    <w:p w14:paraId="3952EC24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优先级排序规则：支持按学科需求自定义答案优先级（如智能船舶“法律条文＞图书＞学术论文＞专利”），排序逻辑可配置，满足不同学科的权威信息优先展示需求。</w:t>
      </w:r>
    </w:p>
    <w:p w14:paraId="38C1BB5F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数据安全保障：符合《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中华人民共和国数据安全法</w:t>
      </w:r>
      <w:bookmarkStart w:id="6" w:name="_GoBack"/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》</w:t>
      </w:r>
      <w:bookmarkEnd w:id="6"/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《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中华人民共和国个人信息保护法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》，具备数据泄露防护、敏感词屏蔽、添加水印等功能。</w:t>
      </w:r>
    </w:p>
    <w:p w14:paraId="57EA9686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访问权限管理：支持IP范围配置，仅允许甲方指定IP范围内使用；支持机构超管账号分级授权（如学科管理员、普通用户），权限可精细化配置（如语料审核、检索权限）。</w:t>
      </w:r>
    </w:p>
    <w:p w14:paraId="31173834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后台可支持查看管理员操作日志及用户使用日志，可提供元数据统计和使用情况统计。</w:t>
      </w:r>
    </w:p>
    <w:p w14:paraId="2756CBFA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4）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对知识库AI功能的需求</w:t>
      </w:r>
    </w:p>
    <w:p w14:paraId="13FE60E6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科学探索：支持问答式检索，直接以问题形式获取文献推荐或答案摘要；支持检索结果加入知识星链与AI解读功能。</w:t>
      </w:r>
    </w:p>
    <w:p w14:paraId="037065A0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综述生成：支持按检索条件筛选相关文献，生成综述，正文引用文献需标注来源。</w:t>
      </w:r>
    </w:p>
    <w:p w14:paraId="5AC2784D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智能咨询：覆盖学科基础知识，咨询结果需提供参考资源名称及来源链接。</w:t>
      </w:r>
    </w:p>
    <w:p w14:paraId="151E7288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全文研读：支持PDF全文查看，提供文章总结（核心观点提炼）、章节速览、术语解释、多语言翻译、段落提问互动功能。</w:t>
      </w:r>
    </w:p>
    <w:p w14:paraId="51093D99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DeepResearch：用户可通过自然语言输入项目要点，系统将自动理解需求、生成研究计划，并执行计划提取核心查新点与关键词。支持上传或选择文献，系统能自动生成查新点对比、创新摘要与综合对比报告，精准识别技术路线差异及创新价值。</w:t>
      </w:r>
    </w:p>
    <w:p w14:paraId="2B2F9267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学术追踪：支持用户描述研究兴趣、研究方向，追踪研究兴趣、关注学者、学术期刊及学术顶会资源，获取最新发表的学术文章。</w:t>
      </w:r>
    </w:p>
    <w:p w14:paraId="692A64F0">
      <w:pPr>
        <w:widowControl/>
        <w:numPr>
          <w:ilvl w:val="0"/>
          <w:numId w:val="0"/>
        </w:numPr>
        <w:shd w:val="clear" w:color="auto" w:fill="FFFFFF"/>
        <w:spacing w:line="480" w:lineRule="auto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6ED13731">
      <w:pPr>
        <w:spacing w:line="480" w:lineRule="auto"/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34370E67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1.维护期：不少于2年，</w:t>
      </w:r>
    </w:p>
    <w:p w14:paraId="04FC023B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运维服务：质保期内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  <w:t>免费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提供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  <w:t>，包含系统故障排查、BUG修复、常规知识更新、技术咨询、远程技术支持，7×24小时应急响应。质保期结束后提供终身优惠运维服务。</w:t>
      </w:r>
    </w:p>
    <w:p w14:paraId="43455170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  <w:t>迭代服务：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质保期内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  <w:t>根据行业政策更新、业务需求调整，免费提供知识库内容迭代、小功能优化升级服务。</w:t>
      </w:r>
    </w:p>
    <w:p w14:paraId="2FC3B8DC">
      <w:pPr>
        <w:spacing w:line="48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2.履约验收：由图书馆（档案馆）成立验收小组负责验收，以技术要求中的功能要求作为验收标准。</w:t>
      </w:r>
    </w:p>
    <w:p w14:paraId="6966AFD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spacing w:line="24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25</w:t>
            </w:r>
          </w:p>
        </w:tc>
        <w:tc>
          <w:tcPr>
            <w:tcW w:w="3635" w:type="pct"/>
            <w:vAlign w:val="center"/>
          </w:tcPr>
          <w:p w14:paraId="4C942918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技术要求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3635" w:type="pct"/>
            <w:vAlign w:val="center"/>
          </w:tcPr>
          <w:p w14:paraId="6393C2D9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优秀（16～20分）：方案整体质量高，方案合理可行性强，响应措施及时高效，项目进度安排紧凑合理。</w:t>
            </w:r>
          </w:p>
          <w:p w14:paraId="36A6F9CB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良好（11～15分）：方案整体质量较好，响应措施尚可，方案个别细节有待进一步完善。</w:t>
            </w:r>
          </w:p>
          <w:p w14:paraId="3EC9A561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spacing w:line="240" w:lineRule="auto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HFBX2026057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1"/>
        <w:gridCol w:w="3542"/>
        <w:gridCol w:w="3282"/>
        <w:gridCol w:w="2336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812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679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697F2EE7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总价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（元）</w:t>
            </w:r>
          </w:p>
        </w:tc>
        <w:tc>
          <w:tcPr>
            <w:tcW w:w="1194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812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航运AI知识库建设项目</w:t>
            </w:r>
          </w:p>
        </w:tc>
        <w:tc>
          <w:tcPr>
            <w:tcW w:w="1679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58FFF82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194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3E1EF44A">
            <w:pPr>
              <w:tabs>
                <w:tab w:val="left" w:pos="7020"/>
              </w:tabs>
              <w:jc w:val="center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125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874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63CDB2-F54A-4C8C-B861-59C86473CB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B7F65EE-2CBE-4992-98BF-98EDFFBFCCB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0A83415-180B-4ED6-A729-256DF43583D3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C8EA631-1529-462A-A897-4C624502877D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645852E-F1A3-4F26-AABA-9B54AF4F540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71657EB"/>
    <w:rsid w:val="08B545A5"/>
    <w:rsid w:val="092F2754"/>
    <w:rsid w:val="0B7D7F96"/>
    <w:rsid w:val="13353790"/>
    <w:rsid w:val="13CA7CE9"/>
    <w:rsid w:val="143A7680"/>
    <w:rsid w:val="157E6317"/>
    <w:rsid w:val="19F06820"/>
    <w:rsid w:val="1E596D71"/>
    <w:rsid w:val="22B24D39"/>
    <w:rsid w:val="23843AD1"/>
    <w:rsid w:val="24050543"/>
    <w:rsid w:val="26883166"/>
    <w:rsid w:val="269F2B16"/>
    <w:rsid w:val="2FB07FD7"/>
    <w:rsid w:val="317D7420"/>
    <w:rsid w:val="331671BF"/>
    <w:rsid w:val="33B3033B"/>
    <w:rsid w:val="33DD0342"/>
    <w:rsid w:val="34416E25"/>
    <w:rsid w:val="35906085"/>
    <w:rsid w:val="3A9852E0"/>
    <w:rsid w:val="3CFB44C3"/>
    <w:rsid w:val="3D6469F5"/>
    <w:rsid w:val="3EB44731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CCA439B"/>
    <w:rsid w:val="4D0D4ED5"/>
    <w:rsid w:val="4EFD134C"/>
    <w:rsid w:val="53F3317F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887FE1"/>
    <w:rsid w:val="63F161B6"/>
    <w:rsid w:val="654D0F67"/>
    <w:rsid w:val="66E533C4"/>
    <w:rsid w:val="681A51E0"/>
    <w:rsid w:val="695E3370"/>
    <w:rsid w:val="699D5EE7"/>
    <w:rsid w:val="6A660877"/>
    <w:rsid w:val="6B99520C"/>
    <w:rsid w:val="71E94098"/>
    <w:rsid w:val="778A5BDE"/>
    <w:rsid w:val="7A1F0BD5"/>
    <w:rsid w:val="7A92721C"/>
    <w:rsid w:val="7CFA5264"/>
    <w:rsid w:val="7E4E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01e2f3d4-0b3f-49e4-b7a8-177817f99b62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767af4da-6d78-4f27-9044-fca6a95a500a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8ded3d80-1f76-4427-9cc4-99180d22392d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e660b232-7790-4713-ad56-986ebfeef89e</errorID>
      <errorWord>-</errorWord>
      <group>L1_Format</group>
      <groupName>格式问题</groupName>
      <ability>L2_HalfPunc_CN</ability>
      <abilityName>全半角问题</abilityName>
      <candidateList>
        <item>－</item>
      </candidateList>
      <explain>文本全半角错误。</explain>
      <paraID>7080A4A0</paraID>
      <start>42</start>
      <end>43</end>
      <status>unmodified</status>
      <modifiedWord/>
      <trackRevisions>false</trackRevisions>
    </reviewItem>
    <reviewItem>
      <errorID>4586db96-7bde-400a-987d-b5d39aa26ca4</errorID>
      <errorWord>-</errorWord>
      <group>L1_Format</group>
      <groupName>格式问题</groupName>
      <ability>L2_HalfPunc_CN</ability>
      <abilityName>全半角问题</abilityName>
      <candidateList>
        <item>－</item>
      </candidateList>
      <explain>文本全半角错误。</explain>
      <paraID>7080A4A0</paraID>
      <start>45</start>
      <end>46</end>
      <status>unmodified</status>
      <modifiedWord/>
      <trackRevisions>false</trackRevisions>
    </reviewItem>
    <reviewItem>
      <errorID>7234f395-fb4d-4475-aa7a-1cef06f5d774</errorID>
      <errorWord>》</errorWord>
      <group>L1_Word</group>
      <groupName>字词问题</groupName>
      <ability>L2_Typo</ability>
      <abilityName>字词错误</abilityName>
      <candidateList>
        <item>》和</item>
      </candidateList>
      <explain/>
      <paraID>38C1BB5F</paraID>
      <start>22</start>
      <end>23</end>
      <status>unmodified</status>
      <modifiedWord/>
      <trackRevisions>false</trackRevisions>
    </reviewItem>
    <reviewItem>
      <errorID>c82c0e15-9913-40c3-bd19-74e156636dfe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3e08a8a9-f24d-453a-ab16-5cdb56821fbb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6e8b7ab7-10bb-40ea-bf0b-5d8674065ac4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aa035e65-0c47-4756-84dc-cb1b082a0e62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2cb74fbe-d4a2-421d-863d-615f59ac074c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a06dcb01-5037-45cf-a066-bed5d37e7a23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3800f134-0ef5-4749-a86e-97c39b15055a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920b4020-3810-40f0-80d6-247b859b05a8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4e8170-a6ae-4f20-a03b-f9e4ba2361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4278</Words>
  <Characters>4498</Characters>
  <Lines>133</Lines>
  <Paragraphs>161</Paragraphs>
  <TotalTime>0</TotalTime>
  <ScaleCrop>false</ScaleCrop>
  <LinksUpToDate>false</LinksUpToDate>
  <CharactersWithSpaces>4802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2026-06-30T13:08:47Z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eyJoZGlkIjoiZTQ4MzhlZGU2YmZhMGFjMjVlNGJjM2ZlYTdmZDg2NTAiLCJ1c2VySWQiOiIyOTgyOTgyOTEifQ==</vt:lpwstr>
  </property>
  <property fmtid="{D5CDD505-2E9C-101B-9397-08002B2CF9AE}" pid="4" name="ICV">
    <vt:lpwstr>2BFD31D5F3FB4B709DBC969892577809_12</vt:lpwstr>
  </property>
</Properties>
</file>