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D282B">
      <w:pPr>
        <w:jc w:val="center"/>
        <w:rPr>
          <w:rFonts w:hint="eastAsia" w:ascii="方正兰亭黑简体" w:hAnsi="方正兰亭黑简体" w:eastAsia="方正兰亭黑简体" w:cs="方正兰亭黑简体"/>
          <w:b/>
          <w:bCs/>
          <w:color w:val="auto"/>
          <w:sz w:val="28"/>
          <w:szCs w:val="36"/>
          <w:highlight w:val="none"/>
        </w:rPr>
      </w:pPr>
    </w:p>
    <w:p w14:paraId="006AC946">
      <w:pPr>
        <w:jc w:val="center"/>
        <w:rPr>
          <w:rFonts w:hint="eastAsia" w:ascii="方正兰亭黑简体" w:hAnsi="方正兰亭黑简体" w:eastAsia="方正兰亭黑简体" w:cs="方正兰亭黑简体"/>
          <w:b/>
          <w:bCs/>
          <w:color w:val="auto"/>
          <w:sz w:val="28"/>
          <w:szCs w:val="36"/>
          <w:highlight w:val="none"/>
        </w:rPr>
      </w:pPr>
    </w:p>
    <w:p w14:paraId="1BB83921">
      <w:pPr>
        <w:jc w:val="center"/>
        <w:rPr>
          <w:rFonts w:hint="eastAsia" w:ascii="方正兰亭黑简体" w:hAnsi="方正兰亭黑简体" w:eastAsia="方正兰亭黑简体" w:cs="方正兰亭黑简体"/>
          <w:b/>
          <w:bCs/>
          <w:color w:val="auto"/>
          <w:sz w:val="28"/>
          <w:szCs w:val="36"/>
          <w:highlight w:val="none"/>
        </w:rPr>
      </w:pPr>
    </w:p>
    <w:p w14:paraId="05747166">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lang w:eastAsia="zh-CN"/>
        </w:rPr>
        <w:t>虚拟化平台及基础支撑系统技术服务</w:t>
      </w:r>
    </w:p>
    <w:p w14:paraId="5F2EFCD4">
      <w:pPr>
        <w:jc w:val="center"/>
        <w:rPr>
          <w:rFonts w:hint="eastAsia" w:ascii="方正兰亭黑简体" w:hAnsi="方正兰亭黑简体" w:eastAsia="方正兰亭黑简体" w:cs="方正兰亭黑简体"/>
          <w:b/>
          <w:bCs/>
          <w:color w:val="auto"/>
          <w:sz w:val="28"/>
          <w:szCs w:val="28"/>
          <w:highlight w:val="none"/>
        </w:rPr>
      </w:pPr>
      <w:r>
        <w:rPr>
          <w:rFonts w:hint="eastAsia" w:ascii="方正兰亭黑简体" w:hAnsi="方正兰亭黑简体" w:eastAsia="方正兰亭黑简体" w:cs="方正兰亭黑简体"/>
          <w:b/>
          <w:bCs/>
          <w:color w:val="auto"/>
          <w:sz w:val="28"/>
          <w:szCs w:val="28"/>
          <w:highlight w:val="none"/>
        </w:rPr>
        <w:t>比选文件</w:t>
      </w:r>
    </w:p>
    <w:p w14:paraId="28A63E00">
      <w:pPr>
        <w:jc w:val="center"/>
        <w:rPr>
          <w:rFonts w:hint="eastAsia" w:ascii="方正兰亭黑简体" w:hAnsi="方正兰亭黑简体" w:eastAsia="方正兰亭黑简体" w:cs="方正兰亭黑简体"/>
          <w:b/>
          <w:bCs/>
          <w:color w:val="auto"/>
          <w:sz w:val="28"/>
          <w:szCs w:val="28"/>
          <w:highlight w:val="none"/>
        </w:rPr>
      </w:pPr>
    </w:p>
    <w:p w14:paraId="0CA5543B">
      <w:pPr>
        <w:jc w:val="center"/>
        <w:rPr>
          <w:rFonts w:hint="eastAsia" w:ascii="方正兰亭黑简体" w:hAnsi="方正兰亭黑简体" w:eastAsia="方正兰亭黑简体" w:cs="方正兰亭黑简体"/>
          <w:b/>
          <w:bCs/>
          <w:color w:val="auto"/>
          <w:sz w:val="28"/>
          <w:szCs w:val="28"/>
          <w:highlight w:val="none"/>
        </w:rPr>
      </w:pPr>
    </w:p>
    <w:p w14:paraId="3D9D00D3">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rPr>
        <w:t>项目编号：</w:t>
      </w:r>
      <w:r>
        <w:rPr>
          <w:rFonts w:hint="eastAsia" w:ascii="方正兰亭黑简体" w:hAnsi="方正兰亭黑简体" w:eastAsia="方正兰亭黑简体" w:cs="方正兰亭黑简体"/>
          <w:color w:val="auto"/>
          <w:sz w:val="28"/>
          <w:szCs w:val="28"/>
          <w:highlight w:val="none"/>
          <w:lang w:eastAsia="zh-CN"/>
        </w:rPr>
        <w:t>HFBX2026071</w:t>
      </w:r>
    </w:p>
    <w:p w14:paraId="4B356AA1">
      <w:pPr>
        <w:jc w:val="center"/>
        <w:rPr>
          <w:rFonts w:hint="eastAsia" w:ascii="方正兰亭黑简体" w:hAnsi="方正兰亭黑简体" w:eastAsia="方正兰亭黑简体" w:cs="方正兰亭黑简体"/>
          <w:b/>
          <w:bCs/>
          <w:color w:val="auto"/>
          <w:sz w:val="24"/>
          <w:szCs w:val="32"/>
          <w:highlight w:val="none"/>
        </w:rPr>
      </w:pPr>
    </w:p>
    <w:p w14:paraId="5B48835F">
      <w:pPr>
        <w:jc w:val="center"/>
        <w:rPr>
          <w:rFonts w:hint="eastAsia" w:ascii="方正兰亭黑简体" w:hAnsi="方正兰亭黑简体" w:eastAsia="方正兰亭黑简体" w:cs="方正兰亭黑简体"/>
          <w:b/>
          <w:bCs/>
          <w:color w:val="auto"/>
          <w:sz w:val="24"/>
          <w:szCs w:val="32"/>
          <w:highlight w:val="none"/>
        </w:rPr>
      </w:pPr>
    </w:p>
    <w:p w14:paraId="07E4A809">
      <w:pPr>
        <w:jc w:val="center"/>
        <w:rPr>
          <w:rFonts w:hint="eastAsia" w:ascii="方正兰亭黑简体" w:hAnsi="方正兰亭黑简体" w:eastAsia="方正兰亭黑简体" w:cs="方正兰亭黑简体"/>
          <w:b/>
          <w:bCs/>
          <w:color w:val="auto"/>
          <w:sz w:val="24"/>
          <w:szCs w:val="32"/>
          <w:highlight w:val="none"/>
        </w:rPr>
      </w:pPr>
    </w:p>
    <w:p w14:paraId="6A0F108C">
      <w:pPr>
        <w:jc w:val="center"/>
        <w:rPr>
          <w:rFonts w:hint="eastAsia" w:ascii="方正兰亭黑简体" w:hAnsi="方正兰亭黑简体" w:eastAsia="方正兰亭黑简体" w:cs="方正兰亭黑简体"/>
          <w:b/>
          <w:bCs/>
          <w:color w:val="auto"/>
          <w:sz w:val="24"/>
          <w:szCs w:val="32"/>
          <w:highlight w:val="none"/>
        </w:rPr>
      </w:pPr>
    </w:p>
    <w:p w14:paraId="5EFABC4D">
      <w:pPr>
        <w:jc w:val="center"/>
        <w:rPr>
          <w:rFonts w:hint="eastAsia" w:ascii="方正兰亭黑简体" w:hAnsi="方正兰亭黑简体" w:eastAsia="方正兰亭黑简体" w:cs="方正兰亭黑简体"/>
          <w:b/>
          <w:bCs/>
          <w:color w:val="auto"/>
          <w:sz w:val="24"/>
          <w:szCs w:val="32"/>
          <w:highlight w:val="none"/>
        </w:rPr>
      </w:pPr>
    </w:p>
    <w:p w14:paraId="5416AFF6">
      <w:pPr>
        <w:jc w:val="center"/>
        <w:rPr>
          <w:rFonts w:hint="eastAsia" w:ascii="方正兰亭黑简体" w:hAnsi="方正兰亭黑简体" w:eastAsia="方正兰亭黑简体" w:cs="方正兰亭黑简体"/>
          <w:b/>
          <w:bCs/>
          <w:color w:val="auto"/>
          <w:sz w:val="24"/>
          <w:szCs w:val="32"/>
          <w:highlight w:val="none"/>
        </w:rPr>
      </w:pPr>
    </w:p>
    <w:p w14:paraId="05694FFB">
      <w:pPr>
        <w:jc w:val="center"/>
        <w:rPr>
          <w:rFonts w:hint="eastAsia" w:ascii="方正兰亭黑简体" w:hAnsi="方正兰亭黑简体" w:eastAsia="方正兰亭黑简体" w:cs="方正兰亭黑简体"/>
          <w:b/>
          <w:bCs/>
          <w:color w:val="auto"/>
          <w:sz w:val="24"/>
          <w:szCs w:val="32"/>
          <w:highlight w:val="none"/>
        </w:rPr>
      </w:pPr>
    </w:p>
    <w:p w14:paraId="342DFAF8">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采购人：上海海事大学</w:t>
      </w:r>
    </w:p>
    <w:p w14:paraId="6301CB1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二〇二六年</w:t>
      </w:r>
      <w:r>
        <w:rPr>
          <w:rFonts w:hint="eastAsia" w:ascii="方正兰亭黑简体" w:hAnsi="方正兰亭黑简体" w:eastAsia="方正兰亭黑简体" w:cs="方正兰亭黑简体"/>
          <w:b/>
          <w:bCs/>
          <w:color w:val="auto"/>
          <w:sz w:val="24"/>
          <w:szCs w:val="32"/>
          <w:highlight w:val="none"/>
          <w:lang w:val="en-US" w:eastAsia="zh-CN"/>
        </w:rPr>
        <w:t>七</w:t>
      </w:r>
      <w:r>
        <w:rPr>
          <w:rFonts w:hint="eastAsia" w:ascii="方正兰亭黑简体" w:hAnsi="方正兰亭黑简体" w:eastAsia="方正兰亭黑简体" w:cs="方正兰亭黑简体"/>
          <w:b/>
          <w:bCs/>
          <w:color w:val="auto"/>
          <w:sz w:val="24"/>
          <w:szCs w:val="32"/>
          <w:highlight w:val="none"/>
        </w:rPr>
        <w:t>月</w:t>
      </w:r>
    </w:p>
    <w:p w14:paraId="56D8363F">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3FA5FE6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第一章比选公告</w:t>
      </w:r>
    </w:p>
    <w:p w14:paraId="5E1CB3DE">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为公开、公正、公平地做好各项货物与服务的采购工作，进一步提高采购过程的透明度，有利于我校选择性价比更高的产品及更优质的服务，欢迎各供应单位本着务实友好的工作态度，积极参与，并做好成本核算，进行一次性报价。我校将本着公开、公正、公平的工作原则，对各供应单位所提供的资料，进行综合评议，择优选购。为确保本次比选采购项目采购工作的顺利开展，请各报价单位按照下述要求提供报价单等相关资料。具体要求及相关注意事项如下：</w:t>
      </w:r>
    </w:p>
    <w:p w14:paraId="0E2D235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一、项目基本情况</w:t>
      </w:r>
    </w:p>
    <w:p w14:paraId="74B0A1D4">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项目编号：</w:t>
      </w:r>
      <w:r>
        <w:rPr>
          <w:rFonts w:hint="eastAsia" w:ascii="方正兰亭黑简体" w:hAnsi="方正兰亭黑简体" w:eastAsia="方正兰亭黑简体" w:cs="方正兰亭黑简体"/>
          <w:color w:val="auto"/>
          <w:sz w:val="22"/>
          <w:szCs w:val="28"/>
          <w:highlight w:val="none"/>
          <w:lang w:eastAsia="zh-CN"/>
        </w:rPr>
        <w:t>HFBX2026071</w:t>
      </w:r>
      <w:r>
        <w:rPr>
          <w:rFonts w:hint="eastAsia" w:ascii="方正兰亭黑简体" w:hAnsi="方正兰亭黑简体" w:eastAsia="方正兰亭黑简体" w:cs="方正兰亭黑简体"/>
          <w:color w:val="auto"/>
          <w:sz w:val="22"/>
          <w:szCs w:val="28"/>
          <w:highlight w:val="none"/>
        </w:rPr>
        <w:t>；</w:t>
      </w:r>
    </w:p>
    <w:p w14:paraId="373D463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项目名称：</w:t>
      </w:r>
      <w:r>
        <w:rPr>
          <w:rFonts w:hint="eastAsia" w:ascii="方正兰亭黑简体" w:hAnsi="方正兰亭黑简体" w:eastAsia="方正兰亭黑简体" w:cs="方正兰亭黑简体"/>
          <w:color w:val="auto"/>
          <w:sz w:val="22"/>
          <w:szCs w:val="28"/>
          <w:highlight w:val="none"/>
          <w:lang w:eastAsia="zh-CN"/>
        </w:rPr>
        <w:t>虚拟化平台及基础支撑系统技术服务</w:t>
      </w:r>
      <w:r>
        <w:rPr>
          <w:rFonts w:hint="eastAsia" w:ascii="方正兰亭黑简体" w:hAnsi="方正兰亭黑简体" w:eastAsia="方正兰亭黑简体" w:cs="方正兰亭黑简体"/>
          <w:color w:val="auto"/>
          <w:sz w:val="22"/>
          <w:szCs w:val="28"/>
          <w:highlight w:val="none"/>
        </w:rPr>
        <w:t>；</w:t>
      </w:r>
    </w:p>
    <w:p w14:paraId="44BA8929">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采购方式：</w:t>
      </w:r>
      <w:r>
        <w:rPr>
          <w:rFonts w:hint="eastAsia" w:ascii="方正兰亭黑简体" w:hAnsi="方正兰亭黑简体" w:eastAsia="方正兰亭黑简体" w:cs="方正兰亭黑简体"/>
          <w:color w:val="auto"/>
          <w:sz w:val="22"/>
          <w:szCs w:val="28"/>
          <w:highlight w:val="none"/>
        </w:rPr>
        <w:t>学校比选</w:t>
      </w:r>
      <w:r>
        <w:rPr>
          <w:rFonts w:hint="eastAsia" w:ascii="方正兰亭黑简体" w:hAnsi="方正兰亭黑简体" w:eastAsia="方正兰亭黑简体" w:cs="方正兰亭黑简体"/>
          <w:color w:val="auto"/>
          <w:sz w:val="22"/>
          <w:szCs w:val="28"/>
          <w:highlight w:val="none"/>
        </w:rPr>
        <w:t>；</w:t>
      </w:r>
    </w:p>
    <w:p w14:paraId="432CCF0C">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预算金额（亦是最高限价）：</w:t>
      </w:r>
      <w:r>
        <w:rPr>
          <w:rFonts w:hint="eastAsia" w:ascii="方正兰亭黑简体" w:hAnsi="方正兰亭黑简体" w:eastAsia="方正兰亭黑简体" w:cs="方正兰亭黑简体"/>
          <w:color w:val="auto"/>
          <w:sz w:val="22"/>
          <w:szCs w:val="28"/>
          <w:highlight w:val="none"/>
        </w:rPr>
        <w:t>人民币</w:t>
      </w:r>
      <w:r>
        <w:rPr>
          <w:rFonts w:hint="eastAsia" w:ascii="方正兰亭黑简体" w:hAnsi="方正兰亭黑简体" w:eastAsia="方正兰亭黑简体" w:cs="方正兰亭黑简体"/>
          <w:color w:val="auto"/>
          <w:sz w:val="22"/>
          <w:szCs w:val="28"/>
          <w:highlight w:val="none"/>
          <w:lang w:val="en-US" w:eastAsia="zh-CN"/>
        </w:rPr>
        <w:t>18.7</w:t>
      </w:r>
      <w:r>
        <w:rPr>
          <w:rFonts w:hint="eastAsia" w:ascii="方正兰亭黑简体" w:hAnsi="方正兰亭黑简体" w:eastAsia="方正兰亭黑简体" w:cs="方正兰亭黑简体"/>
          <w:color w:val="auto"/>
          <w:sz w:val="22"/>
          <w:szCs w:val="28"/>
          <w:highlight w:val="none"/>
        </w:rPr>
        <w:t>万元；</w:t>
      </w:r>
    </w:p>
    <w:p w14:paraId="290FE17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采购需求：</w:t>
      </w:r>
      <w:r>
        <w:rPr>
          <w:rFonts w:hint="eastAsia" w:ascii="方正兰亭黑简体" w:hAnsi="方正兰亭黑简体" w:eastAsia="方正兰亭黑简体" w:cs="方正兰亭黑简体"/>
          <w:color w:val="auto"/>
          <w:sz w:val="22"/>
          <w:szCs w:val="28"/>
          <w:highlight w:val="none"/>
        </w:rPr>
        <w:t>本项目拟委托一家合格供应商为学校现有VMware虚拟化基础设施及相关基础支撑系统提供专业、持续的技术维护服务，保障教学及业务系统底层运行环境的安全、稳定和高效。维护范围主要包括vCenterServer6.5/7.0、PlatformServicesController（PSC）、NSXforvSphere、NSX-T网络虚拟化平台、ESXi主机，以及ActiveDirectory域控制器和NTP服务器等，以及Citrix云桌面平台技术服务，K8s平台技术服务(包括git,repo)。</w:t>
      </w:r>
      <w:r>
        <w:rPr>
          <w:rFonts w:ascii="微软雅黑" w:hAnsi="微软雅黑" w:eastAsia="微软雅黑" w:cs="微软雅黑"/>
          <w:i w:val="0"/>
          <w:iCs w:val="0"/>
          <w:caps w:val="0"/>
          <w:color w:val="auto"/>
          <w:spacing w:val="0"/>
          <w:sz w:val="23"/>
          <w:szCs w:val="23"/>
          <w:highlight w:val="none"/>
          <w:shd w:val="clear" w:fill="FFFFFF"/>
        </w:rPr>
        <w:t>拟采取比选方式实施采购。（具体要求详见比选文件—第二章节采购需求）。</w:t>
      </w:r>
    </w:p>
    <w:p w14:paraId="57294392">
      <w:pPr>
        <w:pStyle w:val="19"/>
        <w:tabs>
          <w:tab w:val="left" w:pos="0"/>
        </w:tabs>
        <w:spacing w:line="360" w:lineRule="auto"/>
        <w:ind w:firstLine="0" w:firstLineChars="0"/>
        <w:rPr>
          <w:rFonts w:hint="eastAsia"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sz w:val="22"/>
          <w:szCs w:val="28"/>
          <w:highlight w:val="none"/>
          <w:lang w:val="en-US" w:eastAsia="zh-CN"/>
        </w:rPr>
        <w:t>服务期限：</w:t>
      </w:r>
      <w:r>
        <w:rPr>
          <w:rFonts w:hint="eastAsia" w:ascii="方正兰亭黑简体" w:hAnsi="方正兰亭黑简体" w:eastAsia="方正兰亭黑简体" w:cs="方正兰亭黑简体"/>
          <w:color w:val="auto"/>
          <w:kern w:val="2"/>
          <w:sz w:val="22"/>
          <w:szCs w:val="28"/>
          <w:highlight w:val="none"/>
          <w:lang w:val="en-US" w:eastAsia="zh-CN" w:bidi="ar-SA"/>
        </w:rPr>
        <w:t>自合同签订之日起一年。</w:t>
      </w:r>
    </w:p>
    <w:p w14:paraId="627DD869">
      <w:pPr>
        <w:pStyle w:val="19"/>
        <w:numPr>
          <w:ilvl w:val="0"/>
          <w:numId w:val="0"/>
        </w:numPr>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kern w:val="2"/>
          <w:sz w:val="22"/>
          <w:szCs w:val="28"/>
          <w:highlight w:val="none"/>
          <w:lang w:val="en-US" w:eastAsia="zh-CN" w:bidi="ar-SA"/>
        </w:rPr>
        <w:t>付款方式：</w:t>
      </w:r>
      <w:r>
        <w:rPr>
          <w:rFonts w:hint="eastAsia" w:ascii="方正兰亭黑简体" w:hAnsi="方正兰亭黑简体" w:eastAsia="方正兰亭黑简体" w:cs="方正兰亭黑简体"/>
          <w:color w:val="auto"/>
          <w:kern w:val="2"/>
          <w:sz w:val="22"/>
          <w:szCs w:val="28"/>
          <w:highlight w:val="none"/>
          <w:lang w:val="en-US" w:eastAsia="zh-CN" w:bidi="ar-SA"/>
        </w:rPr>
        <w:t>合同签订后十个工作日内，甲方应付款合同总金额的60%，乙方服务满2个月后甲方应付款合同总金额的40%，合同内款项均以“银行转账”方式支付。</w:t>
      </w:r>
    </w:p>
    <w:p w14:paraId="34EF3CE4">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二、报价人的资格要求</w:t>
      </w:r>
    </w:p>
    <w:p w14:paraId="58FFC7E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1、符合《中华人民共和国政府采购法》第二十二条之供应商资格规定。</w:t>
      </w:r>
    </w:p>
    <w:p w14:paraId="67A4B0EC">
      <w:pPr>
        <w:spacing w:line="360" w:lineRule="auto"/>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2、供应商未被列入“信用中国”网站（www.creditchina.gov.cn）失信执行人名单、重大税收违法案件当事人名单，和中国政府采购网（www.ccgp.gov.cn）政府</w:t>
      </w:r>
      <w:r>
        <w:rPr>
          <w:rFonts w:hint="eastAsia" w:ascii="方正兰亭黑简体" w:hAnsi="方正兰亭黑简体" w:eastAsia="方正兰亭黑简体" w:cs="方正兰亭黑简体"/>
          <w:color w:val="auto"/>
          <w:sz w:val="22"/>
          <w:szCs w:val="28"/>
          <w:highlight w:val="none"/>
          <w:lang w:val="en-US" w:eastAsia="zh-CN"/>
        </w:rPr>
        <w:t>采购</w:t>
      </w:r>
      <w:r>
        <w:rPr>
          <w:rFonts w:hint="eastAsia" w:ascii="方正兰亭黑简体" w:hAnsi="方正兰亭黑简体" w:eastAsia="方正兰亭黑简体" w:cs="方正兰亭黑简体"/>
          <w:color w:val="auto"/>
          <w:sz w:val="22"/>
          <w:szCs w:val="28"/>
          <w:highlight w:val="none"/>
        </w:rPr>
        <w:t>严重违法失信行为记录名单的供应商。</w:t>
      </w:r>
    </w:p>
    <w:p w14:paraId="34243CE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3、经营范围及拟投标货物（服务）符合本次比选要求，具有与本次投标货物（服务）相应的经营、代理（经销）资质，能全程参与并完成本项目，且具有较强的服务能力，以及畅通的问题响应机制和渠道等。</w:t>
      </w:r>
    </w:p>
    <w:p w14:paraId="6D423F37">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三、报名要求</w:t>
      </w:r>
    </w:p>
    <w:p w14:paraId="2180092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报名邮箱、时间：不单独组织报名，意向单位可在截止日期前递交响应文件。</w:t>
      </w:r>
    </w:p>
    <w:p w14:paraId="47EB2369">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四、获取采购文件</w:t>
      </w:r>
    </w:p>
    <w:p w14:paraId="22BA469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获取方式：公告页面下方自行下载</w:t>
      </w:r>
    </w:p>
    <w:p w14:paraId="5F33DC36">
      <w:pPr>
        <w:jc w:val="left"/>
        <w:rPr>
          <w:rFonts w:hint="eastAsia" w:ascii="方正兰亭黑简体" w:hAnsi="方正兰亭黑简体" w:eastAsia="方正兰亭黑简体" w:cs="方正兰亭黑简体"/>
          <w:b/>
          <w:bCs/>
          <w:color w:val="auto"/>
          <w:sz w:val="22"/>
          <w:szCs w:val="28"/>
          <w:highlight w:val="none"/>
        </w:rPr>
      </w:pPr>
      <w:bookmarkStart w:id="0" w:name="_Toc28359005"/>
      <w:r>
        <w:rPr>
          <w:rFonts w:hint="eastAsia" w:ascii="方正兰亭黑简体" w:hAnsi="方正兰亭黑简体" w:eastAsia="方正兰亭黑简体" w:cs="方正兰亭黑简体"/>
          <w:b/>
          <w:bCs/>
          <w:color w:val="auto"/>
          <w:sz w:val="22"/>
          <w:szCs w:val="28"/>
          <w:highlight w:val="none"/>
        </w:rPr>
        <w:t>五、现场踏勘</w:t>
      </w:r>
      <w:bookmarkEnd w:id="0"/>
    </w:p>
    <w:p w14:paraId="6393E20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不组织</w:t>
      </w:r>
    </w:p>
    <w:p w14:paraId="3B52FB4A">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六、响应文件提交</w:t>
      </w:r>
    </w:p>
    <w:p w14:paraId="797F0A10">
      <w:pPr>
        <w:jc w:val="left"/>
        <w:rPr>
          <w:rFonts w:hint="eastAsia" w:ascii="方正兰亭黑简体" w:hAnsi="方正兰亭黑简体" w:eastAsia="方正兰亭黑简体" w:cs="方正兰亭黑简体"/>
          <w:color w:val="auto"/>
          <w:sz w:val="22"/>
          <w:szCs w:val="28"/>
          <w:highlight w:val="none"/>
        </w:rPr>
      </w:pPr>
      <w:bookmarkStart w:id="1" w:name="_Toc35393795"/>
      <w:bookmarkEnd w:id="1"/>
      <w:bookmarkStart w:id="2" w:name="_Toc35393626"/>
      <w:bookmarkStart w:id="3" w:name="OLE_LINK1"/>
      <w:bookmarkStart w:id="4" w:name="OLE_LINK2"/>
      <w:r>
        <w:rPr>
          <w:rFonts w:hint="eastAsia" w:ascii="方正兰亭黑简体" w:hAnsi="方正兰亭黑简体" w:eastAsia="方正兰亭黑简体" w:cs="方正兰亭黑简体"/>
          <w:color w:val="auto"/>
          <w:sz w:val="22"/>
          <w:szCs w:val="28"/>
          <w:highlight w:val="none"/>
        </w:rPr>
        <w:t>截止</w:t>
      </w:r>
      <w:bookmarkEnd w:id="2"/>
      <w:r>
        <w:rPr>
          <w:rFonts w:hint="eastAsia" w:ascii="方正兰亭黑简体" w:hAnsi="方正兰亭黑简体" w:eastAsia="方正兰亭黑简体" w:cs="方正兰亭黑简体"/>
          <w:color w:val="auto"/>
          <w:sz w:val="22"/>
          <w:szCs w:val="28"/>
          <w:highlight w:val="none"/>
        </w:rPr>
        <w:t>时间：2026年</w:t>
      </w:r>
      <w:r>
        <w:rPr>
          <w:rFonts w:hint="eastAsia" w:ascii="方正兰亭黑简体" w:hAnsi="方正兰亭黑简体" w:eastAsia="方正兰亭黑简体" w:cs="方正兰亭黑简体"/>
          <w:color w:val="auto"/>
          <w:sz w:val="22"/>
          <w:szCs w:val="28"/>
          <w:highlight w:val="none"/>
          <w:lang w:val="en-US" w:eastAsia="zh-CN"/>
        </w:rPr>
        <w:t>8</w:t>
      </w:r>
      <w:r>
        <w:rPr>
          <w:rFonts w:hint="eastAsia" w:ascii="方正兰亭黑简体" w:hAnsi="方正兰亭黑简体" w:eastAsia="方正兰亭黑简体" w:cs="方正兰亭黑简体"/>
          <w:color w:val="auto"/>
          <w:sz w:val="22"/>
          <w:szCs w:val="28"/>
          <w:highlight w:val="none"/>
        </w:rPr>
        <w:t>月</w:t>
      </w:r>
      <w:r>
        <w:rPr>
          <w:rFonts w:hint="eastAsia" w:ascii="方正兰亭黑简体" w:hAnsi="方正兰亭黑简体" w:eastAsia="方正兰亭黑简体" w:cs="方正兰亭黑简体"/>
          <w:color w:val="auto"/>
          <w:sz w:val="22"/>
          <w:szCs w:val="28"/>
          <w:highlight w:val="none"/>
          <w:lang w:val="en-US" w:eastAsia="zh-CN"/>
        </w:rPr>
        <w:t>3</w:t>
      </w:r>
      <w:r>
        <w:rPr>
          <w:rFonts w:hint="eastAsia" w:ascii="方正兰亭黑简体" w:hAnsi="方正兰亭黑简体" w:eastAsia="方正兰亭黑简体" w:cs="方正兰亭黑简体"/>
          <w:color w:val="auto"/>
          <w:sz w:val="22"/>
          <w:szCs w:val="28"/>
          <w:highlight w:val="none"/>
        </w:rPr>
        <w:t>日（周</w:t>
      </w:r>
      <w:r>
        <w:rPr>
          <w:rFonts w:hint="eastAsia" w:ascii="方正兰亭黑简体" w:hAnsi="方正兰亭黑简体" w:eastAsia="方正兰亭黑简体" w:cs="方正兰亭黑简体"/>
          <w:color w:val="auto"/>
          <w:sz w:val="22"/>
          <w:szCs w:val="28"/>
          <w:highlight w:val="none"/>
          <w:lang w:val="en-US" w:eastAsia="zh-CN"/>
        </w:rPr>
        <w:t>一</w:t>
      </w:r>
      <w:bookmarkStart w:id="8" w:name="_GoBack"/>
      <w:bookmarkEnd w:id="8"/>
      <w:r>
        <w:rPr>
          <w:rFonts w:hint="eastAsia" w:ascii="方正兰亭黑简体" w:hAnsi="方正兰亭黑简体" w:eastAsia="方正兰亭黑简体" w:cs="方正兰亭黑简体"/>
          <w:color w:val="auto"/>
          <w:sz w:val="22"/>
          <w:szCs w:val="28"/>
          <w:highlight w:val="none"/>
        </w:rPr>
        <w:t>）</w:t>
      </w:r>
      <w:bookmarkEnd w:id="3"/>
      <w:bookmarkEnd w:id="4"/>
      <w:r>
        <w:rPr>
          <w:rFonts w:hint="eastAsia" w:ascii="方正兰亭黑简体" w:hAnsi="方正兰亭黑简体" w:eastAsia="方正兰亭黑简体" w:cs="方正兰亭黑简体"/>
          <w:color w:val="auto"/>
          <w:sz w:val="22"/>
          <w:szCs w:val="28"/>
          <w:highlight w:val="none"/>
        </w:rPr>
        <w:t>上午11时00分</w:t>
      </w:r>
    </w:p>
    <w:p w14:paraId="19B2134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提交方式：发送盖章扫描版PDF到指定邮箱，邮件名称：</w:t>
      </w:r>
      <w:r>
        <w:rPr>
          <w:rFonts w:hint="eastAsia" w:ascii="方正兰亭黑简体" w:hAnsi="方正兰亭黑简体" w:eastAsia="方正兰亭黑简体" w:cs="方正兰亭黑简体"/>
          <w:color w:val="auto"/>
          <w:sz w:val="22"/>
          <w:szCs w:val="28"/>
          <w:highlight w:val="none"/>
        </w:rPr>
        <w:t>项目编号+公司名称</w:t>
      </w:r>
    </w:p>
    <w:p w14:paraId="5F997FC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邮箱地址：quotation@shmtu.edu.cn</w:t>
      </w:r>
    </w:p>
    <w:p w14:paraId="1EC8B77D">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七、其他补充事宜</w:t>
      </w:r>
    </w:p>
    <w:p w14:paraId="1533EBF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1.中标结果将通过发布比选公告的媒介进行公示，公示期为1个工作日，公示期内如对中标结果有异议可向校方提出书面质疑。</w:t>
      </w:r>
      <w:bookmarkStart w:id="5" w:name="_Toc35393627"/>
    </w:p>
    <w:p w14:paraId="03F0F78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w:t>
      </w:r>
      <w:bookmarkEnd w:id="5"/>
      <w:r>
        <w:rPr>
          <w:rFonts w:hint="eastAsia" w:ascii="方正兰亭黑简体" w:hAnsi="方正兰亭黑简体" w:eastAsia="方正兰亭黑简体" w:cs="方正兰亭黑简体"/>
          <w:color w:val="auto"/>
          <w:sz w:val="22"/>
          <w:szCs w:val="28"/>
          <w:highlight w:val="none"/>
        </w:rPr>
        <w:t>凡对本次采购提出询问，请按以下方式联系：</w:t>
      </w:r>
    </w:p>
    <w:p w14:paraId="4E545C0B">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商务信息：仲老师021-38284707</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13764131075</w:t>
      </w:r>
    </w:p>
    <w:p w14:paraId="155BEAB7">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技术信息：</w:t>
      </w:r>
      <w:r>
        <w:rPr>
          <w:rFonts w:hint="eastAsia" w:ascii="方正兰亭黑简体" w:hAnsi="方正兰亭黑简体" w:eastAsia="方正兰亭黑简体" w:cs="方正兰亭黑简体"/>
          <w:color w:val="auto"/>
          <w:sz w:val="22"/>
          <w:szCs w:val="28"/>
          <w:highlight w:val="none"/>
          <w:lang w:val="en-US" w:eastAsia="zh-CN"/>
        </w:rPr>
        <w:t>王老师021-38284490</w:t>
      </w:r>
    </w:p>
    <w:p w14:paraId="0248245C">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A7818A">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第二章采购需求</w:t>
      </w:r>
    </w:p>
    <w:p w14:paraId="39E2A589">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一</w:t>
      </w:r>
      <w:r>
        <w:rPr>
          <w:rFonts w:ascii="Times New Roman" w:hAnsi="Times New Roman" w:eastAsia="方正兰亭黑简体" w:cs="Times New Roman"/>
          <w:b/>
          <w:bCs/>
          <w:color w:val="auto"/>
          <w:sz w:val="22"/>
          <w:szCs w:val="22"/>
          <w:highlight w:val="none"/>
        </w:rPr>
        <w:t>、</w:t>
      </w:r>
      <w:r>
        <w:rPr>
          <w:rFonts w:hint="eastAsia" w:ascii="Times New Roman" w:hAnsi="Times New Roman" w:eastAsia="方正兰亭黑简体" w:cs="Times New Roman"/>
          <w:b/>
          <w:bCs/>
          <w:color w:val="auto"/>
          <w:sz w:val="22"/>
          <w:szCs w:val="22"/>
          <w:highlight w:val="none"/>
          <w:lang w:val="en-US" w:eastAsia="zh-CN"/>
        </w:rPr>
        <w:t>项目概况</w:t>
      </w:r>
    </w:p>
    <w:p w14:paraId="437E54F1">
      <w:pPr>
        <w:spacing w:line="360" w:lineRule="auto"/>
        <w:ind w:firstLine="440" w:firstLineChars="200"/>
        <w:jc w:val="left"/>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rPr>
        <w:t>本项目旨在为学校现有VMware虚拟化基础设施及相关基础支撑系统提供专业、持续的技术</w:t>
      </w:r>
      <w:r>
        <w:rPr>
          <w:rFonts w:hint="default" w:ascii="Times New Roman" w:hAnsi="Times New Roman" w:eastAsia="方正兰亭黑简体" w:cs="Times New Roman"/>
          <w:color w:val="auto"/>
          <w:sz w:val="22"/>
          <w:szCs w:val="22"/>
          <w:highlight w:val="none"/>
          <w:lang w:val="en-US" w:eastAsia="zh-CN"/>
        </w:rPr>
        <w:t>维护</w:t>
      </w:r>
      <w:r>
        <w:rPr>
          <w:rFonts w:hint="default" w:ascii="Times New Roman" w:hAnsi="Times New Roman" w:eastAsia="方正兰亭黑简体" w:cs="Times New Roman"/>
          <w:color w:val="auto"/>
          <w:sz w:val="22"/>
          <w:szCs w:val="22"/>
          <w:highlight w:val="none"/>
        </w:rPr>
        <w:t>服务，保障教学及业务系统底层运行环境的安全、稳定和高效。维护范围主要包括vCenterServer6.5/7.0、PlatformServicesController（PSC）、NSXforvSphere、NSX-T网络虚拟化平台、ESXi主机，以及ActiveDirectory域控制器和NTP</w:t>
      </w:r>
      <w:r>
        <w:rPr>
          <w:rFonts w:hint="default" w:ascii="Times New Roman" w:hAnsi="Times New Roman" w:eastAsia="方正兰亭黑简体" w:cs="Times New Roman"/>
          <w:color w:val="auto"/>
          <w:sz w:val="22"/>
          <w:szCs w:val="22"/>
          <w:highlight w:val="none"/>
          <w:lang w:val="en-US" w:eastAsia="zh-CN"/>
        </w:rPr>
        <w:t>服务器等。</w:t>
      </w:r>
    </w:p>
    <w:p w14:paraId="6D46828C">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bCs/>
          <w:color w:val="auto"/>
          <w:sz w:val="22"/>
          <w:szCs w:val="22"/>
          <w:highlight w:val="none"/>
          <w:lang w:val="en-US" w:eastAsia="zh-CN"/>
        </w:rPr>
      </w:pPr>
    </w:p>
    <w:p w14:paraId="2564B485">
      <w:pPr>
        <w:widowControl/>
        <w:numPr>
          <w:ilvl w:val="0"/>
          <w:numId w:val="0"/>
        </w:numPr>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kern w:val="2"/>
          <w:sz w:val="22"/>
          <w:szCs w:val="22"/>
          <w:highlight w:val="none"/>
          <w:lang w:val="en-US" w:eastAsia="zh-CN" w:bidi="ar-SA"/>
        </w:rPr>
        <w:t>二、服务说明</w:t>
      </w:r>
    </w:p>
    <w:tbl>
      <w:tblPr>
        <w:tblStyle w:val="14"/>
        <w:tblpPr w:leftFromText="180" w:rightFromText="180" w:vertAnchor="text" w:horzAnchor="page" w:tblpXSpec="center" w:tblpY="223"/>
        <w:tblOverlap w:val="never"/>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321"/>
        <w:gridCol w:w="825"/>
        <w:gridCol w:w="7159"/>
      </w:tblGrid>
      <w:tr w14:paraId="29762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42D57046">
            <w:pPr>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序号</w:t>
            </w:r>
          </w:p>
        </w:tc>
        <w:tc>
          <w:tcPr>
            <w:tcW w:w="663" w:type="pct"/>
            <w:vAlign w:val="center"/>
          </w:tcPr>
          <w:p w14:paraId="00C6BB4B">
            <w:pPr>
              <w:widowControl/>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名称</w:t>
            </w:r>
          </w:p>
        </w:tc>
        <w:tc>
          <w:tcPr>
            <w:tcW w:w="414" w:type="pct"/>
            <w:vAlign w:val="center"/>
          </w:tcPr>
          <w:p w14:paraId="18255020">
            <w:pPr>
              <w:widowControl/>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服务期限</w:t>
            </w:r>
          </w:p>
        </w:tc>
        <w:tc>
          <w:tcPr>
            <w:tcW w:w="3593" w:type="pct"/>
            <w:vAlign w:val="center"/>
          </w:tcPr>
          <w:p w14:paraId="3D44F65C">
            <w:pPr>
              <w:widowControl/>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服务说明</w:t>
            </w:r>
          </w:p>
        </w:tc>
      </w:tr>
      <w:tr w14:paraId="56211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262F0133">
            <w:pPr>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w:t>
            </w:r>
          </w:p>
        </w:tc>
        <w:tc>
          <w:tcPr>
            <w:tcW w:w="663" w:type="pct"/>
            <w:vAlign w:val="center"/>
          </w:tcPr>
          <w:p w14:paraId="3A979B26">
            <w:pPr>
              <w:widowControl/>
              <w:spacing w:line="360" w:lineRule="auto"/>
              <w:jc w:val="center"/>
              <w:rPr>
                <w:rFonts w:hint="default" w:ascii="Times New Roman" w:hAnsi="Times New Roman" w:eastAsia="方正兰亭黑简体" w:cs="Times New Roman"/>
                <w:color w:val="auto"/>
                <w:sz w:val="22"/>
                <w:szCs w:val="22"/>
                <w:highlight w:val="none"/>
                <w:lang w:val="en-US" w:eastAsia="zh-CN"/>
              </w:rPr>
            </w:pPr>
            <w:r>
              <w:rPr>
                <w:rFonts w:hint="default" w:ascii="Times New Roman" w:hAnsi="Times New Roman" w:eastAsia="方正兰亭黑简体" w:cs="Times New Roman"/>
                <w:color w:val="auto"/>
                <w:sz w:val="22"/>
                <w:szCs w:val="22"/>
                <w:highlight w:val="none"/>
              </w:rPr>
              <w:t>虚拟化平台</w:t>
            </w:r>
            <w:r>
              <w:rPr>
                <w:rFonts w:hint="default" w:ascii="Times New Roman" w:hAnsi="Times New Roman" w:eastAsia="方正兰亭黑简体" w:cs="Times New Roman"/>
                <w:color w:val="auto"/>
                <w:sz w:val="22"/>
                <w:szCs w:val="22"/>
                <w:highlight w:val="none"/>
                <w:lang w:val="en-US" w:eastAsia="zh-CN"/>
              </w:rPr>
              <w:t>技术服务</w:t>
            </w:r>
          </w:p>
        </w:tc>
        <w:tc>
          <w:tcPr>
            <w:tcW w:w="414" w:type="pct"/>
            <w:vAlign w:val="center"/>
          </w:tcPr>
          <w:p w14:paraId="78185593">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1年</w:t>
            </w:r>
          </w:p>
        </w:tc>
        <w:tc>
          <w:tcPr>
            <w:tcW w:w="3593" w:type="pct"/>
          </w:tcPr>
          <w:p w14:paraId="4CA9DF89">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vCenterServer与PSC维护事项（vCenter6.5及PSC维护、vCenter7.0维护）、NSX网络虚拟化维护事项（NSXforvSphere6.x维护、NSX-T维护）</w:t>
            </w:r>
          </w:p>
          <w:p w14:paraId="13659CEB">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ESXi主机集群维护事项（系统运行与资源监控、配置与合规性管理）、基础支撑服务维护事项（ActiveDirectory(AD)域控维护、NTP时间同步服务维护）。</w:t>
            </w:r>
          </w:p>
        </w:tc>
      </w:tr>
      <w:tr w14:paraId="2B5F1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5812CFAA">
            <w:pPr>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w:t>
            </w:r>
          </w:p>
        </w:tc>
        <w:tc>
          <w:tcPr>
            <w:tcW w:w="663" w:type="pct"/>
            <w:vAlign w:val="center"/>
          </w:tcPr>
          <w:p w14:paraId="1CD00C82">
            <w:pPr>
              <w:widowControl/>
              <w:spacing w:line="360" w:lineRule="auto"/>
              <w:jc w:val="center"/>
              <w:rPr>
                <w:rFonts w:hint="default" w:ascii="Times New Roman" w:hAnsi="Times New Roman" w:eastAsia="方正兰亭黑简体" w:cs="Times New Roman"/>
                <w:color w:val="auto"/>
                <w:sz w:val="22"/>
                <w:szCs w:val="22"/>
                <w:highlight w:val="none"/>
                <w:lang w:val="en-US" w:eastAsia="zh-CN"/>
              </w:rPr>
            </w:pPr>
            <w:r>
              <w:rPr>
                <w:rFonts w:hint="default" w:ascii="Times New Roman" w:hAnsi="Times New Roman" w:eastAsia="方正兰亭黑简体" w:cs="Times New Roman"/>
                <w:color w:val="auto"/>
                <w:sz w:val="22"/>
                <w:szCs w:val="22"/>
                <w:highlight w:val="none"/>
              </w:rPr>
              <w:t>k8s平台</w:t>
            </w:r>
            <w:r>
              <w:rPr>
                <w:rFonts w:hint="default" w:ascii="Times New Roman" w:hAnsi="Times New Roman" w:eastAsia="方正兰亭黑简体" w:cs="Times New Roman"/>
                <w:color w:val="auto"/>
                <w:sz w:val="22"/>
                <w:szCs w:val="22"/>
                <w:highlight w:val="none"/>
                <w:lang w:val="en-US" w:eastAsia="zh-CN"/>
              </w:rPr>
              <w:t>技术服务</w:t>
            </w:r>
          </w:p>
        </w:tc>
        <w:tc>
          <w:tcPr>
            <w:tcW w:w="414" w:type="pct"/>
            <w:vAlign w:val="center"/>
          </w:tcPr>
          <w:p w14:paraId="04AA2B73">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1年</w:t>
            </w:r>
          </w:p>
        </w:tc>
        <w:tc>
          <w:tcPr>
            <w:tcW w:w="3593" w:type="pct"/>
          </w:tcPr>
          <w:p w14:paraId="10A6215C">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K8s集群共有5个节点、另外包括校内镜像服务器（系统镜像、软件镜像、开源镜像源）、代码服务器（代码仓库、Git/SVN服务、项目版本管理、权限管控），</w:t>
            </w:r>
            <w:r>
              <w:rPr>
                <w:rFonts w:hint="default" w:ascii="Times New Roman" w:hAnsi="Times New Roman" w:eastAsia="方正兰亭黑简体" w:cs="Times New Roman"/>
                <w:color w:val="auto"/>
                <w:sz w:val="22"/>
                <w:szCs w:val="22"/>
                <w:highlight w:val="none"/>
                <w:lang w:eastAsia="zh-CN"/>
              </w:rPr>
              <w:t>技术服务</w:t>
            </w:r>
            <w:r>
              <w:rPr>
                <w:rFonts w:hint="default" w:ascii="Times New Roman" w:hAnsi="Times New Roman" w:eastAsia="方正兰亭黑简体" w:cs="Times New Roman"/>
                <w:color w:val="auto"/>
                <w:sz w:val="22"/>
                <w:szCs w:val="22"/>
                <w:highlight w:val="none"/>
              </w:rPr>
              <w:t>内容如下：</w:t>
            </w:r>
          </w:p>
          <w:p w14:paraId="3F4C2A01">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lang w:val="en-US" w:eastAsia="zh-CN"/>
              </w:rPr>
              <w:t>周期性深度巡检</w:t>
            </w:r>
            <w:r>
              <w:rPr>
                <w:rFonts w:hint="default" w:ascii="Times New Roman" w:hAnsi="Times New Roman" w:eastAsia="方正兰亭黑简体" w:cs="Times New Roman"/>
                <w:color w:val="auto"/>
                <w:sz w:val="22"/>
                <w:szCs w:val="22"/>
                <w:highlight w:val="none"/>
              </w:rPr>
              <w:t>、集群管理与维护、网络维护、存储维护、镜像及镜像仓库维护、平台维护服务、监控、日志与告警、备份与恢复、安全维护、补丁、升级与性能优化、业务接入支持、故障响应与技术支持。</w:t>
            </w:r>
          </w:p>
        </w:tc>
      </w:tr>
      <w:tr w14:paraId="15BCB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1C03A261">
            <w:pPr>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3</w:t>
            </w:r>
          </w:p>
        </w:tc>
        <w:tc>
          <w:tcPr>
            <w:tcW w:w="663" w:type="pct"/>
            <w:vAlign w:val="center"/>
          </w:tcPr>
          <w:p w14:paraId="52791DE8">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Citrix云桌面平台技术服务</w:t>
            </w:r>
          </w:p>
        </w:tc>
        <w:tc>
          <w:tcPr>
            <w:tcW w:w="414" w:type="pct"/>
            <w:vAlign w:val="center"/>
          </w:tcPr>
          <w:p w14:paraId="0B7D2FBE">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1年</w:t>
            </w:r>
          </w:p>
        </w:tc>
        <w:tc>
          <w:tcPr>
            <w:tcW w:w="3593" w:type="pct"/>
          </w:tcPr>
          <w:p w14:paraId="5C9D330F">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提供Citrix云桌面管理平台、教学云桌面课表软件的维护服务、提供云桌面虚拟机的安装、测试及现场支持服务（协助师生安装课程模板，发布云桌面，并根据甲方测试需要，提供现场支持）、提供Citrix云桌面管理平台、教学云桌面课表软件的故障处理服务和技术支持服务（7*24小时电话和远程技术支持，对于紧急情况或未能通过远程解决的，应及时安排工程师上门维护解决）、提供Citrix云桌面管理平台、教学云桌面课表软件的日常巡检服务、提供上门维护支持：按需提供上门维护支持，包括但不限于校内重要活动，比赛竞赛等。</w:t>
            </w:r>
          </w:p>
        </w:tc>
      </w:tr>
    </w:tbl>
    <w:p w14:paraId="7E74A094">
      <w:pPr>
        <w:widowControl/>
        <w:numPr>
          <w:ilvl w:val="0"/>
          <w:numId w:val="0"/>
        </w:numPr>
        <w:shd w:val="clear" w:color="auto" w:fill="FFFFFF"/>
        <w:spacing w:line="480" w:lineRule="auto"/>
        <w:jc w:val="left"/>
        <w:rPr>
          <w:rFonts w:hint="default" w:ascii="Times New Roman" w:hAnsi="Times New Roman" w:eastAsia="方正兰亭黑简体" w:cs="Times New Roman"/>
          <w:b/>
          <w:bCs/>
          <w:color w:val="auto"/>
          <w:sz w:val="22"/>
          <w:szCs w:val="22"/>
          <w:highlight w:val="none"/>
          <w:lang w:val="en-US" w:eastAsia="zh-CN"/>
        </w:rPr>
      </w:pPr>
    </w:p>
    <w:p w14:paraId="79811CBE">
      <w:pPr>
        <w:widowControl/>
        <w:numPr>
          <w:ilvl w:val="0"/>
          <w:numId w:val="0"/>
        </w:numPr>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kern w:val="2"/>
          <w:sz w:val="22"/>
          <w:szCs w:val="22"/>
          <w:highlight w:val="none"/>
          <w:lang w:val="en-US" w:eastAsia="zh-CN" w:bidi="ar-SA"/>
        </w:rPr>
      </w:pPr>
      <w:r>
        <w:rPr>
          <w:rFonts w:hint="default" w:ascii="Times New Roman" w:hAnsi="Times New Roman" w:eastAsia="方正兰亭黑简体" w:cs="Times New Roman"/>
          <w:b/>
          <w:bCs/>
          <w:color w:val="auto"/>
          <w:kern w:val="2"/>
          <w:sz w:val="22"/>
          <w:szCs w:val="22"/>
          <w:highlight w:val="none"/>
          <w:lang w:val="en-US" w:eastAsia="zh-CN" w:bidi="ar-SA"/>
        </w:rPr>
        <w:t>三、</w:t>
      </w:r>
      <w:r>
        <w:rPr>
          <w:rFonts w:hint="eastAsia" w:ascii="Times New Roman" w:hAnsi="Times New Roman" w:eastAsia="方正兰亭黑简体" w:cs="Times New Roman"/>
          <w:b/>
          <w:bCs/>
          <w:color w:val="auto"/>
          <w:kern w:val="2"/>
          <w:sz w:val="22"/>
          <w:szCs w:val="22"/>
          <w:highlight w:val="none"/>
          <w:lang w:val="en-US" w:eastAsia="zh-CN" w:bidi="ar-SA"/>
        </w:rPr>
        <w:t>服务内容与技术指标</w:t>
      </w:r>
    </w:p>
    <w:p w14:paraId="1FDAD565">
      <w:pPr>
        <w:ind w:firstLine="440" w:firstLineChars="200"/>
        <w:rPr>
          <w:rFonts w:hint="eastAsia"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rPr>
        <w:t>平台</w:t>
      </w:r>
      <w:r>
        <w:rPr>
          <w:rFonts w:hint="eastAsia" w:ascii="Times New Roman" w:hAnsi="Times New Roman" w:eastAsia="方正兰亭黑简体" w:cs="Times New Roman"/>
          <w:color w:val="auto"/>
          <w:sz w:val="22"/>
          <w:szCs w:val="22"/>
          <w:highlight w:val="none"/>
          <w:lang w:val="en-US" w:eastAsia="zh-CN"/>
        </w:rPr>
        <w:t>深度</w:t>
      </w:r>
      <w:r>
        <w:rPr>
          <w:rFonts w:hint="eastAsia" w:ascii="Times New Roman" w:hAnsi="Times New Roman" w:eastAsia="方正兰亭黑简体" w:cs="Times New Roman"/>
          <w:color w:val="auto"/>
          <w:sz w:val="22"/>
          <w:szCs w:val="22"/>
          <w:highlight w:val="none"/>
        </w:rPr>
        <w:t>检与监控（定期检查vCenter、PSC、NSX、ESXi、AD域控及NTP服务运行状态，监控计算、存储和网络资源，提交巡检报告及整改建议）、vCenter及PSC维护（检查核心服务、数据库、SSO和日志状态，开展SSL及STS证书监控、续订和故障处理）、NSX网络维护（检查NSX节点、虚拟交换、路由、VTEP/TEP及分布式防火墙状态，处理网络中断、策略冲突和同步异常）、ESXi集群维护（监控ESXI主机的资源与硬件状态，检查HA、FT、vMotion、存储、多路径和网络连通性，处理主机及虚拟机故障）、AD及NTP维护（检查3台域控的复制、DNS、FSMO、账户权限和系统备份，保障各平台时间同步准确）、安全与升级（开展漏洞检查、安全加固、权限审计、补丁更新和版本升级；升级前制定备份及回退方案）、备份与应急支持（定期备份关键配置并开展恢复验证，提供7×24小时技术支持和重大故障应急处置）、文档交付（提供资产台账、巡检报告、故障记录、变更记录、升级报告、操作手册及应急预案）。</w:t>
      </w:r>
    </w:p>
    <w:p w14:paraId="356C3AF2">
      <w:pPr>
        <w:ind w:firstLine="440" w:firstLineChars="200"/>
        <w:rPr>
          <w:rFonts w:hint="eastAsia"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rPr>
        <w:t>持续跟踪VMware、Microsoft及硬件厂商发布的漏洞、补丁和安全公告；对补丁进行必要性、兼容性、停机影响及回退风险评估；升级前核查vCenter、ESXi、NSX、备份软件、驱动和固件之间的兼容关系；制订升级方案、测试方案、业务保障方案和回退方案；采用滚动、分批方式实施，尽量减少业务中断；升级后验证HA、FT、vMotion、存储、虚拟网络、身份认证和时间同步功能；对已停止原厂支持或存在重大安全风险的版本，提供迁移和升级建议；未经甲方书面确认，不实施跨大版本升级。</w:t>
      </w:r>
    </w:p>
    <w:tbl>
      <w:tblPr>
        <w:tblStyle w:val="1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008"/>
        <w:gridCol w:w="839"/>
        <w:gridCol w:w="6216"/>
        <w:gridCol w:w="1062"/>
      </w:tblGrid>
      <w:tr w14:paraId="0A5C1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4D172C69">
            <w:pPr>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序号</w:t>
            </w:r>
          </w:p>
        </w:tc>
        <w:tc>
          <w:tcPr>
            <w:tcW w:w="506" w:type="pct"/>
            <w:vAlign w:val="center"/>
          </w:tcPr>
          <w:p w14:paraId="4D4125BB">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指标名称</w:t>
            </w:r>
          </w:p>
        </w:tc>
        <w:tc>
          <w:tcPr>
            <w:tcW w:w="421" w:type="pct"/>
            <w:vAlign w:val="center"/>
          </w:tcPr>
          <w:p w14:paraId="16E86100">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是否核心指标</w:t>
            </w:r>
          </w:p>
        </w:tc>
        <w:tc>
          <w:tcPr>
            <w:tcW w:w="3120" w:type="pct"/>
            <w:vAlign w:val="center"/>
          </w:tcPr>
          <w:p w14:paraId="09E1FA1B">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指标要求</w:t>
            </w:r>
          </w:p>
        </w:tc>
        <w:tc>
          <w:tcPr>
            <w:tcW w:w="533" w:type="pct"/>
            <w:vAlign w:val="center"/>
          </w:tcPr>
          <w:p w14:paraId="4C055152">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是否需要</w:t>
            </w:r>
          </w:p>
          <w:p w14:paraId="0B11E6BB">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证明材料</w:t>
            </w:r>
          </w:p>
        </w:tc>
      </w:tr>
      <w:tr w14:paraId="4CE69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2447FCA3">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506" w:type="pct"/>
            <w:vAlign w:val="center"/>
          </w:tcPr>
          <w:p w14:paraId="20D166AB">
            <w:pPr>
              <w:widowControl/>
              <w:spacing w:line="360" w:lineRule="auto"/>
              <w:jc w:val="center"/>
              <w:rPr>
                <w:rFonts w:hint="default" w:ascii="Times New Roman" w:hAnsi="Times New Roman" w:eastAsia="方正兰亭黑简体" w:cs="Times New Roman"/>
                <w:color w:val="auto"/>
                <w:sz w:val="20"/>
                <w:szCs w:val="20"/>
                <w:highlight w:val="none"/>
                <w:lang w:val="en-US" w:eastAsia="zh-CN"/>
              </w:rPr>
            </w:pPr>
            <w:r>
              <w:rPr>
                <w:rFonts w:hint="default" w:ascii="Times New Roman" w:hAnsi="Times New Roman" w:eastAsia="方正兰亭黑简体" w:cs="Times New Roman"/>
                <w:color w:val="auto"/>
                <w:sz w:val="20"/>
                <w:szCs w:val="20"/>
                <w:highlight w:val="none"/>
              </w:rPr>
              <w:t>k8s平台</w:t>
            </w:r>
            <w:r>
              <w:rPr>
                <w:rFonts w:hint="default" w:ascii="Times New Roman" w:hAnsi="Times New Roman" w:eastAsia="方正兰亭黑简体" w:cs="Times New Roman"/>
                <w:color w:val="auto"/>
                <w:sz w:val="20"/>
                <w:szCs w:val="20"/>
                <w:highlight w:val="none"/>
                <w:lang w:val="en-US" w:eastAsia="zh-CN"/>
              </w:rPr>
              <w:t>技术服务</w:t>
            </w:r>
          </w:p>
        </w:tc>
        <w:tc>
          <w:tcPr>
            <w:tcW w:w="421" w:type="pct"/>
            <w:vAlign w:val="center"/>
          </w:tcPr>
          <w:p w14:paraId="15FEAAEE">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是</w:t>
            </w:r>
          </w:p>
        </w:tc>
        <w:tc>
          <w:tcPr>
            <w:tcW w:w="3120" w:type="pct"/>
          </w:tcPr>
          <w:p w14:paraId="1911096F">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K8s 集群共有5 个节点、另外包括校内镜像服务器（系统镜像、软件镜像、开源镜像源）、代码服务器（代码仓库、Git/SVN 服务、项目版本管理、权限管控），</w:t>
            </w:r>
            <w:r>
              <w:rPr>
                <w:rFonts w:hint="default" w:ascii="Times New Roman" w:hAnsi="Times New Roman" w:eastAsia="方正兰亭黑简体" w:cs="Times New Roman"/>
                <w:color w:val="auto"/>
                <w:sz w:val="20"/>
                <w:szCs w:val="20"/>
                <w:highlight w:val="none"/>
                <w:lang w:val="en-US" w:eastAsia="zh-CN"/>
              </w:rPr>
              <w:t>维护</w:t>
            </w:r>
            <w:r>
              <w:rPr>
                <w:rFonts w:hint="default" w:ascii="Times New Roman" w:hAnsi="Times New Roman" w:eastAsia="方正兰亭黑简体" w:cs="Times New Roman"/>
                <w:color w:val="auto"/>
                <w:sz w:val="20"/>
                <w:szCs w:val="20"/>
                <w:highlight w:val="none"/>
              </w:rPr>
              <w:t>内容如下：</w:t>
            </w:r>
          </w:p>
          <w:p w14:paraId="3DA3B181">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val="en-US" w:eastAsia="zh-CN"/>
              </w:rPr>
              <w:t>周期性深度巡检</w:t>
            </w:r>
          </w:p>
          <w:p w14:paraId="4BDD74F5">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每月至少开展1次远程或现场</w:t>
            </w:r>
            <w:r>
              <w:rPr>
                <w:rFonts w:hint="default" w:ascii="Times New Roman" w:hAnsi="Times New Roman" w:eastAsia="方正兰亭黑简体" w:cs="Times New Roman"/>
                <w:color w:val="auto"/>
                <w:sz w:val="20"/>
                <w:szCs w:val="20"/>
                <w:highlight w:val="none"/>
                <w:lang w:val="en-US" w:eastAsia="zh-CN"/>
              </w:rPr>
              <w:t>深度</w:t>
            </w:r>
            <w:r>
              <w:rPr>
                <w:rFonts w:hint="default" w:ascii="Times New Roman" w:hAnsi="Times New Roman" w:eastAsia="方正兰亭黑简体" w:cs="Times New Roman"/>
                <w:color w:val="auto"/>
                <w:sz w:val="20"/>
                <w:szCs w:val="20"/>
                <w:highlight w:val="none"/>
              </w:rPr>
              <w:t>巡检，主要包括：</w:t>
            </w:r>
          </w:p>
          <w:p w14:paraId="09DCC5B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检查5个集群节点的运行状态和可用性；</w:t>
            </w:r>
          </w:p>
          <w:p w14:paraId="7599570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检查CPU、内存、磁盘、网络等资源使用情况；</w:t>
            </w:r>
          </w:p>
          <w:p w14:paraId="16AD13D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检查Kubernetes控制平面及核心组件运行状态；</w:t>
            </w:r>
          </w:p>
          <w:p w14:paraId="08E0019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检查Pod、Deployment、StatefulSet、DaemonSet等工作负载状态；</w:t>
            </w:r>
          </w:p>
          <w:p w14:paraId="14A9E4C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检查节点、Pod及系统组件的告警和异常日志；</w:t>
            </w:r>
          </w:p>
          <w:p w14:paraId="54BBA2B4">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提交巡检报告、隐患清单及整改建议。</w:t>
            </w:r>
          </w:p>
          <w:p w14:paraId="3D5DB480">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集群管理与维护</w:t>
            </w:r>
          </w:p>
          <w:p w14:paraId="4EE2558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负责节点加入、移除、隔离、排空及恢复；</w:t>
            </w:r>
          </w:p>
          <w:p w14:paraId="5BF93E9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维护集群配置、命名空间、资源配额和限制策略；</w:t>
            </w:r>
          </w:p>
          <w:p w14:paraId="03E3196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维护调度策略、节点标签、污点与容忍配置；</w:t>
            </w:r>
          </w:p>
          <w:p w14:paraId="3A5313A9">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处理节点NotReady、Pod异常重启、调度失败等问题；</w:t>
            </w:r>
          </w:p>
          <w:p w14:paraId="2026028E">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维护集群常用插件，并根据业务需要安装或调整插件；</w:t>
            </w:r>
          </w:p>
          <w:p w14:paraId="6D3CB1F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定期检查集群证书有效期，提前完成续期；</w:t>
            </w:r>
          </w:p>
          <w:p w14:paraId="4C851DC9">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建立和持续更新集群资源及配置台账。</w:t>
            </w:r>
          </w:p>
          <w:p w14:paraId="29D490FF">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网络维护</w:t>
            </w:r>
          </w:p>
          <w:p w14:paraId="5ACB4C7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维护Calico、Flannel等集群网络组件；</w:t>
            </w:r>
          </w:p>
          <w:p w14:paraId="44417C8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检查Pod、Service及节点之间的网络连通性；</w:t>
            </w:r>
          </w:p>
          <w:p w14:paraId="1F52EDD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维护Service、Ingress、CoreDNS及负载均衡配置；</w:t>
            </w:r>
          </w:p>
          <w:p w14:paraId="4B7BC7D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排查域名解析失败、访问超时、端口不通和网络策略冲突；</w:t>
            </w:r>
          </w:p>
          <w:p w14:paraId="66AE88C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按需配置和优化NetworkPolicy等网络隔离策略；</w:t>
            </w:r>
          </w:p>
          <w:p w14:paraId="50C215EE">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配合维护K8s集群接入校园网络的相关配置。</w:t>
            </w:r>
          </w:p>
          <w:p w14:paraId="40D02AEB">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存储维护</w:t>
            </w:r>
          </w:p>
          <w:p w14:paraId="0D0B62F3">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检查StorageClass、PV、PVC的状态和容量；</w:t>
            </w:r>
          </w:p>
          <w:p w14:paraId="08DFB52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维护NFS、Ceph或其他外部存储与集群的连接；</w:t>
            </w:r>
          </w:p>
          <w:p w14:paraId="09349D5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排查存储挂载失败、卷不可用、容量不足及I/O性能异常；</w:t>
            </w:r>
          </w:p>
          <w:p w14:paraId="4283D63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检查有状态业务的数据持久化情况；</w:t>
            </w:r>
          </w:p>
          <w:p w14:paraId="2502B9B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制定存储容量预警和扩容建议。</w:t>
            </w:r>
          </w:p>
          <w:p w14:paraId="749BD4C8">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监控、日志与告警</w:t>
            </w:r>
          </w:p>
          <w:p w14:paraId="193EF00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维护集群监控、日志收集及告警组件；</w:t>
            </w:r>
          </w:p>
          <w:p w14:paraId="1E8BCBB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监控节点、容器、网络、存储及核心组件运行指标；</w:t>
            </w:r>
          </w:p>
          <w:p w14:paraId="7412C64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设置CPU、内存、磁盘、Pod异常等告警阈值；</w:t>
            </w:r>
          </w:p>
          <w:p w14:paraId="0F4E793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分析系统日志、审计日志和业务容器日志；</w:t>
            </w:r>
          </w:p>
          <w:p w14:paraId="508D664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处理告警漏报、误报及日志存储空间不足等问题；</w:t>
            </w:r>
          </w:p>
          <w:p w14:paraId="5B99CB8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根据监控数据提出容量和性能优化建议。</w:t>
            </w:r>
          </w:p>
          <w:p w14:paraId="36228936">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备份与恢复</w:t>
            </w:r>
          </w:p>
          <w:p w14:paraId="65F69DCE">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定期备份etcd数据、集群关键配置及业务资源清单；</w:t>
            </w:r>
          </w:p>
          <w:p w14:paraId="4110C2B9">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备份重要命名空间、Secret、ConfigMap和持久化数据；</w:t>
            </w:r>
          </w:p>
          <w:p w14:paraId="33E6212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检查备份任务的执行状态及备份文件完整性；</w:t>
            </w:r>
          </w:p>
          <w:p w14:paraId="1E938ED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完善集群故障、误删除及数据损坏的恢复流程。</w:t>
            </w:r>
          </w:p>
          <w:p w14:paraId="1DDACF1B">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安全维护</w:t>
            </w:r>
          </w:p>
          <w:p w14:paraId="6E47F6D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维护用户、角色及权限；</w:t>
            </w:r>
          </w:p>
          <w:p w14:paraId="59D6044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定期检查和清理无效账号、Token及高权限配置；</w:t>
            </w:r>
          </w:p>
          <w:p w14:paraId="026FE89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检查API Server访问控制和审计日志；</w:t>
            </w:r>
          </w:p>
          <w:p w14:paraId="1A3AFB4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排查高危镜像、弱口令、敏感信息明文存储等问题；</w:t>
            </w:r>
          </w:p>
          <w:p w14:paraId="63C636B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根据学校要求实施安全加固和漏洞整改；</w:t>
            </w:r>
          </w:p>
          <w:p w14:paraId="462D371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配合完成网络安全检查、日志审计及应急处置。</w:t>
            </w:r>
          </w:p>
          <w:p w14:paraId="4FA71A76">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补丁、升级与性能优化</w:t>
            </w:r>
          </w:p>
          <w:p w14:paraId="58AF080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对Kubernetes版本、操作系统和集群组件进行升级评估；</w:t>
            </w:r>
          </w:p>
          <w:p w14:paraId="4DD46C6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制订升级方案、回退方案及业务影响控制措施；</w:t>
            </w:r>
          </w:p>
          <w:p w14:paraId="694FA68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在不影响正常教学和业务的时段实施补丁更新；</w:t>
            </w:r>
          </w:p>
          <w:p w14:paraId="2FB44D3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升级后检查节点、网络、存储及业务运行状态；</w:t>
            </w:r>
          </w:p>
          <w:p w14:paraId="33038F2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分析资源瓶颈，优化资源请求与限制、调度及副本配置；</w:t>
            </w:r>
          </w:p>
          <w:p w14:paraId="2A977FE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根据业务增长情况提出节点、存储和网络扩容建议。</w:t>
            </w:r>
          </w:p>
          <w:p w14:paraId="11132F6B">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业务接入支持</w:t>
            </w:r>
          </w:p>
          <w:p w14:paraId="280ED59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协助业务系统接入前的集群环境准备；</w:t>
            </w:r>
          </w:p>
          <w:p w14:paraId="5C23F04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协助编制或检查业务部署配置文件；</w:t>
            </w:r>
          </w:p>
          <w:p w14:paraId="69C563A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配置命名空间、资源配额、访问入口及持久化存储；</w:t>
            </w:r>
          </w:p>
          <w:p w14:paraId="548DD12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支持业务发布、扩缩容、升级、回滚和迁移；</w:t>
            </w:r>
          </w:p>
          <w:p w14:paraId="5F9E38F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排查业务部署失败、容器启动异常及访问故障；</w:t>
            </w:r>
          </w:p>
          <w:p w14:paraId="53FCF7A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为业务系统提供必要的K8s技术指导。</w:t>
            </w:r>
          </w:p>
          <w:p w14:paraId="2AB4E4C2">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故障响应与技术支持</w:t>
            </w:r>
          </w:p>
          <w:p w14:paraId="78B8B75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提供7×24小时电话及远程技术支持；</w:t>
            </w:r>
          </w:p>
          <w:p w14:paraId="615DC49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对集群不可用、控制平面异常等重大故障提供快速响应；</w:t>
            </w:r>
          </w:p>
          <w:p w14:paraId="654CB6B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对单节点故障、网络异常、存储异常等问题及时处理；</w:t>
            </w:r>
          </w:p>
          <w:p w14:paraId="4B0B6C9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远程无法解决时，按约定安排工程师现场处置；</w:t>
            </w:r>
          </w:p>
          <w:p w14:paraId="1051C75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重大故障处理后提交故障分析及复盘报告；</w:t>
            </w:r>
          </w:p>
          <w:p w14:paraId="2C58BFA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建立集群故障应急预案并定期更新。</w:t>
            </w:r>
          </w:p>
          <w:p w14:paraId="1A8E4083">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镜像及镜像仓库维护</w:t>
            </w:r>
          </w:p>
          <w:p w14:paraId="7F26B07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维护集群与镜像仓库之间的访问和认证配置；</w:t>
            </w:r>
          </w:p>
          <w:p w14:paraId="3BDAC3A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检查镜像拉取、推送和存储状态；</w:t>
            </w:r>
          </w:p>
          <w:p w14:paraId="0CDBFD6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管理镜像备份、更新、清理及保留策略；</w:t>
            </w:r>
          </w:p>
          <w:p w14:paraId="381608F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清理节点上的无效镜像，合理释放磁盘空间；</w:t>
            </w:r>
          </w:p>
          <w:p w14:paraId="4F1408D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排查镜像拉取失败、版本错误及权限异常；</w:t>
            </w:r>
          </w:p>
          <w:p w14:paraId="709CC0C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配合开展镜像安全漏洞检查和风险处置。</w:t>
            </w:r>
          </w:p>
          <w:p w14:paraId="387E9C94">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备份与容灾维护</w:t>
            </w:r>
          </w:p>
          <w:p w14:paraId="5EB2A60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系统与服务更新维护</w:t>
            </w:r>
          </w:p>
          <w:p w14:paraId="48697176">
            <w:pPr>
              <w:pStyle w:val="22"/>
              <w:widowControl/>
              <w:spacing w:line="360" w:lineRule="auto"/>
              <w:ind w:left="880" w:firstLine="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配置匿名校内免登录访问策略，优化客户端镜像源配置模板，向各机房虚拟机批量下发镜像源配置。</w:t>
            </w:r>
          </w:p>
          <w:p w14:paraId="3412E0A5">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代码服务器平台维护</w:t>
            </w:r>
          </w:p>
          <w:p w14:paraId="61FE8203">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仓库基础</w:t>
            </w:r>
            <w:r>
              <w:rPr>
                <w:rFonts w:hint="default" w:ascii="Times New Roman" w:hAnsi="Times New Roman" w:eastAsia="方正兰亭黑简体" w:cs="Times New Roman"/>
                <w:color w:val="auto"/>
                <w:sz w:val="20"/>
                <w:szCs w:val="20"/>
                <w:highlight w:val="none"/>
                <w:lang w:val="en-US" w:eastAsia="zh-CN"/>
              </w:rPr>
              <w:t>维护</w:t>
            </w:r>
          </w:p>
          <w:p w14:paraId="242AD2D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账号与权限体系维护</w:t>
            </w:r>
          </w:p>
          <w:p w14:paraId="5F33FB2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CI/CD 流水线维护</w:t>
            </w:r>
          </w:p>
          <w:p w14:paraId="2039B260">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数据备份与恢复维护</w:t>
            </w:r>
          </w:p>
          <w:p w14:paraId="047C7633">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系统安全维护</w:t>
            </w:r>
          </w:p>
          <w:p w14:paraId="10BD5E0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配套协同维护</w:t>
            </w:r>
          </w:p>
          <w:p w14:paraId="34A4A9A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服务器时间同步维护，对接校内 NTP 服务，保证日志、提交记录、同步任务时间统一；</w:t>
            </w:r>
          </w:p>
        </w:tc>
        <w:tc>
          <w:tcPr>
            <w:tcW w:w="533" w:type="pct"/>
            <w:vAlign w:val="center"/>
          </w:tcPr>
          <w:p w14:paraId="2D05E101">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否</w:t>
            </w:r>
          </w:p>
        </w:tc>
      </w:tr>
      <w:tr w14:paraId="3A2666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20428B89">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2</w:t>
            </w:r>
          </w:p>
        </w:tc>
        <w:tc>
          <w:tcPr>
            <w:tcW w:w="506" w:type="pct"/>
            <w:vAlign w:val="center"/>
          </w:tcPr>
          <w:p w14:paraId="4D212B59">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Citrix云桌面平台技术服务</w:t>
            </w:r>
          </w:p>
        </w:tc>
        <w:tc>
          <w:tcPr>
            <w:tcW w:w="421" w:type="pct"/>
            <w:vAlign w:val="center"/>
          </w:tcPr>
          <w:p w14:paraId="18A4845F">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是</w:t>
            </w:r>
          </w:p>
        </w:tc>
        <w:tc>
          <w:tcPr>
            <w:tcW w:w="3120" w:type="pct"/>
          </w:tcPr>
          <w:p w14:paraId="63BC3C5B">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1.</w:t>
            </w:r>
            <w:r>
              <w:rPr>
                <w:rFonts w:hint="default" w:ascii="Times New Roman" w:hAnsi="Times New Roman" w:eastAsia="方正兰亭黑简体" w:cs="Times New Roman"/>
                <w:color w:val="auto"/>
                <w:sz w:val="20"/>
                <w:szCs w:val="20"/>
                <w:highlight w:val="none"/>
              </w:rPr>
              <w:t>提供Citrix云桌面管理平台、教学云桌面课表软件的维护服务。</w:t>
            </w:r>
          </w:p>
          <w:p w14:paraId="47646A17">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2.</w:t>
            </w:r>
            <w:r>
              <w:rPr>
                <w:rFonts w:hint="default" w:ascii="Times New Roman" w:hAnsi="Times New Roman" w:eastAsia="方正兰亭黑简体" w:cs="Times New Roman"/>
                <w:color w:val="auto"/>
                <w:sz w:val="20"/>
                <w:szCs w:val="20"/>
                <w:highlight w:val="none"/>
              </w:rPr>
              <w:t>提供云桌面虚拟机的安装、测试及现场支持服务（协助师生安装课程模板，发布云桌面，并根据甲方测试需要，提供现场支持）。</w:t>
            </w:r>
          </w:p>
          <w:p w14:paraId="7246D7EF">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3.</w:t>
            </w:r>
            <w:r>
              <w:rPr>
                <w:rFonts w:hint="default" w:ascii="Times New Roman" w:hAnsi="Times New Roman" w:eastAsia="方正兰亭黑简体" w:cs="Times New Roman"/>
                <w:color w:val="auto"/>
                <w:sz w:val="20"/>
                <w:szCs w:val="20"/>
                <w:highlight w:val="none"/>
              </w:rPr>
              <w:t>提供Citrix云桌面管理平台、教学云桌面课表软件的故障处理服务和技术支持服务（7*24小时电话和远程技术支持，对于紧急情况或未能通过远程解决的，应及时安排工程师上门维护解决）。</w:t>
            </w:r>
          </w:p>
          <w:p w14:paraId="22D6D507">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4.</w:t>
            </w:r>
            <w:r>
              <w:rPr>
                <w:rFonts w:hint="default" w:ascii="Times New Roman" w:hAnsi="Times New Roman" w:eastAsia="方正兰亭黑简体" w:cs="Times New Roman"/>
                <w:color w:val="auto"/>
                <w:sz w:val="20"/>
                <w:szCs w:val="20"/>
                <w:highlight w:val="none"/>
              </w:rPr>
              <w:t>提供Citrix云桌面管理平台、教学云桌面课表软件的日常巡检服务。</w:t>
            </w:r>
          </w:p>
          <w:p w14:paraId="060F7019">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5. 提供上门维护支持：按需提供上门维护支持，包括但不限于校内重要活动，比赛竞赛等。</w:t>
            </w:r>
          </w:p>
        </w:tc>
        <w:tc>
          <w:tcPr>
            <w:tcW w:w="533" w:type="pct"/>
            <w:vAlign w:val="center"/>
          </w:tcPr>
          <w:p w14:paraId="0067E4EE">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否</w:t>
            </w:r>
          </w:p>
        </w:tc>
      </w:tr>
      <w:tr w14:paraId="634B6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1F70F2B9">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3</w:t>
            </w:r>
          </w:p>
        </w:tc>
        <w:tc>
          <w:tcPr>
            <w:tcW w:w="506" w:type="pct"/>
            <w:vAlign w:val="center"/>
          </w:tcPr>
          <w:p w14:paraId="697DC5AE">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虚拟化平台</w:t>
            </w:r>
            <w:r>
              <w:rPr>
                <w:rFonts w:hint="default" w:ascii="Times New Roman" w:hAnsi="Times New Roman" w:eastAsia="方正兰亭黑简体" w:cs="Times New Roman"/>
                <w:color w:val="auto"/>
                <w:sz w:val="20"/>
                <w:szCs w:val="20"/>
                <w:highlight w:val="none"/>
                <w:lang w:eastAsia="zh-CN"/>
              </w:rPr>
              <w:t>技术服务</w:t>
            </w:r>
            <w:r>
              <w:rPr>
                <w:rFonts w:hint="default" w:ascii="Times New Roman" w:hAnsi="Times New Roman" w:eastAsia="方正兰亭黑简体" w:cs="Times New Roman"/>
                <w:color w:val="auto"/>
                <w:sz w:val="20"/>
                <w:szCs w:val="20"/>
                <w:highlight w:val="none"/>
              </w:rPr>
              <w:t>及相关</w:t>
            </w:r>
          </w:p>
        </w:tc>
        <w:tc>
          <w:tcPr>
            <w:tcW w:w="421" w:type="pct"/>
            <w:vAlign w:val="center"/>
          </w:tcPr>
          <w:p w14:paraId="11134B17">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是</w:t>
            </w:r>
          </w:p>
        </w:tc>
        <w:tc>
          <w:tcPr>
            <w:tcW w:w="3120" w:type="pct"/>
          </w:tcPr>
          <w:p w14:paraId="5A9D0CEF">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vCenter Server 与 PSC 维护事项</w:t>
            </w:r>
          </w:p>
          <w:p w14:paraId="5606217D">
            <w:pPr>
              <w:pStyle w:val="22"/>
              <w:widowControl/>
              <w:numPr>
                <w:ilvl w:val="0"/>
                <w:numId w:val="4"/>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vCenter 6.5 及 PSC 维护</w:t>
            </w:r>
          </w:p>
          <w:p w14:paraId="443F8B2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PSC（Platform Services Controller）节点状态、 SSO 目录服务健康度。</w:t>
            </w:r>
          </w:p>
          <w:p w14:paraId="54C95F35">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定期检查 vCenter 6.5 数据库（VCDB）大小，并根据实际需要清理数据、执行数据库索引重建与表空间维护。</w:t>
            </w:r>
          </w:p>
          <w:p w14:paraId="4C56558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vCenter 6.5 各项核心服务（如 vpxd、vmdird）运行状态及日志报错。</w:t>
            </w:r>
          </w:p>
          <w:p w14:paraId="271B539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SSL证书监控与续订：定期检查计算机SSL证书、STS签名证书等的有效期，提前进行续订，避免因证书过期导致服务中断或修复困难</w:t>
            </w:r>
          </w:p>
          <w:p w14:paraId="5E6288E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日志审查：定期检查vCenter日志文件，分析系统性能表现和潜在的异常情况</w:t>
            </w:r>
          </w:p>
          <w:p w14:paraId="052A8626">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根据实际需求，进行系统漏洞与补丁更新升级，系统版本升级。</w:t>
            </w:r>
          </w:p>
          <w:p w14:paraId="4B6901D2">
            <w:pPr>
              <w:pStyle w:val="22"/>
              <w:widowControl/>
              <w:numPr>
                <w:ilvl w:val="0"/>
                <w:numId w:val="4"/>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vCenter 7.0 维护</w:t>
            </w:r>
          </w:p>
          <w:p w14:paraId="1677C0F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vCenter 7.0 内置 PostgreSQL 数据库运行状态、存储空间及性能指标。</w:t>
            </w:r>
          </w:p>
          <w:p w14:paraId="0B3277E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vCenter 7.0 各项核心服务（如 WCP ）运行状态及日志报错。</w:t>
            </w:r>
          </w:p>
          <w:p w14:paraId="2A2DDCC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vCenter 7.0 生命周期管理（VAMI）界面状态及各项核心服务健康度。</w:t>
            </w:r>
          </w:p>
          <w:p w14:paraId="3C7AFF8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根据实际需求，进行系统漏洞与补丁更新升级，系统版本升级。</w:t>
            </w:r>
          </w:p>
          <w:p w14:paraId="55A8C976">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NSX 网络虚拟化维护事项</w:t>
            </w:r>
          </w:p>
          <w:p w14:paraId="4745864A">
            <w:pPr>
              <w:pStyle w:val="22"/>
              <w:widowControl/>
              <w:numPr>
                <w:ilvl w:val="0"/>
                <w:numId w:val="6"/>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NSX for vSphere (6.x) 维护</w:t>
            </w:r>
          </w:p>
          <w:p w14:paraId="513D973A">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NSX Manager 节点状态、系统资源利用率。</w:t>
            </w:r>
          </w:p>
          <w:p w14:paraId="42DF7DD0">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NSX Controller 集群状态、VTEP 连通性及控制平面同步情况。</w:t>
            </w:r>
          </w:p>
          <w:p w14:paraId="12EA641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检查各 ESXi 主机上 NSX VIB 安装状态及逻辑交换机（VXLAN）通信状态。</w:t>
            </w:r>
          </w:p>
          <w:p w14:paraId="450D88F0">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排查分布式防火墙（DFW）规则冲突、发布状态及策略同步延迟。</w:t>
            </w:r>
          </w:p>
          <w:p w14:paraId="334B31D6">
            <w:pPr>
              <w:pStyle w:val="22"/>
              <w:widowControl/>
              <w:numPr>
                <w:ilvl w:val="0"/>
                <w:numId w:val="6"/>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NSX-T 维护</w:t>
            </w:r>
          </w:p>
          <w:p w14:paraId="66C39FA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NSX-T Manager 集群状态、数据库同步及计算管理器（Compute Manager）连接状态。</w:t>
            </w:r>
          </w:p>
          <w:p w14:paraId="79CFC8DD">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Transport Node 状态、TEP IP 连通性及 N-VDS/VDS 配置一致性。</w:t>
            </w:r>
          </w:p>
          <w:p w14:paraId="3359BD46">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验证 Edge 节点集群状态、BGP/OSPF 路由邻居关系及高可用性（HA）切换测试。</w:t>
            </w:r>
          </w:p>
          <w:p w14:paraId="14BEEAFE">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检查分布式防火墙（DFW）及安全组策略下发状态。</w:t>
            </w:r>
          </w:p>
          <w:p w14:paraId="7B49CD7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执行 NSX-T 组件的安全补丁更新及版本升级评估。</w:t>
            </w:r>
          </w:p>
          <w:p w14:paraId="595C3B1A">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ESXi 主机集群维护事项</w:t>
            </w:r>
          </w:p>
          <w:p w14:paraId="42542B70">
            <w:pPr>
              <w:pStyle w:val="22"/>
              <w:widowControl/>
              <w:numPr>
                <w:ilvl w:val="0"/>
                <w:numId w:val="7"/>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系统运行与资源监控</w:t>
            </w:r>
          </w:p>
          <w:p w14:paraId="32133D1B">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61 台 ESXi 主机的 CPU、内存、存储 I/O 及网络带宽利用率，识别性能瓶颈。</w:t>
            </w:r>
          </w:p>
          <w:p w14:paraId="271C1159">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检查主机硬件健康状态（PSU、风扇、磁盘、内存 ECC 错误等）及 IPMI/SDR 日志。</w:t>
            </w:r>
          </w:p>
          <w:p w14:paraId="7AD2435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vMotion、FT 及 HA 等高可用机制的运行状态与触发记录。</w:t>
            </w:r>
          </w:p>
          <w:p w14:paraId="6F6D7F45">
            <w:pPr>
              <w:pStyle w:val="22"/>
              <w:widowControl/>
              <w:numPr>
                <w:ilvl w:val="0"/>
                <w:numId w:val="7"/>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配置与合规性管理</w:t>
            </w:r>
          </w:p>
          <w:p w14:paraId="56B87C3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检查并统一所有ESXI主机的系统配置基线（NTP 同步、DNS、Syslog、SSH 状态等）。</w:t>
            </w:r>
          </w:p>
          <w:p w14:paraId="7E82377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评估并执行 ESXi 主机的安全补丁更新、驱动及固件升级。</w:t>
            </w:r>
          </w:p>
          <w:p w14:paraId="64961F1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检查主机锁定模式（Lockdown Mode）及用户权限分配合规性。</w:t>
            </w:r>
          </w:p>
          <w:p w14:paraId="6E33161C">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检查存储与网络连通性。</w:t>
            </w:r>
          </w:p>
          <w:p w14:paraId="38E413D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故障排查与应急响应</w:t>
            </w:r>
          </w:p>
          <w:p w14:paraId="20D975F9">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基础支撑服务维护事项</w:t>
            </w:r>
          </w:p>
          <w:p w14:paraId="518F8FA6">
            <w:pPr>
              <w:pStyle w:val="22"/>
              <w:widowControl/>
              <w:numPr>
                <w:ilvl w:val="0"/>
                <w:numId w:val="8"/>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Active Directory (AD) 域控维护</w:t>
            </w:r>
          </w:p>
          <w:p w14:paraId="0B86A40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3 台 AD 域控服务器的复制状态（Replication）、SYSVOL 共享及 FSMO 角色健康度。</w:t>
            </w:r>
          </w:p>
          <w:p w14:paraId="474E85E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AD 数据库（NTDS.DIT）大小、垃圾回收及全局编录（GC）响应时间。</w:t>
            </w:r>
          </w:p>
          <w:p w14:paraId="2A73594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根据需要，审查并清理过期的计算机账户、用户账户及失效的组策略对象（GPO）。</w:t>
            </w:r>
          </w:p>
          <w:p w14:paraId="26344C96">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验证 AD 域控的系统状态备份（System State Backup）</w:t>
            </w:r>
          </w:p>
          <w:p w14:paraId="3F6AE9E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根据需要进行安全加固与权限审计。</w:t>
            </w:r>
          </w:p>
          <w:p w14:paraId="039B89AD">
            <w:pPr>
              <w:pStyle w:val="22"/>
              <w:widowControl/>
              <w:numPr>
                <w:ilvl w:val="0"/>
                <w:numId w:val="8"/>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NTP 时间同步服务维护</w:t>
            </w:r>
          </w:p>
          <w:p w14:paraId="00FD6E05">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NTP 服务器的运行状态、系统资源及网络连通性。</w:t>
            </w:r>
          </w:p>
          <w:p w14:paraId="157263D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NTP 上游时间源（Stratum）同步状态及本地时钟偏移量（Offset）。</w:t>
            </w:r>
          </w:p>
          <w:p w14:paraId="111C3798">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验证 vCenter、ESXi、NSX 及 AD 等所有受管组件与 NTP 服务器的时间同步精度。</w:t>
            </w:r>
          </w:p>
        </w:tc>
        <w:tc>
          <w:tcPr>
            <w:tcW w:w="533" w:type="pct"/>
            <w:vAlign w:val="center"/>
          </w:tcPr>
          <w:p w14:paraId="72E4528A">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否</w:t>
            </w:r>
          </w:p>
        </w:tc>
      </w:tr>
    </w:tbl>
    <w:p w14:paraId="4560D9D7">
      <w:pPr>
        <w:spacing w:line="480" w:lineRule="auto"/>
        <w:ind w:left="0" w:leftChars="0" w:firstLine="0" w:firstLineChars="0"/>
        <w:rPr>
          <w:rFonts w:hint="default" w:ascii="Times New Roman" w:hAnsi="Times New Roman" w:eastAsia="方正兰亭黑简体" w:cs="Times New Roman"/>
          <w:color w:val="auto"/>
          <w:sz w:val="22"/>
          <w:szCs w:val="22"/>
          <w:highlight w:val="none"/>
          <w:lang w:val="en-US" w:eastAsia="zh-CN"/>
        </w:rPr>
      </w:pPr>
    </w:p>
    <w:p w14:paraId="6ED13731">
      <w:pPr>
        <w:spacing w:line="480" w:lineRule="auto"/>
        <w:rPr>
          <w:rFonts w:hint="default" w:ascii="Times New Roman" w:hAnsi="Times New Roman" w:eastAsia="方正兰亭黑简体" w:cs="Times New Roman"/>
          <w:b/>
          <w:bCs/>
          <w:color w:val="auto"/>
          <w:kern w:val="0"/>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四、</w:t>
      </w:r>
      <w:r>
        <w:rPr>
          <w:rFonts w:hint="eastAsia" w:ascii="Times New Roman" w:hAnsi="Times New Roman" w:eastAsia="方正兰亭黑简体" w:cs="Times New Roman"/>
          <w:b/>
          <w:bCs/>
          <w:color w:val="auto"/>
          <w:kern w:val="0"/>
          <w:sz w:val="22"/>
          <w:szCs w:val="22"/>
          <w:highlight w:val="none"/>
          <w:lang w:val="en-US" w:eastAsia="zh-CN"/>
        </w:rPr>
        <w:t>其他要求</w:t>
      </w:r>
    </w:p>
    <w:p w14:paraId="1583E143">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1.提供7×24小时远程技术支持</w:t>
      </w:r>
    </w:p>
    <w:p w14:paraId="0B3D57E0">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全年无休受理平台各类故障、配置调试、报错排查；远程登录服务器查看同步日志、系统进程，快速处理服务卡死、同步中断、数据传输失败等问题。</w:t>
      </w:r>
    </w:p>
    <w:p w14:paraId="29E4B116">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2.现场上门支持</w:t>
      </w:r>
    </w:p>
    <w:p w14:paraId="5F130C80">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月度上门</w:t>
      </w:r>
      <w:r>
        <w:rPr>
          <w:rFonts w:hint="eastAsia" w:ascii="方正兰亭黑简体" w:hAnsi="方正兰亭黑简体" w:eastAsia="方正兰亭黑简体" w:cs="方正兰亭黑简体"/>
          <w:color w:val="auto"/>
          <w:sz w:val="22"/>
          <w:szCs w:val="28"/>
          <w:highlight w:val="none"/>
          <w:lang w:val="en-US" w:eastAsia="zh-CN"/>
        </w:rPr>
        <w:t>深度</w:t>
      </w:r>
      <w:r>
        <w:rPr>
          <w:rFonts w:hint="eastAsia" w:ascii="方正兰亭黑简体" w:hAnsi="方正兰亭黑简体" w:eastAsia="方正兰亭黑简体" w:cs="方正兰亭黑简体"/>
          <w:color w:val="auto"/>
          <w:sz w:val="22"/>
          <w:szCs w:val="28"/>
          <w:highlight w:val="none"/>
          <w:lang w:val="zh-CN"/>
        </w:rPr>
        <w:t>巡检：每月到场完成系统巡查、存储清理、安全隐患整改；</w:t>
      </w:r>
    </w:p>
    <w:p w14:paraId="6966AFDC">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教学高峰期</w:t>
      </w:r>
      <w:r>
        <w:rPr>
          <w:rFonts w:hint="eastAsia" w:ascii="方正兰亭黑简体" w:hAnsi="方正兰亭黑简体" w:eastAsia="方正兰亭黑简体" w:cs="方正兰亭黑简体"/>
          <w:color w:val="auto"/>
          <w:sz w:val="22"/>
          <w:szCs w:val="28"/>
          <w:highlight w:val="none"/>
        </w:rPr>
        <w:t>根据需要</w:t>
      </w:r>
      <w:r>
        <w:rPr>
          <w:rFonts w:hint="eastAsia" w:ascii="方正兰亭黑简体" w:hAnsi="方正兰亭黑简体" w:eastAsia="方正兰亭黑简体" w:cs="方正兰亭黑简体"/>
          <w:color w:val="auto"/>
          <w:sz w:val="22"/>
          <w:szCs w:val="28"/>
          <w:highlight w:val="none"/>
          <w:lang w:val="zh-CN"/>
        </w:rPr>
        <w:t>驻场</w:t>
      </w:r>
      <w:r>
        <w:rPr>
          <w:rFonts w:hint="eastAsia" w:ascii="方正兰亭黑简体" w:hAnsi="方正兰亭黑简体" w:eastAsia="方正兰亭黑简体" w:cs="方正兰亭黑简体"/>
          <w:color w:val="auto"/>
          <w:sz w:val="22"/>
          <w:szCs w:val="28"/>
          <w:highlight w:val="none"/>
        </w:rPr>
        <w:t>值守</w:t>
      </w:r>
      <w:r>
        <w:rPr>
          <w:rFonts w:hint="eastAsia" w:ascii="方正兰亭黑简体" w:hAnsi="方正兰亭黑简体" w:eastAsia="方正兰亭黑简体" w:cs="方正兰亭黑简体"/>
          <w:color w:val="auto"/>
          <w:sz w:val="22"/>
          <w:szCs w:val="28"/>
          <w:highlight w:val="none"/>
          <w:lang w:val="zh-CN"/>
        </w:rPr>
        <w:t>，保障平台稳定运行。</w:t>
      </w:r>
    </w:p>
    <w:p w14:paraId="45725F87">
      <w:pPr>
        <w:numPr>
          <w:ilvl w:val="0"/>
          <w:numId w:val="0"/>
        </w:numPr>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kern w:val="2"/>
          <w:sz w:val="22"/>
          <w:szCs w:val="28"/>
          <w:highlight w:val="none"/>
          <w:lang w:val="en-US" w:eastAsia="zh-CN" w:bidi="ar-SA"/>
        </w:rPr>
        <w:t>3、</w:t>
      </w:r>
      <w:r>
        <w:rPr>
          <w:rFonts w:hint="eastAsia" w:ascii="方正兰亭黑简体" w:hAnsi="方正兰亭黑简体" w:eastAsia="方正兰亭黑简体" w:cs="方正兰亭黑简体"/>
          <w:color w:val="auto"/>
          <w:sz w:val="22"/>
          <w:szCs w:val="28"/>
          <w:highlight w:val="none"/>
          <w:lang w:val="en-US" w:eastAsia="zh-CN"/>
        </w:rPr>
        <w:t>履约验收标准：</w:t>
      </w:r>
    </w:p>
    <w:p w14:paraId="3BDDDD14">
      <w:pPr>
        <w:numPr>
          <w:ilvl w:val="0"/>
          <w:numId w:val="0"/>
        </w:num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项目验收应以采购文件、投标响应文件、合同、服务方案及双方确认的变更文件为依据，对服务范围、服务质量、响应时效、交付成果和培训情况进行综合验收。</w:t>
      </w:r>
    </w:p>
    <w:p w14:paraId="4977240E">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具体标准：</w:t>
      </w:r>
    </w:p>
    <w:p w14:paraId="7AAF0B1E">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维护服务内容全部完成，无实质性缺项；</w:t>
      </w:r>
    </w:p>
    <w:p w14:paraId="7279D69E">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服务工单、巡检报告、变更记录及交付资料完整；</w:t>
      </w:r>
    </w:p>
    <w:p w14:paraId="472B60BC">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登录管理平台后各组件运行状态正常；</w:t>
      </w:r>
    </w:p>
    <w:p w14:paraId="3E1A4ED6">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ESXi主机、虚拟机、存储及网络状态正常；</w:t>
      </w:r>
    </w:p>
    <w:p w14:paraId="284A7C87">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现有业务系统及虚拟化平台运行稳定；</w:t>
      </w:r>
    </w:p>
    <w:p w14:paraId="4C981FFB">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en-US" w:eastAsia="zh-CN"/>
        </w:rPr>
        <w:t>维护</w:t>
      </w:r>
      <w:r>
        <w:rPr>
          <w:rFonts w:hint="eastAsia" w:ascii="方正兰亭黑简体" w:hAnsi="方正兰亭黑简体" w:eastAsia="方正兰亭黑简体" w:cs="方正兰亭黑简体"/>
          <w:color w:val="auto"/>
          <w:sz w:val="22"/>
          <w:szCs w:val="28"/>
          <w:highlight w:val="none"/>
          <w:lang w:val="zh-CN"/>
        </w:rPr>
        <w:t>过程可记录、可追溯、可核查；</w:t>
      </w:r>
    </w:p>
    <w:p w14:paraId="030FD154">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故障、隐患和整改事项形成闭环；</w:t>
      </w:r>
    </w:p>
    <w:p w14:paraId="10DE41A2">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提交的技术资料完整、准确并与实际一致；</w:t>
      </w:r>
    </w:p>
    <w:p w14:paraId="419EE707">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2B56B3">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第三章评审办法</w:t>
      </w:r>
    </w:p>
    <w:p w14:paraId="2DA9D43D">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综合本项目的特点，根据相关法律法规的规定，本着保护竞争，维护采购工作公开、公平、公正原则，特制定本评审办法，作为选定本次采购中标人的依据。</w:t>
      </w:r>
    </w:p>
    <w:p w14:paraId="673FFF60">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1、成立比选评审小组</w:t>
      </w:r>
    </w:p>
    <w:p w14:paraId="1D34F033">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采购人将根据货物与服务的特点，依规组建比选小组，比选小组由3人或以上的单数组成。</w:t>
      </w:r>
    </w:p>
    <w:p w14:paraId="12EFA4B4">
      <w:pPr>
        <w:numPr>
          <w:ilvl w:val="0"/>
          <w:numId w:val="9"/>
        </w:num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具体评分细则如下：</w:t>
      </w:r>
    </w:p>
    <w:tbl>
      <w:tblPr>
        <w:tblStyle w:val="14"/>
        <w:tblW w:w="498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1329"/>
        <w:gridCol w:w="721"/>
        <w:gridCol w:w="7230"/>
      </w:tblGrid>
      <w:tr w14:paraId="4FA9B3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330" w:type="pct"/>
            <w:vAlign w:val="center"/>
          </w:tcPr>
          <w:p w14:paraId="0E8E4E82">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序号</w:t>
            </w:r>
          </w:p>
        </w:tc>
        <w:tc>
          <w:tcPr>
            <w:tcW w:w="669" w:type="pct"/>
            <w:vAlign w:val="center"/>
          </w:tcPr>
          <w:p w14:paraId="04667EC9">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评审因素</w:t>
            </w:r>
          </w:p>
        </w:tc>
        <w:tc>
          <w:tcPr>
            <w:tcW w:w="363" w:type="pct"/>
            <w:vAlign w:val="center"/>
          </w:tcPr>
          <w:p w14:paraId="6B1AA947">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分值</w:t>
            </w:r>
          </w:p>
        </w:tc>
        <w:tc>
          <w:tcPr>
            <w:tcW w:w="3637" w:type="pct"/>
            <w:vAlign w:val="center"/>
          </w:tcPr>
          <w:p w14:paraId="78DCF4D6">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评分说明</w:t>
            </w:r>
          </w:p>
        </w:tc>
      </w:tr>
      <w:tr w14:paraId="25120D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5000" w:type="pct"/>
            <w:gridSpan w:val="4"/>
            <w:vAlign w:val="center"/>
          </w:tcPr>
          <w:p w14:paraId="3C4E5B5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一、价格部分</w:t>
            </w:r>
          </w:p>
        </w:tc>
      </w:tr>
      <w:tr w14:paraId="14B227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30" w:type="pct"/>
            <w:vAlign w:val="center"/>
          </w:tcPr>
          <w:p w14:paraId="40A3FBEB">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w:t>
            </w:r>
          </w:p>
        </w:tc>
        <w:tc>
          <w:tcPr>
            <w:tcW w:w="669" w:type="pct"/>
            <w:vAlign w:val="center"/>
          </w:tcPr>
          <w:p w14:paraId="6E043E2F">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价格得分</w:t>
            </w:r>
          </w:p>
          <w:p w14:paraId="33D28CC8">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3" w:type="pct"/>
            <w:vAlign w:val="center"/>
          </w:tcPr>
          <w:p w14:paraId="2F6FAA4D">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0</w:t>
            </w:r>
          </w:p>
        </w:tc>
        <w:tc>
          <w:tcPr>
            <w:tcW w:w="3637" w:type="pct"/>
            <w:vAlign w:val="center"/>
          </w:tcPr>
          <w:p w14:paraId="69E5170C">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采用低价优先法计算，即满足比选文件要求且最低的报价为基准价，其价格分为满分</w:t>
            </w: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0分。其他报价单位的报价得分计算公式如下：报价得分＝</w:t>
            </w: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0×（评标基准价/投标报价）。</w:t>
            </w:r>
          </w:p>
        </w:tc>
      </w:tr>
      <w:tr w14:paraId="4DE7C0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5000" w:type="pct"/>
            <w:gridSpan w:val="4"/>
            <w:vAlign w:val="center"/>
          </w:tcPr>
          <w:p w14:paraId="11AA50B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二、商务、技术部分</w:t>
            </w:r>
          </w:p>
        </w:tc>
      </w:tr>
      <w:tr w14:paraId="2540F1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330" w:type="pct"/>
            <w:vAlign w:val="center"/>
          </w:tcPr>
          <w:p w14:paraId="4ED921D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w:t>
            </w:r>
          </w:p>
        </w:tc>
        <w:tc>
          <w:tcPr>
            <w:tcW w:w="669" w:type="pct"/>
            <w:vAlign w:val="center"/>
          </w:tcPr>
          <w:p w14:paraId="7AF339FF">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经验业绩</w:t>
            </w:r>
          </w:p>
          <w:p w14:paraId="6004DB2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3" w:type="pct"/>
            <w:vAlign w:val="center"/>
          </w:tcPr>
          <w:p w14:paraId="3557659E">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8</w:t>
            </w:r>
          </w:p>
        </w:tc>
        <w:tc>
          <w:tcPr>
            <w:tcW w:w="3637" w:type="pct"/>
            <w:vAlign w:val="center"/>
          </w:tcPr>
          <w:p w14:paraId="74E23610">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提供近3年（合同签订日期自2023年</w:t>
            </w:r>
            <w:r>
              <w:rPr>
                <w:rFonts w:hint="eastAsia" w:ascii="方正兰亭黑简体" w:hAnsi="方正兰亭黑简体" w:eastAsia="方正兰亭黑简体" w:cs="方正兰亭黑简体"/>
                <w:color w:val="auto"/>
                <w:sz w:val="20"/>
                <w:szCs w:val="20"/>
                <w:highlight w:val="none"/>
                <w:lang w:val="en-US" w:eastAsia="zh-CN"/>
              </w:rPr>
              <w:t>7</w:t>
            </w:r>
            <w:r>
              <w:rPr>
                <w:rFonts w:hint="eastAsia" w:ascii="方正兰亭黑简体" w:hAnsi="方正兰亭黑简体" w:eastAsia="方正兰亭黑简体" w:cs="方正兰亭黑简体"/>
                <w:color w:val="auto"/>
                <w:sz w:val="20"/>
                <w:szCs w:val="20"/>
                <w:highlight w:val="none"/>
              </w:rPr>
              <w:t>月1日起至今）业绩案例。（每提供1个得</w:t>
            </w: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分；最高得</w:t>
            </w:r>
            <w:r>
              <w:rPr>
                <w:rFonts w:hint="eastAsia" w:ascii="方正兰亭黑简体" w:hAnsi="方正兰亭黑简体" w:eastAsia="方正兰亭黑简体" w:cs="方正兰亭黑简体"/>
                <w:color w:val="auto"/>
                <w:sz w:val="20"/>
                <w:szCs w:val="20"/>
                <w:highlight w:val="none"/>
                <w:lang w:val="en-US" w:eastAsia="zh-CN"/>
              </w:rPr>
              <w:t>8</w:t>
            </w:r>
            <w:r>
              <w:rPr>
                <w:rFonts w:hint="eastAsia" w:ascii="方正兰亭黑简体" w:hAnsi="方正兰亭黑简体" w:eastAsia="方正兰亭黑简体" w:cs="方正兰亭黑简体"/>
                <w:color w:val="auto"/>
                <w:sz w:val="20"/>
                <w:szCs w:val="20"/>
                <w:highlight w:val="none"/>
              </w:rPr>
              <w:t>分）注：需提供相关业绩的合同复印件，否则将不予认可。</w:t>
            </w:r>
          </w:p>
        </w:tc>
      </w:tr>
      <w:tr w14:paraId="6C7AE6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330" w:type="pct"/>
            <w:vAlign w:val="center"/>
          </w:tcPr>
          <w:p w14:paraId="2021560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669" w:type="pct"/>
            <w:vAlign w:val="center"/>
          </w:tcPr>
          <w:p w14:paraId="380505D3">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履约能力</w:t>
            </w:r>
          </w:p>
          <w:p w14:paraId="2321DCF3">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3" w:type="pct"/>
            <w:vAlign w:val="center"/>
          </w:tcPr>
          <w:p w14:paraId="195428E2">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10</w:t>
            </w:r>
          </w:p>
        </w:tc>
        <w:tc>
          <w:tcPr>
            <w:tcW w:w="3637" w:type="pct"/>
            <w:vAlign w:val="center"/>
          </w:tcPr>
          <w:p w14:paraId="20F9956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1.提供</w:t>
            </w:r>
            <w:r>
              <w:rPr>
                <w:rFonts w:hint="eastAsia" w:ascii="方正兰亭黑简体" w:hAnsi="方正兰亭黑简体" w:eastAsia="方正兰亭黑简体" w:cs="方正兰亭黑简体"/>
                <w:color w:val="auto"/>
                <w:sz w:val="20"/>
                <w:szCs w:val="20"/>
                <w:highlight w:val="none"/>
              </w:rPr>
              <w:t>具有在有效期内的质量管理体系认证证书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得2分。</w:t>
            </w:r>
          </w:p>
          <w:p w14:paraId="21E4CF28">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2.提供</w:t>
            </w:r>
            <w:r>
              <w:rPr>
                <w:rFonts w:hint="eastAsia" w:ascii="方正兰亭黑简体" w:hAnsi="方正兰亭黑简体" w:eastAsia="方正兰亭黑简体" w:cs="方正兰亭黑简体"/>
                <w:color w:val="auto"/>
                <w:sz w:val="20"/>
                <w:szCs w:val="20"/>
                <w:highlight w:val="none"/>
              </w:rPr>
              <w:t>具有在有效期内的信息安全管理体系认证证书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得4分。</w:t>
            </w:r>
          </w:p>
          <w:p w14:paraId="61EC035A">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3.提供</w:t>
            </w:r>
            <w:r>
              <w:rPr>
                <w:rFonts w:hint="eastAsia" w:ascii="方正兰亭黑简体" w:hAnsi="方正兰亭黑简体" w:eastAsia="方正兰亭黑简体" w:cs="方正兰亭黑简体"/>
                <w:color w:val="auto"/>
                <w:sz w:val="20"/>
                <w:szCs w:val="20"/>
                <w:highlight w:val="none"/>
              </w:rPr>
              <w:t>具备计算机信息系统集成服务能力评价资质认证证书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得2分</w:t>
            </w:r>
            <w:r>
              <w:rPr>
                <w:rFonts w:hint="eastAsia" w:ascii="方正兰亭黑简体" w:hAnsi="方正兰亭黑简体" w:eastAsia="方正兰亭黑简体" w:cs="方正兰亭黑简体"/>
                <w:color w:val="auto"/>
                <w:sz w:val="20"/>
                <w:szCs w:val="20"/>
                <w:highlight w:val="none"/>
                <w:lang w:eastAsia="zh-CN"/>
              </w:rPr>
              <w:t>。</w:t>
            </w:r>
          </w:p>
          <w:p w14:paraId="05A21767">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4.提供</w:t>
            </w:r>
            <w:r>
              <w:rPr>
                <w:rFonts w:hint="eastAsia" w:ascii="方正兰亭黑简体" w:hAnsi="方正兰亭黑简体" w:eastAsia="方正兰亭黑简体" w:cs="方正兰亭黑简体"/>
                <w:color w:val="auto"/>
                <w:sz w:val="20"/>
                <w:szCs w:val="20"/>
                <w:highlight w:val="none"/>
              </w:rPr>
              <w:t>具备信息技术服务企业资质认证证书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得2分</w:t>
            </w:r>
            <w:r>
              <w:rPr>
                <w:rFonts w:hint="eastAsia" w:ascii="方正兰亭黑简体" w:hAnsi="方正兰亭黑简体" w:eastAsia="方正兰亭黑简体" w:cs="方正兰亭黑简体"/>
                <w:color w:val="auto"/>
                <w:sz w:val="20"/>
                <w:szCs w:val="20"/>
                <w:highlight w:val="none"/>
                <w:lang w:eastAsia="zh-CN"/>
              </w:rPr>
              <w:t>。</w:t>
            </w:r>
          </w:p>
        </w:tc>
      </w:tr>
      <w:tr w14:paraId="6AF949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4780BF04">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669" w:type="pct"/>
            <w:vAlign w:val="center"/>
          </w:tcPr>
          <w:p w14:paraId="137FA9B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需求理解</w:t>
            </w:r>
          </w:p>
          <w:p w14:paraId="1DD2C7B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w:t>
            </w:r>
            <w:r>
              <w:rPr>
                <w:rFonts w:hint="eastAsia" w:ascii="方正兰亭黑简体" w:hAnsi="方正兰亭黑简体" w:eastAsia="方正兰亭黑简体" w:cs="方正兰亭黑简体"/>
                <w:color w:val="auto"/>
                <w:sz w:val="20"/>
                <w:szCs w:val="20"/>
                <w:highlight w:val="none"/>
                <w:lang w:val="en-US" w:eastAsia="zh-CN"/>
              </w:rPr>
              <w:t>主</w:t>
            </w:r>
            <w:r>
              <w:rPr>
                <w:rFonts w:hint="eastAsia" w:ascii="方正兰亭黑简体" w:hAnsi="方正兰亭黑简体" w:eastAsia="方正兰亭黑简体" w:cs="方正兰亭黑简体"/>
                <w:color w:val="auto"/>
                <w:sz w:val="20"/>
                <w:szCs w:val="20"/>
                <w:highlight w:val="none"/>
              </w:rPr>
              <w:t>观分）</w:t>
            </w:r>
          </w:p>
        </w:tc>
        <w:tc>
          <w:tcPr>
            <w:tcW w:w="363" w:type="pct"/>
            <w:vAlign w:val="center"/>
          </w:tcPr>
          <w:p w14:paraId="3A438D6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20</w:t>
            </w:r>
          </w:p>
        </w:tc>
        <w:tc>
          <w:tcPr>
            <w:tcW w:w="3637" w:type="pct"/>
            <w:vAlign w:val="center"/>
          </w:tcPr>
          <w:p w14:paraId="1CEA057C">
            <w:pPr>
              <w:spacing w:line="240" w:lineRule="auto"/>
              <w:jc w:val="left"/>
              <w:rPr>
                <w:rFonts w:hint="eastAsia" w:ascii="方正兰亭黑简体" w:hAnsi="方正兰亭黑简体" w:eastAsia="方正兰亭黑简体" w:cs="方正兰亭黑简体"/>
                <w:color w:val="auto"/>
                <w:sz w:val="20"/>
                <w:szCs w:val="20"/>
                <w:highlight w:val="none"/>
              </w:rPr>
            </w:pPr>
            <w:bookmarkStart w:id="6" w:name="_Hlk235227516"/>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对采购需求的分析、理解以及重点、难点的分析</w:t>
            </w:r>
            <w:bookmarkEnd w:id="6"/>
            <w:r>
              <w:rPr>
                <w:rFonts w:hint="eastAsia" w:ascii="方正兰亭黑简体" w:hAnsi="方正兰亭黑简体" w:eastAsia="方正兰亭黑简体" w:cs="方正兰亭黑简体"/>
                <w:color w:val="auto"/>
                <w:sz w:val="20"/>
                <w:szCs w:val="20"/>
                <w:highlight w:val="none"/>
              </w:rPr>
              <w:t xml:space="preserve">是否合理，是否对学校的k8s平台、Citrix云桌面平台以及vmware虚拟化平台的运行和使用情况有针对性的响应（0-10分）； </w:t>
            </w:r>
          </w:p>
          <w:p w14:paraId="1F7066E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对本项目的合理化建议（0-10分）；</w:t>
            </w:r>
          </w:p>
        </w:tc>
      </w:tr>
      <w:tr w14:paraId="29993D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5497789B">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669" w:type="pct"/>
            <w:vAlign w:val="center"/>
          </w:tcPr>
          <w:p w14:paraId="704B64D6">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技术方案</w:t>
            </w:r>
          </w:p>
          <w:p w14:paraId="6B01F883">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rPr>
              <w:t>（</w:t>
            </w:r>
            <w:r>
              <w:rPr>
                <w:rFonts w:hint="eastAsia" w:ascii="方正兰亭黑简体" w:hAnsi="方正兰亭黑简体" w:eastAsia="方正兰亭黑简体" w:cs="方正兰亭黑简体"/>
                <w:color w:val="auto"/>
                <w:sz w:val="20"/>
                <w:szCs w:val="20"/>
                <w:highlight w:val="none"/>
                <w:lang w:val="en-US" w:eastAsia="zh-CN"/>
              </w:rPr>
              <w:t>主</w:t>
            </w:r>
            <w:r>
              <w:rPr>
                <w:rFonts w:hint="eastAsia" w:ascii="方正兰亭黑简体" w:hAnsi="方正兰亭黑简体" w:eastAsia="方正兰亭黑简体" w:cs="方正兰亭黑简体"/>
                <w:color w:val="auto"/>
                <w:sz w:val="20"/>
                <w:szCs w:val="20"/>
                <w:highlight w:val="none"/>
              </w:rPr>
              <w:t>观分）</w:t>
            </w:r>
          </w:p>
        </w:tc>
        <w:tc>
          <w:tcPr>
            <w:tcW w:w="363" w:type="pct"/>
            <w:vAlign w:val="center"/>
          </w:tcPr>
          <w:p w14:paraId="0F043EDB">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22</w:t>
            </w:r>
          </w:p>
        </w:tc>
        <w:tc>
          <w:tcPr>
            <w:tcW w:w="3637" w:type="pct"/>
            <w:vAlign w:val="center"/>
          </w:tcPr>
          <w:p w14:paraId="187E2C1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1.对本项目采购需求的技术响应程度、技术要求满足程度等方面是否完全满足本项目招标要求（0-5分）；</w:t>
            </w:r>
          </w:p>
          <w:p w14:paraId="3B6DC63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1.提供的巡查制度和定期巡查制度是否合理，是否满足本项目的需要；（0-4分）</w:t>
            </w:r>
          </w:p>
          <w:p w14:paraId="7D5AA826">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2.提供的技术方案是否包含规范和完善工作日志，完成数据汇总和挖掘，做好工作预案，质量控制措施是否完善，是否提供质量服务承诺，承诺是否量化且可操作（0-4分）；</w:t>
            </w:r>
          </w:p>
          <w:p w14:paraId="19F1B2BE">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3.投标人提供的技术方案是否包含制度化工作要求（0-4分）；</w:t>
            </w:r>
          </w:p>
          <w:p w14:paraId="6A404C0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4.投标人提供的技术方案是否包含本项目的工作规划，是否提供安全服务方案，方案是否具有完善的服务流程（0-5分）；</w:t>
            </w:r>
          </w:p>
        </w:tc>
      </w:tr>
      <w:tr w14:paraId="4D0BB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81" w:hRule="atLeast"/>
          <w:jc w:val="center"/>
        </w:trPr>
        <w:tc>
          <w:tcPr>
            <w:tcW w:w="330" w:type="pct"/>
            <w:vAlign w:val="center"/>
          </w:tcPr>
          <w:p w14:paraId="788752CD">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669" w:type="pct"/>
            <w:tcBorders>
              <w:top w:val="single" w:color="auto" w:sz="6" w:space="0"/>
              <w:left w:val="single" w:color="auto" w:sz="6" w:space="0"/>
              <w:bottom w:val="single" w:color="auto" w:sz="6" w:space="0"/>
              <w:right w:val="single" w:color="auto" w:sz="6" w:space="0"/>
            </w:tcBorders>
            <w:vAlign w:val="center"/>
          </w:tcPr>
          <w:p w14:paraId="7A8085AB">
            <w:pPr>
              <w:spacing w:line="240" w:lineRule="auto"/>
              <w:jc w:val="center"/>
              <w:rPr>
                <w:rFonts w:hint="eastAsia" w:ascii="方正兰亭黑简体" w:hAnsi="方正兰亭黑简体" w:eastAsia="方正兰亭黑简体" w:cs="方正兰亭黑简体"/>
                <w:color w:val="auto"/>
                <w:sz w:val="20"/>
                <w:szCs w:val="20"/>
                <w:highlight w:val="none"/>
              </w:rPr>
            </w:pPr>
            <w:bookmarkStart w:id="7" w:name="_Hlk235180013"/>
            <w:r>
              <w:rPr>
                <w:rFonts w:hint="eastAsia" w:ascii="方正兰亭黑简体" w:hAnsi="方正兰亭黑简体" w:eastAsia="方正兰亭黑简体" w:cs="方正兰亭黑简体"/>
                <w:color w:val="auto"/>
                <w:sz w:val="20"/>
                <w:szCs w:val="20"/>
                <w:highlight w:val="none"/>
                <w:lang w:val="en-US" w:eastAsia="zh-CN"/>
              </w:rPr>
              <w:t>维护</w:t>
            </w:r>
            <w:r>
              <w:rPr>
                <w:rFonts w:hint="eastAsia" w:ascii="方正兰亭黑简体" w:hAnsi="方正兰亭黑简体" w:eastAsia="方正兰亭黑简体" w:cs="方正兰亭黑简体"/>
                <w:color w:val="auto"/>
                <w:sz w:val="20"/>
                <w:szCs w:val="20"/>
                <w:highlight w:val="none"/>
              </w:rPr>
              <w:t>服务方案</w:t>
            </w:r>
            <w:bookmarkEnd w:id="7"/>
          </w:p>
          <w:p w14:paraId="2F94F36C">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（主观分）</w:t>
            </w:r>
          </w:p>
        </w:tc>
        <w:tc>
          <w:tcPr>
            <w:tcW w:w="363" w:type="pct"/>
            <w:vAlign w:val="center"/>
          </w:tcPr>
          <w:p w14:paraId="004B4B48">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0</w:t>
            </w:r>
          </w:p>
        </w:tc>
        <w:tc>
          <w:tcPr>
            <w:tcW w:w="3637" w:type="pct"/>
            <w:vAlign w:val="center"/>
          </w:tcPr>
          <w:p w14:paraId="482B7D10">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提供的日常保障方案、风险管理方案等是否有针对性，是否满足本项目需求（0-5分）</w:t>
            </w:r>
            <w:r>
              <w:rPr>
                <w:rFonts w:hint="eastAsia" w:ascii="方正兰亭黑简体" w:hAnsi="方正兰亭黑简体" w:eastAsia="方正兰亭黑简体" w:cs="方正兰亭黑简体"/>
                <w:color w:val="auto"/>
                <w:sz w:val="20"/>
                <w:szCs w:val="20"/>
                <w:highlight w:val="none"/>
                <w:lang w:eastAsia="zh-CN"/>
              </w:rPr>
              <w:t>；</w:t>
            </w:r>
          </w:p>
          <w:p w14:paraId="4769BB3C">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提供项目应急预案是否有针对性，符合本项目的需求，包括对日常运维中常见突发情况和应急事件有认识和成因以及响应的应对措施（0-5分）</w:t>
            </w:r>
            <w:r>
              <w:rPr>
                <w:rFonts w:hint="eastAsia" w:ascii="方正兰亭黑简体" w:hAnsi="方正兰亭黑简体" w:eastAsia="方正兰亭黑简体" w:cs="方正兰亭黑简体"/>
                <w:color w:val="auto"/>
                <w:sz w:val="20"/>
                <w:szCs w:val="20"/>
                <w:highlight w:val="none"/>
                <w:lang w:eastAsia="zh-CN"/>
              </w:rPr>
              <w:t>；</w:t>
            </w:r>
          </w:p>
          <w:p w14:paraId="4976AEEB">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lang w:eastAsia="zh-CN"/>
              </w:rPr>
              <w:t>技术服务</w:t>
            </w:r>
            <w:r>
              <w:rPr>
                <w:rFonts w:hint="eastAsia" w:ascii="方正兰亭黑简体" w:hAnsi="方正兰亭黑简体" w:eastAsia="方正兰亭黑简体" w:cs="方正兰亭黑简体"/>
                <w:color w:val="auto"/>
                <w:sz w:val="20"/>
                <w:szCs w:val="20"/>
                <w:highlight w:val="none"/>
              </w:rPr>
              <w:t>人员配备及管理措施(0-5分)</w:t>
            </w:r>
            <w:r>
              <w:rPr>
                <w:rFonts w:hint="eastAsia" w:ascii="方正兰亭黑简体" w:hAnsi="方正兰亭黑简体" w:eastAsia="方正兰亭黑简体" w:cs="方正兰亭黑简体"/>
                <w:color w:val="auto"/>
                <w:sz w:val="20"/>
                <w:szCs w:val="20"/>
                <w:highlight w:val="none"/>
                <w:lang w:eastAsia="zh-CN"/>
              </w:rPr>
              <w:t>：</w:t>
            </w:r>
          </w:p>
          <w:p w14:paraId="3E40C04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若满足</w:t>
            </w:r>
            <w:r>
              <w:rPr>
                <w:rFonts w:hint="eastAsia" w:ascii="方正兰亭黑简体" w:hAnsi="方正兰亭黑简体" w:eastAsia="方正兰亭黑简体" w:cs="方正兰亭黑简体"/>
                <w:color w:val="auto"/>
                <w:sz w:val="20"/>
                <w:szCs w:val="20"/>
                <w:highlight w:val="none"/>
              </w:rPr>
              <w:t>日常</w:t>
            </w:r>
            <w:r>
              <w:rPr>
                <w:rFonts w:hint="eastAsia" w:ascii="方正兰亭黑简体" w:hAnsi="方正兰亭黑简体" w:eastAsia="方正兰亭黑简体" w:cs="方正兰亭黑简体"/>
                <w:color w:val="auto"/>
                <w:sz w:val="20"/>
                <w:szCs w:val="20"/>
                <w:highlight w:val="none"/>
                <w:lang w:eastAsia="zh-CN"/>
              </w:rPr>
              <w:t>技术服务</w:t>
            </w:r>
            <w:r>
              <w:rPr>
                <w:rFonts w:hint="eastAsia" w:ascii="方正兰亭黑简体" w:hAnsi="方正兰亭黑简体" w:eastAsia="方正兰亭黑简体" w:cs="方正兰亭黑简体"/>
                <w:color w:val="auto"/>
                <w:sz w:val="20"/>
                <w:szCs w:val="20"/>
                <w:highlight w:val="none"/>
              </w:rPr>
              <w:t>人员提供VMware Certified  Professional 证书的，得2分；技术服务人员提供高级软件开发工程师证书的，得2分</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提供相关管理措施的得1分；</w:t>
            </w:r>
          </w:p>
          <w:p w14:paraId="551CD7E1">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w:t>
            </w:r>
            <w:r>
              <w:rPr>
                <w:rFonts w:hint="eastAsia" w:ascii="方正兰亭黑简体" w:hAnsi="方正兰亭黑简体" w:eastAsia="方正兰亭黑简体" w:cs="方正兰亭黑简体"/>
                <w:color w:val="auto"/>
                <w:sz w:val="20"/>
                <w:szCs w:val="20"/>
                <w:highlight w:val="none"/>
              </w:rPr>
              <w:t>提供的服务保障体系（包含保障与服务能力、保障时间和范围、保障期内运行服务内容、对采购人的支持或后期请求处理流程等）、</w:t>
            </w:r>
            <w:r>
              <w:rPr>
                <w:rFonts w:hint="eastAsia" w:ascii="方正兰亭黑简体" w:hAnsi="方正兰亭黑简体" w:eastAsia="方正兰亭黑简体" w:cs="方正兰亭黑简体"/>
                <w:color w:val="auto"/>
                <w:sz w:val="20"/>
                <w:szCs w:val="20"/>
                <w:highlight w:val="none"/>
                <w:lang w:val="en-US" w:eastAsia="zh-CN"/>
              </w:rPr>
              <w:t>维护</w:t>
            </w:r>
            <w:r>
              <w:rPr>
                <w:rFonts w:hint="eastAsia" w:ascii="方正兰亭黑简体" w:hAnsi="方正兰亭黑简体" w:eastAsia="方正兰亭黑简体" w:cs="方正兰亭黑简体"/>
                <w:color w:val="auto"/>
                <w:sz w:val="20"/>
                <w:szCs w:val="20"/>
                <w:highlight w:val="none"/>
              </w:rPr>
              <w:t>服务人员管理制度是否合理，是否满足本项目需求(0-5分)</w:t>
            </w:r>
            <w:r>
              <w:rPr>
                <w:rFonts w:hint="eastAsia" w:ascii="方正兰亭黑简体" w:hAnsi="方正兰亭黑简体" w:eastAsia="方正兰亭黑简体" w:cs="方正兰亭黑简体"/>
                <w:color w:val="auto"/>
                <w:sz w:val="20"/>
                <w:szCs w:val="20"/>
                <w:highlight w:val="none"/>
                <w:lang w:eastAsia="zh-CN"/>
              </w:rPr>
              <w:t>；</w:t>
            </w:r>
          </w:p>
          <w:p w14:paraId="633E5F41">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投标人提供</w:t>
            </w:r>
            <w:r>
              <w:rPr>
                <w:rFonts w:hint="eastAsia" w:ascii="方正兰亭黑简体" w:hAnsi="方正兰亭黑简体" w:eastAsia="方正兰亭黑简体" w:cs="方正兰亭黑简体"/>
                <w:color w:val="auto"/>
                <w:sz w:val="20"/>
                <w:szCs w:val="20"/>
                <w:highlight w:val="none"/>
                <w:lang w:val="en-US" w:eastAsia="zh-CN"/>
              </w:rPr>
              <w:t>维护</w:t>
            </w:r>
            <w:r>
              <w:rPr>
                <w:rFonts w:hint="eastAsia" w:ascii="方正兰亭黑简体" w:hAnsi="方正兰亭黑简体" w:eastAsia="方正兰亭黑简体" w:cs="方正兰亭黑简体"/>
                <w:color w:val="auto"/>
                <w:sz w:val="20"/>
                <w:szCs w:val="20"/>
                <w:highlight w:val="none"/>
              </w:rPr>
              <w:t>服务管理承诺函（0-5分）</w:t>
            </w:r>
            <w:r>
              <w:rPr>
                <w:rFonts w:hint="eastAsia" w:ascii="方正兰亭黑简体" w:hAnsi="方正兰亭黑简体" w:eastAsia="方正兰亭黑简体" w:cs="方正兰亭黑简体"/>
                <w:color w:val="auto"/>
                <w:sz w:val="20"/>
                <w:szCs w:val="20"/>
                <w:highlight w:val="none"/>
                <w:lang w:eastAsia="zh-CN"/>
              </w:rPr>
              <w:t>：</w:t>
            </w:r>
          </w:p>
          <w:p w14:paraId="4D2AF6D8">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投标人承诺如采购人认为投标人所提供的整体</w:t>
            </w:r>
            <w:r>
              <w:rPr>
                <w:rFonts w:hint="eastAsia" w:ascii="方正兰亭黑简体" w:hAnsi="方正兰亭黑简体" w:eastAsia="方正兰亭黑简体" w:cs="方正兰亭黑简体"/>
                <w:color w:val="auto"/>
                <w:sz w:val="20"/>
                <w:szCs w:val="20"/>
                <w:highlight w:val="none"/>
                <w:lang w:val="en-US" w:eastAsia="zh-CN"/>
              </w:rPr>
              <w:t>技术</w:t>
            </w:r>
            <w:r>
              <w:rPr>
                <w:rFonts w:hint="eastAsia" w:ascii="方正兰亭黑简体" w:hAnsi="方正兰亭黑简体" w:eastAsia="方正兰亭黑简体" w:cs="方正兰亭黑简体"/>
                <w:color w:val="auto"/>
                <w:sz w:val="20"/>
                <w:szCs w:val="20"/>
                <w:highlight w:val="none"/>
              </w:rPr>
              <w:t>服务不能达到采购人对虚拟化平台及基础支撑系统维护要求的，为确保教学的正常运行，采购人有权终止合同，所产生的损失，将由投标人承担的，得5分。需提供明确且加盖公章的承诺函，格式自拟，否则不得分。</w:t>
            </w:r>
          </w:p>
          <w:p w14:paraId="6C40E5DB">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投标人提供专人对接及保证服务水平和保证本项目在服务期内稳定地运行承诺函（0-5分）</w:t>
            </w:r>
            <w:r>
              <w:rPr>
                <w:rFonts w:hint="eastAsia" w:ascii="方正兰亭黑简体" w:hAnsi="方正兰亭黑简体" w:eastAsia="方正兰亭黑简体" w:cs="方正兰亭黑简体"/>
                <w:color w:val="auto"/>
                <w:sz w:val="20"/>
                <w:szCs w:val="20"/>
                <w:highlight w:val="none"/>
                <w:lang w:eastAsia="zh-CN"/>
              </w:rPr>
              <w:t>：</w:t>
            </w:r>
          </w:p>
          <w:p w14:paraId="4EE55FF6">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承诺根据上海海事大学的实际运行需求，有计划地制定本项目运维和服务保障体系，保证本项目按时稳定地运行</w:t>
            </w:r>
            <w:r>
              <w:rPr>
                <w:rFonts w:hint="eastAsia" w:ascii="方正兰亭黑简体" w:hAnsi="方正兰亭黑简体" w:eastAsia="方正兰亭黑简体" w:cs="方正兰亭黑简体"/>
                <w:color w:val="auto"/>
                <w:sz w:val="20"/>
                <w:szCs w:val="20"/>
                <w:highlight w:val="none"/>
                <w:lang w:val="en-US" w:eastAsia="zh-CN"/>
              </w:rPr>
              <w:t>的，</w:t>
            </w:r>
            <w:r>
              <w:rPr>
                <w:rFonts w:hint="eastAsia" w:ascii="方正兰亭黑简体" w:hAnsi="方正兰亭黑简体" w:eastAsia="方正兰亭黑简体" w:cs="方正兰亭黑简体"/>
                <w:color w:val="auto"/>
                <w:sz w:val="20"/>
                <w:szCs w:val="20"/>
                <w:highlight w:val="none"/>
              </w:rPr>
              <w:t>得2分; 为保证项目的顺利实施，如期完成，同时保证项目实施全过程中的服务水平，投标人承诺在项目实施过程中，指定有智能化系统集成项目经理证书的专业人员负责与学校相关负责人对接的，得3分。以上均需提供明确且加盖公章的承诺函，格式自拟，否则不得分。</w:t>
            </w:r>
          </w:p>
        </w:tc>
      </w:tr>
    </w:tbl>
    <w:p w14:paraId="6072BEB5">
      <w:pPr>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br w:type="page"/>
      </w:r>
    </w:p>
    <w:p w14:paraId="2D0B04EA">
      <w:pPr>
        <w:jc w:val="center"/>
        <w:rPr>
          <w:rFonts w:hint="eastAsia" w:ascii="方正兰亭黑简体" w:hAnsi="方正兰亭黑简体" w:eastAsia="方正兰亭黑简体" w:cs="方正兰亭黑简体"/>
          <w:b/>
          <w:bCs/>
          <w:color w:val="auto"/>
          <w:sz w:val="24"/>
          <w:szCs w:val="32"/>
          <w:highlight w:val="none"/>
        </w:rPr>
        <w:sectPr>
          <w:footerReference r:id="rId3" w:type="default"/>
          <w:pgSz w:w="11906" w:h="16838"/>
          <w:pgMar w:top="1440" w:right="1080" w:bottom="1440" w:left="1080" w:header="851" w:footer="992" w:gutter="0"/>
          <w:cols w:space="425" w:num="1"/>
          <w:docGrid w:type="lines" w:linePitch="312" w:charSpace="0"/>
        </w:sectPr>
      </w:pPr>
    </w:p>
    <w:p w14:paraId="1AC852B6">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第四章格式附件</w:t>
      </w:r>
    </w:p>
    <w:p w14:paraId="1219D175">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附件1：报价单</w:t>
      </w:r>
    </w:p>
    <w:p w14:paraId="038537F8">
      <w:pPr>
        <w:spacing w:line="440" w:lineRule="exact"/>
        <w:jc w:val="center"/>
        <w:rPr>
          <w:rFonts w:hint="eastAsia" w:ascii="宋体" w:hAnsi="宋体" w:eastAsia="宋体"/>
          <w:color w:val="auto"/>
          <w:sz w:val="24"/>
          <w:highlight w:val="none"/>
        </w:rPr>
      </w:pPr>
      <w:r>
        <w:rPr>
          <w:rFonts w:hint="eastAsia" w:ascii="黑体" w:hAnsi="华文楷体" w:eastAsia="黑体"/>
          <w:b/>
          <w:color w:val="auto"/>
          <w:sz w:val="36"/>
          <w:szCs w:val="36"/>
          <w:highlight w:val="none"/>
        </w:rPr>
        <w:t>报价单</w:t>
      </w:r>
    </w:p>
    <w:p w14:paraId="28C0DCFE">
      <w:pPr>
        <w:spacing w:line="440" w:lineRule="exact"/>
        <w:jc w:val="left"/>
        <w:rPr>
          <w:rFonts w:hint="eastAsia" w:ascii="黑体" w:hAnsi="华文楷体" w:eastAsia="黑体"/>
          <w:color w:val="auto"/>
          <w:sz w:val="24"/>
          <w:highlight w:val="none"/>
          <w:lang w:eastAsia="zh-CN"/>
        </w:rPr>
      </w:pPr>
      <w:r>
        <w:rPr>
          <w:rFonts w:hint="eastAsia" w:ascii="黑体" w:hAnsi="华文楷体" w:eastAsia="黑体"/>
          <w:b/>
          <w:color w:val="auto"/>
          <w:sz w:val="24"/>
          <w:highlight w:val="none"/>
        </w:rPr>
        <w:t>TO</w:t>
      </w:r>
      <w:r>
        <w:rPr>
          <w:rFonts w:hint="eastAsia" w:ascii="黑体" w:hAnsi="华文楷体" w:eastAsia="黑体"/>
          <w:b/>
          <w:color w:val="auto"/>
          <w:sz w:val="24"/>
          <w:highlight w:val="none"/>
          <w:lang w:eastAsia="zh-CN"/>
        </w:rPr>
        <w:t>：</w:t>
      </w:r>
      <w:r>
        <w:rPr>
          <w:rFonts w:hint="eastAsia" w:ascii="黑体" w:hAnsi="华文楷体" w:eastAsia="黑体"/>
          <w:color w:val="auto"/>
          <w:sz w:val="24"/>
          <w:highlight w:val="none"/>
        </w:rPr>
        <w:t>上海海事大学采购与招投标管理中心</w:t>
      </w:r>
      <w:r>
        <w:rPr>
          <w:rFonts w:hint="eastAsia" w:ascii="黑体" w:hAnsi="华文楷体" w:eastAsia="黑体"/>
          <w:color w:val="auto"/>
          <w:sz w:val="24"/>
          <w:highlight w:val="none"/>
          <w:lang w:val="en-US" w:eastAsia="zh-CN"/>
        </w:rPr>
        <w:t xml:space="preserve">                         </w:t>
      </w:r>
      <w:r>
        <w:rPr>
          <w:rFonts w:hint="eastAsia" w:ascii="黑体" w:hAnsi="华文楷体" w:eastAsia="黑体"/>
          <w:color w:val="auto"/>
          <w:sz w:val="24"/>
          <w:highlight w:val="none"/>
        </w:rPr>
        <w:t>项目编号：</w:t>
      </w:r>
      <w:r>
        <w:rPr>
          <w:rFonts w:hint="eastAsia" w:ascii="黑体" w:hAnsi="华文楷体" w:eastAsia="黑体"/>
          <w:color w:val="auto"/>
          <w:sz w:val="24"/>
          <w:highlight w:val="none"/>
          <w:lang w:eastAsia="zh-CN"/>
        </w:rPr>
        <w:t>HFBX2026071</w:t>
      </w:r>
    </w:p>
    <w:p w14:paraId="09EAC316">
      <w:pPr>
        <w:spacing w:line="440" w:lineRule="exact"/>
        <w:rPr>
          <w:rFonts w:hint="eastAsia" w:ascii="方正仿宋_GB2312" w:hAnsi="方正仿宋_GB2312" w:eastAsia="方正仿宋_GB2312" w:cs="方正仿宋_GB2312"/>
          <w:b/>
          <w:color w:val="auto"/>
          <w:sz w:val="24"/>
          <w:highlight w:val="none"/>
        </w:rPr>
      </w:pPr>
      <w:r>
        <w:rPr>
          <w:rFonts w:hint="eastAsia" w:ascii="黑体" w:hAnsi="华文楷体" w:eastAsia="黑体"/>
          <w:b/>
          <w:color w:val="auto"/>
          <w:sz w:val="24"/>
          <w:highlight w:val="none"/>
        </w:rPr>
        <w:t>电子邮箱：</w:t>
      </w:r>
      <w:r>
        <w:rPr>
          <w:color w:val="auto"/>
          <w:highlight w:val="none"/>
        </w:rPr>
        <w:fldChar w:fldCharType="begin"/>
      </w:r>
      <w:r>
        <w:rPr>
          <w:color w:val="auto"/>
          <w:highlight w:val="none"/>
        </w:rPr>
        <w:instrText xml:space="preserve"> HYPERLINK "mailto:quotation@shmtu.edu.cn" </w:instrText>
      </w:r>
      <w:r>
        <w:rPr>
          <w:color w:val="auto"/>
          <w:highlight w:val="none"/>
        </w:rPr>
        <w:fldChar w:fldCharType="separate"/>
      </w:r>
      <w:r>
        <w:rPr>
          <w:rStyle w:val="18"/>
          <w:rFonts w:ascii="黑体" w:hAnsi="华文楷体" w:eastAsia="黑体"/>
          <w:b/>
          <w:color w:val="auto"/>
          <w:sz w:val="24"/>
          <w:highlight w:val="none"/>
        </w:rPr>
        <w:t>quotation@shmtu.edu.cn</w:t>
      </w:r>
      <w:r>
        <w:rPr>
          <w:rStyle w:val="18"/>
          <w:rFonts w:ascii="黑体" w:hAnsi="华文楷体" w:eastAsia="黑体"/>
          <w:b/>
          <w:color w:val="auto"/>
          <w:sz w:val="24"/>
          <w:highlight w:val="none"/>
        </w:rPr>
        <w:fldChar w:fldCharType="end"/>
      </w:r>
    </w:p>
    <w:p w14:paraId="0E4AC90F">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公司名称：联系人：</w:t>
      </w:r>
    </w:p>
    <w:p w14:paraId="6610026A">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电子邮箱：公司地址：</w:t>
      </w:r>
    </w:p>
    <w:p w14:paraId="0F397EAB">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电话：联系人手机：</w:t>
      </w:r>
    </w:p>
    <w:p w14:paraId="184D96DB">
      <w:pPr>
        <w:spacing w:line="440" w:lineRule="exact"/>
        <w:rPr>
          <w:rFonts w:hint="eastAsia" w:ascii="黑体" w:hAnsi="华文楷体" w:eastAsia="黑体"/>
          <w:b/>
          <w:color w:val="auto"/>
          <w:sz w:val="24"/>
          <w:highlight w:val="none"/>
        </w:rPr>
      </w:pPr>
    </w:p>
    <w:tbl>
      <w:tblPr>
        <w:tblStyle w:val="14"/>
        <w:tblW w:w="498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608"/>
        <w:gridCol w:w="4306"/>
        <w:gridCol w:w="2521"/>
        <w:gridCol w:w="2336"/>
      </w:tblGrid>
      <w:tr w14:paraId="164CE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50" w:hRule="exact"/>
        </w:trPr>
        <w:tc>
          <w:tcPr>
            <w:tcW w:w="311" w:type="pct"/>
            <w:tcBorders>
              <w:top w:val="single" w:color="auto" w:sz="12" w:space="0"/>
              <w:left w:val="single" w:color="auto" w:sz="12" w:space="0"/>
              <w:bottom w:val="double" w:color="auto" w:sz="4" w:space="0"/>
            </w:tcBorders>
            <w:vAlign w:val="center"/>
          </w:tcPr>
          <w:p w14:paraId="2BBD17A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序号</w:t>
            </w:r>
          </w:p>
        </w:tc>
        <w:tc>
          <w:tcPr>
            <w:tcW w:w="2202" w:type="pct"/>
            <w:tcBorders>
              <w:top w:val="single" w:color="auto" w:sz="12" w:space="0"/>
              <w:bottom w:val="double" w:color="auto" w:sz="4" w:space="0"/>
            </w:tcBorders>
            <w:vAlign w:val="center"/>
          </w:tcPr>
          <w:p w14:paraId="1041179F">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项目名称</w:t>
            </w:r>
          </w:p>
        </w:tc>
        <w:tc>
          <w:tcPr>
            <w:tcW w:w="1290" w:type="pct"/>
            <w:tcBorders>
              <w:top w:val="single" w:color="auto" w:sz="12" w:space="0"/>
              <w:left w:val="single" w:color="auto" w:sz="4" w:space="0"/>
              <w:bottom w:val="double" w:color="auto" w:sz="4" w:space="0"/>
              <w:right w:val="single" w:color="auto" w:sz="4" w:space="0"/>
            </w:tcBorders>
            <w:vAlign w:val="center"/>
          </w:tcPr>
          <w:p w14:paraId="697F2EE7">
            <w:pPr>
              <w:tabs>
                <w:tab w:val="left" w:pos="7020"/>
              </w:tabs>
              <w:jc w:val="center"/>
              <w:rPr>
                <w:rFonts w:hint="eastAsia" w:ascii="黑体" w:hAnsi="黑体" w:eastAsia="黑体"/>
                <w:b/>
                <w:color w:val="auto"/>
                <w:sz w:val="24"/>
                <w:highlight w:val="none"/>
                <w:lang w:val="en-US" w:eastAsia="zh-CN"/>
              </w:rPr>
            </w:pPr>
            <w:r>
              <w:rPr>
                <w:rFonts w:hint="eastAsia" w:ascii="黑体" w:hAnsi="黑体" w:eastAsia="黑体"/>
                <w:b/>
                <w:color w:val="auto"/>
                <w:sz w:val="24"/>
                <w:highlight w:val="none"/>
              </w:rPr>
              <w:t>项目</w:t>
            </w:r>
            <w:r>
              <w:rPr>
                <w:rFonts w:hint="eastAsia" w:ascii="黑体" w:hAnsi="黑体" w:eastAsia="黑体"/>
                <w:b/>
                <w:color w:val="auto"/>
                <w:sz w:val="24"/>
                <w:highlight w:val="none"/>
                <w:lang w:val="en-US" w:eastAsia="zh-CN"/>
              </w:rPr>
              <w:t>总价</w:t>
            </w:r>
            <w:r>
              <w:rPr>
                <w:rFonts w:hint="eastAsia" w:ascii="黑体" w:hAnsi="黑体" w:eastAsia="黑体"/>
                <w:b/>
                <w:color w:val="auto"/>
                <w:sz w:val="24"/>
                <w:highlight w:val="none"/>
              </w:rPr>
              <w:t>（元）</w:t>
            </w:r>
          </w:p>
        </w:tc>
        <w:tc>
          <w:tcPr>
            <w:tcW w:w="1195" w:type="pct"/>
            <w:tcBorders>
              <w:top w:val="single" w:color="auto" w:sz="12" w:space="0"/>
              <w:left w:val="single" w:color="auto" w:sz="4" w:space="0"/>
              <w:bottom w:val="double" w:color="auto" w:sz="4" w:space="0"/>
              <w:right w:val="single" w:color="auto" w:sz="12" w:space="0"/>
            </w:tcBorders>
            <w:vAlign w:val="center"/>
          </w:tcPr>
          <w:p w14:paraId="5C391E51">
            <w:pPr>
              <w:tabs>
                <w:tab w:val="left" w:pos="7020"/>
              </w:tabs>
              <w:jc w:val="center"/>
              <w:rPr>
                <w:rFonts w:hint="default" w:ascii="黑体" w:hAnsi="黑体" w:eastAsia="黑体"/>
                <w:b/>
                <w:color w:val="auto"/>
                <w:sz w:val="24"/>
                <w:highlight w:val="none"/>
                <w:lang w:val="en-US" w:eastAsia="zh-CN"/>
              </w:rPr>
            </w:pPr>
            <w:r>
              <w:rPr>
                <w:rFonts w:hint="eastAsia" w:ascii="黑体" w:hAnsi="黑体" w:eastAsia="黑体"/>
                <w:b/>
                <w:color w:val="auto"/>
                <w:sz w:val="24"/>
                <w:highlight w:val="none"/>
                <w:lang w:val="en-US" w:eastAsia="zh-CN"/>
              </w:rPr>
              <w:t>备注</w:t>
            </w:r>
          </w:p>
        </w:tc>
      </w:tr>
      <w:tr w14:paraId="09A6E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05" w:hRule="exact"/>
        </w:trPr>
        <w:tc>
          <w:tcPr>
            <w:tcW w:w="311" w:type="pct"/>
            <w:tcBorders>
              <w:top w:val="double" w:color="auto" w:sz="4" w:space="0"/>
              <w:left w:val="single" w:color="auto" w:sz="12" w:space="0"/>
              <w:bottom w:val="double" w:color="auto" w:sz="4" w:space="0"/>
            </w:tcBorders>
            <w:vAlign w:val="center"/>
          </w:tcPr>
          <w:p w14:paraId="1ED4381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1</w:t>
            </w:r>
          </w:p>
        </w:tc>
        <w:tc>
          <w:tcPr>
            <w:tcW w:w="2202" w:type="pct"/>
            <w:tcBorders>
              <w:top w:val="double" w:color="auto" w:sz="4" w:space="0"/>
              <w:bottom w:val="double" w:color="auto" w:sz="4" w:space="0"/>
            </w:tcBorders>
            <w:vAlign w:val="center"/>
          </w:tcPr>
          <w:p w14:paraId="4E78542C">
            <w:pPr>
              <w:tabs>
                <w:tab w:val="left" w:pos="7020"/>
              </w:tabs>
              <w:jc w:val="center"/>
              <w:rPr>
                <w:rFonts w:hint="eastAsia" w:ascii="黑体" w:hAnsi="黑体" w:eastAsia="黑体" w:cs="Times New Roman"/>
                <w:b/>
                <w:color w:val="auto"/>
                <w:sz w:val="24"/>
                <w:highlight w:val="none"/>
                <w:lang w:eastAsia="zh-CN"/>
              </w:rPr>
            </w:pPr>
            <w:r>
              <w:rPr>
                <w:rFonts w:hint="eastAsia" w:ascii="黑体" w:hAnsi="黑体" w:eastAsia="黑体"/>
                <w:b/>
                <w:color w:val="auto"/>
                <w:sz w:val="24"/>
                <w:highlight w:val="none"/>
                <w:lang w:eastAsia="zh-CN"/>
              </w:rPr>
              <w:t>虚拟化平台及基础支撑系统技术服务</w:t>
            </w:r>
          </w:p>
        </w:tc>
        <w:tc>
          <w:tcPr>
            <w:tcW w:w="1290" w:type="pct"/>
            <w:tcBorders>
              <w:top w:val="double" w:color="auto" w:sz="4" w:space="0"/>
              <w:left w:val="single" w:color="auto" w:sz="4" w:space="0"/>
              <w:bottom w:val="double" w:color="auto" w:sz="4" w:space="0"/>
              <w:right w:val="single" w:color="auto" w:sz="4" w:space="0"/>
            </w:tcBorders>
            <w:vAlign w:val="center"/>
          </w:tcPr>
          <w:p w14:paraId="58FFF829">
            <w:pPr>
              <w:tabs>
                <w:tab w:val="left" w:pos="7020"/>
              </w:tabs>
              <w:jc w:val="center"/>
              <w:rPr>
                <w:rFonts w:hint="eastAsia" w:ascii="黑体" w:hAnsi="黑体" w:eastAsia="黑体"/>
                <w:b/>
                <w:color w:val="auto"/>
                <w:sz w:val="24"/>
                <w:highlight w:val="none"/>
                <w:lang w:eastAsia="zh-CN"/>
              </w:rPr>
            </w:pPr>
          </w:p>
        </w:tc>
        <w:tc>
          <w:tcPr>
            <w:tcW w:w="1195" w:type="pct"/>
            <w:tcBorders>
              <w:top w:val="double" w:color="auto" w:sz="4" w:space="0"/>
              <w:left w:val="single" w:color="auto" w:sz="4" w:space="0"/>
              <w:bottom w:val="double" w:color="auto" w:sz="4" w:space="0"/>
              <w:right w:val="single" w:color="auto" w:sz="12" w:space="0"/>
            </w:tcBorders>
            <w:vAlign w:val="center"/>
          </w:tcPr>
          <w:p w14:paraId="3E1EF44A">
            <w:pPr>
              <w:tabs>
                <w:tab w:val="left" w:pos="7020"/>
              </w:tabs>
              <w:jc w:val="center"/>
              <w:rPr>
                <w:rFonts w:hint="default" w:eastAsiaTheme="minorEastAsia"/>
                <w:color w:val="auto"/>
                <w:highlight w:val="none"/>
                <w:lang w:val="en-US" w:eastAsia="zh-CN"/>
              </w:rPr>
            </w:pPr>
          </w:p>
        </w:tc>
      </w:tr>
      <w:tr w14:paraId="77FEC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2514" w:type="pct"/>
            <w:gridSpan w:val="2"/>
            <w:tcBorders>
              <w:top w:val="double" w:color="auto" w:sz="4" w:space="0"/>
              <w:left w:val="single" w:color="auto" w:sz="12" w:space="0"/>
              <w:bottom w:val="single" w:color="auto" w:sz="12" w:space="0"/>
              <w:right w:val="single" w:color="auto" w:sz="4" w:space="0"/>
            </w:tcBorders>
            <w:vAlign w:val="center"/>
          </w:tcPr>
          <w:p w14:paraId="6322DB60">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合计金额（人民币）</w:t>
            </w:r>
          </w:p>
        </w:tc>
        <w:tc>
          <w:tcPr>
            <w:tcW w:w="2485" w:type="pct"/>
            <w:gridSpan w:val="2"/>
            <w:tcBorders>
              <w:top w:val="double" w:color="auto" w:sz="4" w:space="0"/>
              <w:left w:val="single" w:color="auto" w:sz="4" w:space="0"/>
              <w:bottom w:val="single" w:color="auto" w:sz="12" w:space="0"/>
              <w:right w:val="single" w:color="auto" w:sz="12" w:space="0"/>
            </w:tcBorders>
            <w:vAlign w:val="center"/>
          </w:tcPr>
          <w:p w14:paraId="4B46D8FA">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￥（大写）：</w:t>
            </w:r>
          </w:p>
        </w:tc>
      </w:tr>
    </w:tbl>
    <w:p w14:paraId="0408D135">
      <w:pPr>
        <w:spacing w:line="440" w:lineRule="exact"/>
        <w:rPr>
          <w:rFonts w:hint="eastAsia" w:ascii="黑体" w:hAnsi="华文楷体" w:eastAsia="黑体"/>
          <w:color w:val="auto"/>
          <w:sz w:val="24"/>
          <w:highlight w:val="none"/>
        </w:rPr>
      </w:pPr>
    </w:p>
    <w:p w14:paraId="614EA236">
      <w:pPr>
        <w:spacing w:line="440" w:lineRule="exact"/>
        <w:rPr>
          <w:rFonts w:hint="eastAsia" w:ascii="黑体" w:hAnsi="华文楷体" w:eastAsia="黑体"/>
          <w:color w:val="auto"/>
          <w:sz w:val="24"/>
          <w:highlight w:val="none"/>
        </w:rPr>
      </w:pPr>
      <w:r>
        <w:rPr>
          <w:rFonts w:hint="eastAsia" w:ascii="黑体" w:hAnsi="华文楷体" w:eastAsia="黑体"/>
          <w:color w:val="auto"/>
          <w:sz w:val="24"/>
          <w:highlight w:val="none"/>
        </w:rPr>
        <w:t>公司名称（盖章）：委托代理人（签字）：报价日期：年月日</w:t>
      </w:r>
    </w:p>
    <w:p w14:paraId="20B1E828">
      <w:pPr>
        <w:spacing w:line="440" w:lineRule="exact"/>
        <w:rPr>
          <w:rFonts w:hint="eastAsia" w:ascii="黑体" w:hAnsi="华文楷体" w:eastAsia="黑体"/>
          <w:color w:val="auto"/>
          <w:sz w:val="24"/>
          <w:highlight w:val="none"/>
        </w:rPr>
      </w:pPr>
    </w:p>
    <w:p w14:paraId="642407A4">
      <w:pPr>
        <w:rPr>
          <w:rFonts w:hint="eastAsia" w:ascii="黑体" w:hAnsi="华文楷体" w:eastAsia="黑体"/>
          <w:color w:val="auto"/>
          <w:szCs w:val="21"/>
          <w:highlight w:val="none"/>
        </w:rPr>
      </w:pPr>
      <w:r>
        <w:rPr>
          <w:rFonts w:hint="eastAsia" w:ascii="黑体" w:hAnsi="华文楷体" w:eastAsia="黑体"/>
          <w:color w:val="auto"/>
          <w:szCs w:val="21"/>
          <w:highlight w:val="none"/>
        </w:rPr>
        <w:t>报价说明：1、报价公司提供的上述产品，应完全满足或者优于我校提出的需求。</w:t>
      </w:r>
    </w:p>
    <w:p w14:paraId="554618DC">
      <w:pPr>
        <w:rPr>
          <w:rFonts w:hint="eastAsia" w:ascii="黑体" w:hAnsi="华文楷体" w:eastAsia="黑体"/>
          <w:color w:val="auto"/>
          <w:szCs w:val="21"/>
          <w:highlight w:val="none"/>
        </w:rPr>
      </w:pPr>
      <w:r>
        <w:rPr>
          <w:rFonts w:hint="eastAsia" w:ascii="黑体" w:hAnsi="华文楷体" w:eastAsia="黑体"/>
          <w:color w:val="auto"/>
          <w:szCs w:val="21"/>
          <w:highlight w:val="none"/>
        </w:rPr>
        <w:t>2、如属非标配产品，其技术指标（特别是优于我校需求的部分）请另行附页说明。</w:t>
      </w:r>
    </w:p>
    <w:p w14:paraId="7D349A8B">
      <w:pPr>
        <w:rPr>
          <w:rFonts w:hint="eastAsia" w:ascii="黑体" w:hAnsi="华文楷体" w:eastAsia="黑体"/>
          <w:color w:val="auto"/>
          <w:szCs w:val="21"/>
          <w:highlight w:val="none"/>
        </w:rPr>
      </w:pPr>
      <w:r>
        <w:rPr>
          <w:rFonts w:hint="eastAsia" w:ascii="黑体" w:hAnsi="华文楷体" w:eastAsia="黑体"/>
          <w:color w:val="auto"/>
          <w:szCs w:val="21"/>
          <w:highlight w:val="none"/>
        </w:rPr>
        <w:t>3、特殊的售后服务措施、代理证明情况等需要说明的，请另行附页说明。</w:t>
      </w:r>
    </w:p>
    <w:p w14:paraId="6619B28A">
      <w:pPr>
        <w:rPr>
          <w:rFonts w:hint="eastAsia" w:ascii="黑体" w:hAnsi="华文楷体" w:eastAsia="黑体"/>
          <w:color w:val="auto"/>
          <w:szCs w:val="21"/>
          <w:highlight w:val="none"/>
        </w:rPr>
      </w:pPr>
      <w:r>
        <w:rPr>
          <w:rFonts w:hint="eastAsia" w:ascii="黑体" w:hAnsi="华文楷体" w:eastAsia="黑体"/>
          <w:color w:val="auto"/>
          <w:szCs w:val="21"/>
          <w:highlight w:val="none"/>
        </w:rPr>
        <w:t>4、报价单附页（如有）共页。</w:t>
      </w:r>
    </w:p>
    <w:p w14:paraId="02E355A4">
      <w:pP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br w:type="page"/>
      </w:r>
    </w:p>
    <w:p w14:paraId="66593191">
      <w:pPr>
        <w:spacing w:after="157" w:afterLines="50"/>
        <w:jc w:val="cente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t>报价承诺函</w:t>
      </w:r>
    </w:p>
    <w:p w14:paraId="06CF8257">
      <w:pPr>
        <w:spacing w:after="157" w:afterLines="5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致：</w:t>
      </w:r>
      <w:r>
        <w:rPr>
          <w:rFonts w:hint="eastAsia" w:ascii="仿宋" w:hAnsi="仿宋" w:eastAsia="仿宋" w:cs="宋体"/>
          <w:color w:val="auto"/>
          <w:sz w:val="24"/>
          <w:highlight w:val="none"/>
        </w:rPr>
        <w:t>上海海事大学</w:t>
      </w:r>
    </w:p>
    <w:p w14:paraId="61C7F4FB">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lang w:val="zh-CN"/>
        </w:rPr>
        <w:t>我</w:t>
      </w:r>
      <w:r>
        <w:rPr>
          <w:rFonts w:ascii="仿宋" w:hAnsi="仿宋" w:eastAsia="仿宋" w:cs="宋体"/>
          <w:color w:val="auto"/>
          <w:sz w:val="24"/>
          <w:highlight w:val="none"/>
          <w:lang w:val="zh-CN"/>
        </w:rPr>
        <w:t>公司在参加本次</w:t>
      </w:r>
      <w:r>
        <w:rPr>
          <w:rFonts w:hint="eastAsia" w:ascii="仿宋" w:hAnsi="仿宋" w:eastAsia="仿宋" w:cs="宋体"/>
          <w:color w:val="auto"/>
          <w:sz w:val="24"/>
          <w:highlight w:val="none"/>
        </w:rPr>
        <w:t>比选采购</w:t>
      </w:r>
      <w:r>
        <w:rPr>
          <w:rFonts w:ascii="仿宋" w:hAnsi="仿宋" w:eastAsia="仿宋" w:cs="宋体"/>
          <w:color w:val="auto"/>
          <w:sz w:val="24"/>
          <w:highlight w:val="none"/>
          <w:lang w:val="zh-CN"/>
        </w:rPr>
        <w:t>活动中，</w:t>
      </w:r>
      <w:r>
        <w:rPr>
          <w:rFonts w:hint="eastAsia" w:ascii="仿宋" w:hAnsi="仿宋" w:eastAsia="仿宋" w:cs="宋体"/>
          <w:color w:val="auto"/>
          <w:sz w:val="24"/>
          <w:highlight w:val="none"/>
          <w:lang w:val="zh-CN"/>
        </w:rPr>
        <w:t>做出如下</w:t>
      </w:r>
      <w:r>
        <w:rPr>
          <w:rFonts w:ascii="仿宋" w:hAnsi="仿宋" w:eastAsia="仿宋" w:cs="宋体"/>
          <w:color w:val="auto"/>
          <w:sz w:val="24"/>
          <w:highlight w:val="none"/>
          <w:lang w:val="zh-CN"/>
        </w:rPr>
        <w:t>承诺：</w:t>
      </w:r>
    </w:p>
    <w:p w14:paraId="4F0E35E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一、</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具备独立法人资格，能够独立承担民事责任。</w:t>
      </w:r>
    </w:p>
    <w:p w14:paraId="6F37786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二、我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财务状况良好，具备履行合同所需资金实力。</w:t>
      </w:r>
    </w:p>
    <w:p w14:paraId="3E13B155">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三、我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拥有履行项目所需的专业技术人员和先进的生产设备。</w:t>
      </w:r>
    </w:p>
    <w:p w14:paraId="1486EB83">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四、我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依法纳税，并按时缴纳社会保险费。</w:t>
      </w:r>
    </w:p>
    <w:p w14:paraId="1705CE12">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五、我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在最近三年内无任何违法违规行为，信誉良好。</w:t>
      </w:r>
    </w:p>
    <w:p w14:paraId="54BF34F8">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六、我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完全符合政府采购法及其他相关法律法规的规定。</w:t>
      </w:r>
    </w:p>
    <w:p w14:paraId="46600348">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七</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公司提供的相关文件均真实、有效。</w:t>
      </w:r>
    </w:p>
    <w:p w14:paraId="6C6ABE4A">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八、我</w:t>
      </w:r>
      <w:r>
        <w:rPr>
          <w:rFonts w:hint="eastAsia" w:ascii="仿宋" w:hAnsi="仿宋" w:eastAsia="仿宋" w:cs="宋体"/>
          <w:color w:val="auto"/>
          <w:sz w:val="24"/>
          <w:highlight w:val="none"/>
          <w:lang w:val="zh-CN"/>
        </w:rPr>
        <w:t>公司未挂靠、借用资质进行投标等违法违规行为。</w:t>
      </w:r>
    </w:p>
    <w:p w14:paraId="5613149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九、</w:t>
      </w:r>
      <w:r>
        <w:rPr>
          <w:rFonts w:hint="eastAsia" w:ascii="仿宋" w:hAnsi="仿宋" w:eastAsia="仿宋" w:cs="宋体"/>
          <w:color w:val="auto"/>
          <w:sz w:val="24"/>
          <w:highlight w:val="none"/>
          <w:lang w:val="zh-CN"/>
        </w:rPr>
        <w:t>我公司承诺在参加本</w:t>
      </w:r>
      <w:r>
        <w:rPr>
          <w:rFonts w:hint="eastAsia" w:ascii="仿宋" w:hAnsi="仿宋" w:eastAsia="仿宋" w:cs="宋体"/>
          <w:color w:val="auto"/>
          <w:sz w:val="24"/>
          <w:highlight w:val="none"/>
        </w:rPr>
        <w:t>次</w:t>
      </w:r>
      <w:r>
        <w:rPr>
          <w:rFonts w:hint="eastAsia" w:ascii="仿宋" w:hAnsi="仿宋" w:eastAsia="仿宋" w:cs="宋体"/>
          <w:color w:val="auto"/>
          <w:sz w:val="24"/>
          <w:highlight w:val="none"/>
          <w:lang w:val="zh-CN"/>
        </w:rPr>
        <w:t>采购活动中，</w:t>
      </w:r>
      <w:r>
        <w:rPr>
          <w:rFonts w:hint="eastAsia" w:ascii="仿宋" w:hAnsi="仿宋" w:eastAsia="仿宋" w:cs="宋体"/>
          <w:color w:val="auto"/>
          <w:sz w:val="24"/>
          <w:highlight w:val="none"/>
        </w:rPr>
        <w:t>不存在串标围标行为</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不存在</w:t>
      </w:r>
      <w:r>
        <w:rPr>
          <w:rFonts w:hint="eastAsia" w:ascii="仿宋" w:hAnsi="仿宋" w:eastAsia="仿宋" w:cs="宋体"/>
          <w:color w:val="auto"/>
          <w:sz w:val="24"/>
          <w:highlight w:val="none"/>
          <w:lang w:val="zh-CN"/>
        </w:rPr>
        <w:t>损害</w:t>
      </w:r>
      <w:r>
        <w:rPr>
          <w:rFonts w:hint="eastAsia" w:ascii="仿宋" w:hAnsi="仿宋" w:eastAsia="仿宋" w:cs="宋体"/>
          <w:color w:val="auto"/>
          <w:sz w:val="24"/>
          <w:highlight w:val="none"/>
        </w:rPr>
        <w:t>校方</w:t>
      </w:r>
      <w:r>
        <w:rPr>
          <w:rFonts w:hint="eastAsia" w:ascii="仿宋" w:hAnsi="仿宋" w:eastAsia="仿宋" w:cs="宋体"/>
          <w:color w:val="auto"/>
          <w:sz w:val="24"/>
          <w:highlight w:val="none"/>
          <w:lang w:val="zh-CN"/>
        </w:rPr>
        <w:t>或者其他</w:t>
      </w:r>
      <w:r>
        <w:rPr>
          <w:rFonts w:hint="eastAsia" w:ascii="仿宋" w:hAnsi="仿宋" w:eastAsia="仿宋" w:cs="宋体"/>
          <w:color w:val="auto"/>
          <w:sz w:val="24"/>
          <w:highlight w:val="none"/>
        </w:rPr>
        <w:t>报价单位</w:t>
      </w:r>
      <w:r>
        <w:rPr>
          <w:rFonts w:hint="eastAsia" w:ascii="仿宋" w:hAnsi="仿宋" w:eastAsia="仿宋" w:cs="宋体"/>
          <w:color w:val="auto"/>
          <w:sz w:val="24"/>
          <w:highlight w:val="none"/>
          <w:lang w:val="zh-CN"/>
        </w:rPr>
        <w:t>利益的行为。</w:t>
      </w:r>
    </w:p>
    <w:p w14:paraId="350AD56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十、</w:t>
      </w:r>
      <w:r>
        <w:rPr>
          <w:rFonts w:hint="eastAsia" w:ascii="仿宋" w:hAnsi="仿宋" w:eastAsia="仿宋" w:cs="宋体"/>
          <w:color w:val="auto"/>
          <w:sz w:val="24"/>
          <w:highlight w:val="none"/>
          <w:lang w:val="zh-CN"/>
        </w:rPr>
        <w:t>我</w:t>
      </w:r>
      <w:r>
        <w:rPr>
          <w:rFonts w:hint="eastAsia" w:ascii="仿宋" w:hAnsi="仿宋" w:eastAsia="仿宋" w:cs="宋体"/>
          <w:color w:val="auto"/>
          <w:sz w:val="24"/>
          <w:highlight w:val="none"/>
        </w:rPr>
        <w:t>公司管理层中</w:t>
      </w:r>
      <w:r>
        <w:rPr>
          <w:rFonts w:hint="eastAsia" w:ascii="仿宋" w:hAnsi="仿宋" w:eastAsia="仿宋" w:cs="宋体"/>
          <w:color w:val="auto"/>
          <w:sz w:val="24"/>
          <w:highlight w:val="none"/>
          <w:lang w:val="zh-CN"/>
        </w:rPr>
        <w:t>没有从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离职或退休3年以内的人员担任控股股东或实际控股人、董事、监事，也没有聘用从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w:t>
      </w:r>
    </w:p>
    <w:p w14:paraId="7BAAA33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我公司保证上述声明真实无误，如有不实，愿承担相应法律责任。</w:t>
      </w:r>
    </w:p>
    <w:p w14:paraId="5C4569E6">
      <w:pPr>
        <w:spacing w:after="157" w:afterLines="50"/>
        <w:rPr>
          <w:rFonts w:hint="eastAsia" w:ascii="仿宋" w:hAnsi="仿宋" w:eastAsia="仿宋" w:cs="宋体"/>
          <w:color w:val="auto"/>
          <w:sz w:val="24"/>
          <w:highlight w:val="none"/>
          <w:lang w:val="zh-CN"/>
        </w:rPr>
      </w:pPr>
    </w:p>
    <w:p w14:paraId="6DFC7771">
      <w:pPr>
        <w:spacing w:after="157" w:afterLines="50"/>
        <w:rPr>
          <w:rFonts w:hint="eastAsia" w:ascii="黑体" w:hAnsi="华文楷体" w:eastAsia="黑体"/>
          <w:b/>
          <w:bCs/>
          <w:color w:val="auto"/>
          <w:sz w:val="32"/>
          <w:szCs w:val="32"/>
          <w:highlight w:val="none"/>
        </w:rPr>
      </w:pPr>
      <w:r>
        <w:rPr>
          <w:rFonts w:hint="eastAsia" w:ascii="黑体" w:hAnsi="华文楷体" w:eastAsia="黑体"/>
          <w:color w:val="auto"/>
          <w:sz w:val="24"/>
          <w:highlight w:val="none"/>
        </w:rPr>
        <w:t>公司名称（盖章）：委托代理人（签字）：</w:t>
      </w:r>
    </w:p>
    <w:p w14:paraId="097F108E">
      <w:pPr>
        <w:pStyle w:val="5"/>
        <w:rPr>
          <w:rFonts w:hint="eastAsia" w:ascii="方正兰亭黑简体" w:hAnsi="方正兰亭黑简体" w:eastAsia="方正兰亭黑简体" w:cs="方正兰亭黑简体"/>
          <w:color w:val="auto"/>
          <w:sz w:val="22"/>
          <w:szCs w:val="28"/>
          <w:highlight w:val="none"/>
        </w:rPr>
      </w:pPr>
    </w:p>
    <w:p w14:paraId="6AAADDA4">
      <w:pPr>
        <w:pStyle w:val="5"/>
        <w:rPr>
          <w:rFonts w:hint="eastAsia" w:ascii="方正兰亭黑简体" w:hAnsi="方正兰亭黑简体" w:eastAsia="方正兰亭黑简体" w:cs="方正兰亭黑简体"/>
          <w:color w:val="auto"/>
          <w:sz w:val="22"/>
          <w:szCs w:val="28"/>
          <w:highlight w:val="none"/>
        </w:rPr>
      </w:pPr>
    </w:p>
    <w:p w14:paraId="3805D66A">
      <w:pPr>
        <w:jc w:val="left"/>
        <w:rPr>
          <w:rFonts w:hint="eastAsia" w:ascii="方正兰亭黑简体" w:hAnsi="方正兰亭黑简体" w:eastAsia="方正兰亭黑简体" w:cs="方正兰亭黑简体"/>
          <w:color w:val="auto"/>
          <w:sz w:val="22"/>
          <w:szCs w:val="28"/>
          <w:highlight w:val="none"/>
        </w:rPr>
        <w:sectPr>
          <w:pgSz w:w="11906" w:h="16838"/>
          <w:pgMar w:top="1440" w:right="1083" w:bottom="1440" w:left="1083" w:header="851" w:footer="992" w:gutter="0"/>
          <w:cols w:space="0" w:num="1"/>
          <w:docGrid w:type="lines" w:linePitch="314" w:charSpace="0"/>
        </w:sectPr>
      </w:pPr>
    </w:p>
    <w:p w14:paraId="52FF6152">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附件2：其他材料</w:t>
      </w:r>
    </w:p>
    <w:p w14:paraId="2A456533">
      <w:pPr>
        <w:pStyle w:val="4"/>
        <w:ind w:left="0" w:leftChars="0"/>
        <w:rPr>
          <w:color w:val="auto"/>
          <w:highlight w:val="none"/>
        </w:rPr>
      </w:pPr>
      <w:r>
        <w:rPr>
          <w:rFonts w:hint="eastAsia" w:ascii="方正兰亭黑简体" w:hAnsi="方正兰亭黑简体" w:eastAsia="方正兰亭黑简体" w:cs="方正兰亭黑简体"/>
          <w:color w:val="auto"/>
          <w:sz w:val="22"/>
          <w:szCs w:val="28"/>
          <w:highlight w:val="none"/>
        </w:rPr>
        <w:t>包括但不限于：</w:t>
      </w:r>
    </w:p>
    <w:p w14:paraId="43482A45">
      <w:pPr>
        <w:pStyle w:val="4"/>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1、营业执照扫描件</w:t>
      </w:r>
    </w:p>
    <w:p w14:paraId="428A839D">
      <w:pPr>
        <w:pStyle w:val="4"/>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2</w:t>
      </w:r>
      <w:r>
        <w:rPr>
          <w:rFonts w:hint="eastAsia" w:ascii="方正兰亭黑简体" w:hAnsi="方正兰亭黑简体" w:eastAsia="方正兰亭黑简体" w:cs="方正兰亭黑简体"/>
          <w:color w:val="auto"/>
          <w:sz w:val="22"/>
          <w:szCs w:val="28"/>
          <w:highlight w:val="none"/>
        </w:rPr>
        <w:t>、项目服务方案（产品介绍）及实施计划</w:t>
      </w:r>
    </w:p>
    <w:p w14:paraId="56E8031D">
      <w:pPr>
        <w:pStyle w:val="4"/>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3、</w:t>
      </w:r>
      <w:r>
        <w:rPr>
          <w:rFonts w:hint="eastAsia" w:ascii="方正兰亭黑简体" w:hAnsi="方正兰亭黑简体" w:eastAsia="方正兰亭黑简体" w:cs="方正兰亭黑简体"/>
          <w:color w:val="auto"/>
          <w:sz w:val="22"/>
          <w:szCs w:val="28"/>
          <w:highlight w:val="none"/>
        </w:rPr>
        <w:t>服务团队介绍</w:t>
      </w:r>
    </w:p>
    <w:p w14:paraId="1DCC4AA6">
      <w:pPr>
        <w:pStyle w:val="4"/>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4</w:t>
      </w:r>
      <w:r>
        <w:rPr>
          <w:rFonts w:hint="eastAsia" w:ascii="方正兰亭黑简体" w:hAnsi="方正兰亭黑简体" w:eastAsia="方正兰亭黑简体" w:cs="方正兰亭黑简体"/>
          <w:color w:val="auto"/>
          <w:sz w:val="22"/>
          <w:szCs w:val="28"/>
          <w:highlight w:val="none"/>
        </w:rPr>
        <w:t>、服务保障承诺</w:t>
      </w:r>
    </w:p>
    <w:p w14:paraId="41589759">
      <w:pPr>
        <w:pStyle w:val="4"/>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5</w:t>
      </w:r>
      <w:r>
        <w:rPr>
          <w:rFonts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rPr>
        <w:t>业绩案例</w:t>
      </w:r>
    </w:p>
    <w:p w14:paraId="7EB31163">
      <w:pPr>
        <w:pStyle w:val="4"/>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6、其他所必需的相关材料</w:t>
      </w:r>
    </w:p>
    <w:sectPr>
      <w:pgSz w:w="11906" w:h="16838"/>
      <w:pgMar w:top="1440" w:right="1083" w:bottom="1440" w:left="1083"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EF1028-CE2A-4914-8E60-128069A4A5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7ADA4953-012C-43E5-89A3-B103A1F6435F}"/>
  </w:font>
  <w:font w:name="仿宋">
    <w:panose1 w:val="02010609060101010101"/>
    <w:charset w:val="86"/>
    <w:family w:val="modern"/>
    <w:pitch w:val="default"/>
    <w:sig w:usb0="800002BF" w:usb1="38CF7CFA" w:usb2="00000016" w:usb3="00000000" w:csb0="00040001" w:csb1="00000000"/>
    <w:embedRegular r:id="rId3" w:fontKey="{19E123AE-0E9A-489E-A796-FADDFD67CF14}"/>
  </w:font>
  <w:font w:name="方正兰亭黑简体">
    <w:panose1 w:val="02000000000000000000"/>
    <w:charset w:val="86"/>
    <w:family w:val="auto"/>
    <w:pitch w:val="default"/>
    <w:sig w:usb0="A00002BF" w:usb1="184F6CFA" w:usb2="00000012" w:usb3="00000000" w:csb0="00040001" w:csb1="00000000"/>
    <w:embedRegular r:id="rId4" w:fontKey="{54FC433C-F737-4F9F-A7EE-0A80B04D6ED7}"/>
  </w:font>
  <w:font w:name="微软雅黑">
    <w:panose1 w:val="020B0503020204020204"/>
    <w:charset w:val="86"/>
    <w:family w:val="auto"/>
    <w:pitch w:val="default"/>
    <w:sig w:usb0="80000287" w:usb1="2ACF3C50" w:usb2="00000016" w:usb3="00000000" w:csb0="0004001F" w:csb1="00000000"/>
    <w:embedRegular r:id="rId5" w:fontKey="{78569665-10DB-4B24-ACB9-1C4DF5DBE8C3}"/>
  </w:font>
  <w:font w:name="华文楷体">
    <w:panose1 w:val="02010600040101010101"/>
    <w:charset w:val="86"/>
    <w:family w:val="auto"/>
    <w:pitch w:val="default"/>
    <w:sig w:usb0="00000287" w:usb1="080F0000" w:usb2="00000000" w:usb3="00000000" w:csb0="0004009F" w:csb1="DFD70000"/>
    <w:embedRegular r:id="rId6" w:fontKey="{F4C58520-E656-40D5-AC9F-CE6295A12C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6DE9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1" name="文本框 2"/>
              <wp:cNvGraphicFramePr/>
              <a:graphic xmlns:a="http://schemas.openxmlformats.org/drawingml/2006/main">
                <a:graphicData uri="http://schemas.microsoft.com/office/word/2010/wordprocessingShape">
                  <wps:wsp>
                    <wps:cNvSpPr txBox="1"/>
                    <wps:spPr>
                      <a:xfrm>
                        <a:off x="0" y="0"/>
                        <a:ext cx="859155" cy="147955"/>
                      </a:xfrm>
                      <a:prstGeom prst="rect">
                        <a:avLst/>
                      </a:prstGeom>
                      <a:noFill/>
                      <a:ln w="6350">
                        <a:noFill/>
                      </a:ln>
                    </wps:spPr>
                    <wps:txbx>
                      <w:txbxContent>
                        <w:p w14:paraId="1C75E4AA">
                          <w:pPr>
                            <w:pStyle w:val="7"/>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1.65pt;width:67.65pt;mso-position-horizontal:center;mso-position-horizontal-relative:margin;mso-wrap-style:none;z-index:251659264;mso-width-relative:page;mso-height-relative:page;" filled="f" stroked="f" coordsize="21600,21600" o:gfxdata="UEsDBAoAAAAAAIdO4kAAAAAAAAAAAAAAAAAEAAAAZHJzL1BLAwQUAAAACACHTuJAFS000NMAAAAE&#10;AQAADwAAAGRycy9kb3ducmV2LnhtbE2PwU7DMBBE70j9B2srcaNOa0AojVOpVcMRiYYDRzfeJgF7&#10;HdluGv4elwu9rDSa0czbYjNZw0b0oXckYbnIgCE1TvfUSvioq4cXYCEq0so4Qgk/GGBTzu4KlWt3&#10;oXccD7FlqYRCriR0MQ4556Hp0KqwcANS8k7OWxWT9C3XXl1SuTV8lWXP3Kqe0kKnBtx12HwfzlbC&#10;rqprP2Lw5hNfK/H1tn3E/STl/XyZrYFFnOJ/GK74CR3KxHR0Z9KBGQnpkfh3r554EsCOElZCAC8L&#10;fgtf/gJQSwMEFAAAAAgAh07iQLIjnDUwAgAAUwQAAA4AAABkcnMvZTJvRG9jLnhtbK1UzW4TMRC+&#10;I/EOlu9kk0BKu8qmCo2CkCpaKSDOjtebXcl/sp3shgeAN+DUC3eeK8/B5/1JUeHQAxdndmb8zXzf&#10;jDO/bpQkB+F8ZXRGJ6MxJUJzk1d6l9HPn9avLinxgemcSaNFRo/C0+vFyxfz2qZiakojc+EIQLRP&#10;a5vRMgSbJonnpVDMj4wVGsHCOMUCPt0uyR2rga5kMh2PL5LauNw6w4X38K66IO0R3XMATVFUXKwM&#10;3yuhQ4fqhGQBlHxZWU8XbbdFIXi4KwovApEZBdPQnigCexvPZDFn6c4xW1a8b4E9p4UnnBSrNIqe&#10;oVYsMLJ31V9QquLOeFOEETcq6Yi0ioDFZPxEm03JrGi5QGpvz6L7/wfLPx7uHalybAIlmikM/PTj&#10;++nh1+nnNzKN8tTWp8jaWOSF5p1pYmrv93BG1k3hVPwFH4I4xD2exRVNIBzOy9nVZDajhCM0efP2&#10;CjZQksfL1vnwXhhFopFRh9m1krLDrQ9d6pASa2mzrqSEn6VSkzqjF69n4/bCOQJwqVEjUuhajVZo&#10;tk3f/9bkR9ByptsLb/m6QvFb5sM9c1gEMMFTCXc4CmlQxPQWJaVxX//lj/mYD6KU1FisjGq8I0rk&#10;B425xR0cDDcY28HQe3VjsKmYBXppTVxwQQ5m4Yz6gvezjDUQYpqjUkbDYN6Ebrnx/rhYLtskbJpl&#10;4VZvLI/QUTFvl/sAAVtdoyidEr1W2LV2Mv27iMv853eb9f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S000NMAAAAEAQAADwAAAAAAAAABACAAAAAiAAAAZHJzL2Rvd25yZXYueG1sUEsBAhQA&#10;FAAAAAgAh07iQLIjnDUwAgAAUwQAAA4AAAAAAAAAAQAgAAAAIgEAAGRycy9lMm9Eb2MueG1sUEsF&#10;BgAAAAAGAAYAWQEAAMQFAAAAAA==&#10;">
              <v:fill on="f" focussize="0,0"/>
              <v:stroke on="f" weight="0.5pt"/>
              <v:imagedata o:title=""/>
              <o:lock v:ext="edit" aspectratio="f"/>
              <v:textbox inset="0mm,0mm,0mm,0mm" style="mso-fit-shape-to-text:t;">
                <w:txbxContent>
                  <w:p w14:paraId="1C75E4AA">
                    <w:pPr>
                      <w:pStyle w:val="7"/>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2EBEB"/>
    <w:multiLevelType w:val="singleLevel"/>
    <w:tmpl w:val="E8D2EBEB"/>
    <w:lvl w:ilvl="0" w:tentative="0">
      <w:start w:val="2"/>
      <w:numFmt w:val="decimal"/>
      <w:suff w:val="nothing"/>
      <w:lvlText w:val="%1、"/>
      <w:lvlJc w:val="left"/>
    </w:lvl>
  </w:abstractNum>
  <w:abstractNum w:abstractNumId="1">
    <w:nsid w:val="009A3A12"/>
    <w:multiLevelType w:val="multilevel"/>
    <w:tmpl w:val="009A3A1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4CA395B"/>
    <w:multiLevelType w:val="multilevel"/>
    <w:tmpl w:val="14CA395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18551D64"/>
    <w:multiLevelType w:val="multilevel"/>
    <w:tmpl w:val="18551D6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33F6D1B"/>
    <w:multiLevelType w:val="multilevel"/>
    <w:tmpl w:val="233F6D1B"/>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C352CC4"/>
    <w:multiLevelType w:val="multilevel"/>
    <w:tmpl w:val="2C352CC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CDD17B3"/>
    <w:multiLevelType w:val="multilevel"/>
    <w:tmpl w:val="3CDD17B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3DDC67BB"/>
    <w:multiLevelType w:val="multilevel"/>
    <w:tmpl w:val="3DDC67BB"/>
    <w:lvl w:ilvl="0" w:tentative="0">
      <w:start w:val="1"/>
      <w:numFmt w:val="chineseCountingThousand"/>
      <w:lvlText w:val="%1、"/>
      <w:lvlJc w:val="left"/>
      <w:pPr>
        <w:ind w:left="440" w:hanging="440"/>
      </w:pPr>
    </w:lvl>
    <w:lvl w:ilvl="1" w:tentative="0">
      <w:start w:val="1"/>
      <w:numFmt w:val="decimal"/>
      <w:lvlText w:val="%2."/>
      <w:lvlJc w:val="left"/>
      <w:pPr>
        <w:ind w:left="860" w:hanging="4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72422780"/>
    <w:multiLevelType w:val="multilevel"/>
    <w:tmpl w:val="7242278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2"/>
  </w:num>
  <w:num w:numId="3">
    <w:abstractNumId w:val="7"/>
  </w:num>
  <w:num w:numId="4">
    <w:abstractNumId w:val="8"/>
  </w:num>
  <w:num w:numId="5">
    <w:abstractNumId w:val="6"/>
  </w:num>
  <w:num w:numId="6">
    <w:abstractNumId w:val="5"/>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A3"/>
    <w:rsid w:val="000E4CA3"/>
    <w:rsid w:val="001B052D"/>
    <w:rsid w:val="001B1952"/>
    <w:rsid w:val="00283B3F"/>
    <w:rsid w:val="00325073"/>
    <w:rsid w:val="00572733"/>
    <w:rsid w:val="00595CBB"/>
    <w:rsid w:val="006030E1"/>
    <w:rsid w:val="007F3014"/>
    <w:rsid w:val="00836506"/>
    <w:rsid w:val="00C97D62"/>
    <w:rsid w:val="00DB0393"/>
    <w:rsid w:val="00DC509B"/>
    <w:rsid w:val="00E754B4"/>
    <w:rsid w:val="00F2174E"/>
    <w:rsid w:val="02675436"/>
    <w:rsid w:val="029C08D4"/>
    <w:rsid w:val="071657EB"/>
    <w:rsid w:val="08B545A5"/>
    <w:rsid w:val="092F2754"/>
    <w:rsid w:val="0B7D7F96"/>
    <w:rsid w:val="13353790"/>
    <w:rsid w:val="13CA7CE9"/>
    <w:rsid w:val="157E6317"/>
    <w:rsid w:val="19F06820"/>
    <w:rsid w:val="1E596D71"/>
    <w:rsid w:val="23465AE2"/>
    <w:rsid w:val="24050543"/>
    <w:rsid w:val="26883166"/>
    <w:rsid w:val="269F2B16"/>
    <w:rsid w:val="2FB07FD7"/>
    <w:rsid w:val="317D7420"/>
    <w:rsid w:val="331671BF"/>
    <w:rsid w:val="33B3033B"/>
    <w:rsid w:val="33DD0342"/>
    <w:rsid w:val="34416E25"/>
    <w:rsid w:val="35906085"/>
    <w:rsid w:val="3A9852E0"/>
    <w:rsid w:val="3CD56D74"/>
    <w:rsid w:val="3CFB44C3"/>
    <w:rsid w:val="3D6469F5"/>
    <w:rsid w:val="3EB44731"/>
    <w:rsid w:val="3FCC680A"/>
    <w:rsid w:val="3FDF48A5"/>
    <w:rsid w:val="40115E5B"/>
    <w:rsid w:val="40134FEB"/>
    <w:rsid w:val="41007DAA"/>
    <w:rsid w:val="438704B0"/>
    <w:rsid w:val="44E73D39"/>
    <w:rsid w:val="480A63EB"/>
    <w:rsid w:val="487158D1"/>
    <w:rsid w:val="488E3B06"/>
    <w:rsid w:val="48F25244"/>
    <w:rsid w:val="4CCA439B"/>
    <w:rsid w:val="4D0D4ED5"/>
    <w:rsid w:val="4E047438"/>
    <w:rsid w:val="4EFD134C"/>
    <w:rsid w:val="53F3317F"/>
    <w:rsid w:val="543D6D6A"/>
    <w:rsid w:val="58C4549A"/>
    <w:rsid w:val="5AEA704B"/>
    <w:rsid w:val="5C376D46"/>
    <w:rsid w:val="5DF2219B"/>
    <w:rsid w:val="5E8720EC"/>
    <w:rsid w:val="5EE9209B"/>
    <w:rsid w:val="5F44384A"/>
    <w:rsid w:val="5F5C0960"/>
    <w:rsid w:val="60BF2A71"/>
    <w:rsid w:val="63887FE1"/>
    <w:rsid w:val="63F161B6"/>
    <w:rsid w:val="654D0F67"/>
    <w:rsid w:val="66D3234F"/>
    <w:rsid w:val="66E533C4"/>
    <w:rsid w:val="681A51E0"/>
    <w:rsid w:val="695E3370"/>
    <w:rsid w:val="699D5EE7"/>
    <w:rsid w:val="6A660877"/>
    <w:rsid w:val="6B99520C"/>
    <w:rsid w:val="6BBB5EA1"/>
    <w:rsid w:val="6BE91536"/>
    <w:rsid w:val="71E94098"/>
    <w:rsid w:val="76C311C1"/>
    <w:rsid w:val="778A5BDE"/>
    <w:rsid w:val="7A1F0BD5"/>
    <w:rsid w:val="7A92721C"/>
    <w:rsid w:val="7CFA5264"/>
    <w:rsid w:val="7E4E1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rPr>
      <w:kern w:val="0"/>
      <w:sz w:val="20"/>
      <w:szCs w:val="20"/>
    </w:rPr>
  </w:style>
  <w:style w:type="paragraph" w:styleId="3">
    <w:name w:val="Body Text"/>
    <w:basedOn w:val="1"/>
    <w:next w:val="1"/>
    <w:qFormat/>
    <w:uiPriority w:val="0"/>
    <w:pPr>
      <w:spacing w:after="120"/>
    </w:pPr>
  </w:style>
  <w:style w:type="paragraph" w:styleId="4">
    <w:name w:val="Body Text Indent"/>
    <w:basedOn w:val="1"/>
    <w:qFormat/>
    <w:uiPriority w:val="0"/>
    <w:pPr>
      <w:ind w:left="420" w:leftChars="200"/>
    </w:pPr>
  </w:style>
  <w:style w:type="paragraph" w:styleId="5">
    <w:name w:val="Plain Text"/>
    <w:basedOn w:val="1"/>
    <w:qFormat/>
    <w:uiPriority w:val="0"/>
    <w:rPr>
      <w:rFonts w:ascii="宋体" w:hAnsi="Courier New"/>
    </w:rPr>
  </w:style>
  <w:style w:type="paragraph" w:styleId="6">
    <w:name w:val="Body Text Indent 2"/>
    <w:basedOn w:val="1"/>
    <w:unhideWhenUsed/>
    <w:qFormat/>
    <w:uiPriority w:val="0"/>
    <w:pPr>
      <w:ind w:firstLine="540"/>
    </w:pPr>
    <w:rPr>
      <w:rFonts w:ascii="Calibri" w:hAnsi="Calibri"/>
      <w:sz w:val="2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unhideWhenUsed/>
    <w:qFormat/>
    <w:uiPriority w:val="39"/>
    <w:rPr>
      <w:rFonts w:ascii="Calibri" w:hAnsi="Calibri" w:eastAsia="宋体" w:cs="Times New Roman"/>
    </w:rPr>
  </w:style>
  <w:style w:type="paragraph" w:styleId="10">
    <w:name w:val="Body Text Indent 3"/>
    <w:basedOn w:val="1"/>
    <w:qFormat/>
    <w:uiPriority w:val="0"/>
    <w:pPr>
      <w:ind w:firstLine="600" w:firstLineChars="200"/>
    </w:pPr>
    <w:rPr>
      <w:color w:val="FF0000"/>
      <w:sz w:val="30"/>
      <w:szCs w:val="20"/>
    </w:rPr>
  </w:style>
  <w:style w:type="paragraph" w:styleId="11">
    <w:name w:val="Body Text 2"/>
    <w:basedOn w:val="1"/>
    <w:qFormat/>
    <w:uiPriority w:val="0"/>
    <w:pPr>
      <w:spacing w:after="120" w:line="480" w:lineRule="auto"/>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3"/>
    <w:qFormat/>
    <w:uiPriority w:val="0"/>
    <w:pPr>
      <w:widowControl/>
      <w:ind w:firstLine="420" w:firstLineChars="100"/>
      <w:jc w:val="left"/>
    </w:pPr>
    <w:rPr>
      <w:rFonts w:asci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basedOn w:val="16"/>
    <w:unhideWhenUsed/>
    <w:qFormat/>
    <w:uiPriority w:val="99"/>
    <w:rPr>
      <w:color w:val="0000FF"/>
      <w:u w:val="single"/>
    </w:rPr>
  </w:style>
  <w:style w:type="paragraph" w:customStyle="1" w:styleId="19">
    <w:name w:val="列表段落1"/>
    <w:basedOn w:val="1"/>
    <w:qFormat/>
    <w:uiPriority w:val="0"/>
    <w:pPr>
      <w:ind w:firstLine="420" w:firstLineChars="200"/>
    </w:pPr>
  </w:style>
  <w:style w:type="paragraph" w:customStyle="1" w:styleId="20">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character" w:customStyle="1" w:styleId="21">
    <w:name w:val="15"/>
    <w:basedOn w:val="16"/>
    <w:qFormat/>
    <w:uiPriority w:val="0"/>
    <w:rPr>
      <w:rFonts w:hint="default" w:ascii="Calibri" w:hAnsi="Calibri" w:cs="Calibri"/>
      <w:b/>
      <w:bCs/>
    </w:rPr>
  </w:style>
  <w:style w:type="paragraph" w:styleId="22">
    <w:name w:val="List Paragraph"/>
    <w:basedOn w:val="1"/>
    <w:qFormat/>
    <w:uiPriority w:val="34"/>
    <w:pPr>
      <w:ind w:left="720"/>
      <w:contextualSpacing/>
    </w:p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表格正文内容"/>
    <w:basedOn w:val="1"/>
    <w:next w:val="1"/>
    <w:autoRedefine/>
    <w:qFormat/>
    <w:uiPriority w:val="0"/>
    <w:pPr>
      <w:widowControl/>
      <w:spacing w:line="360" w:lineRule="exact"/>
      <w:jc w:val="left"/>
    </w:pPr>
    <w:rPr>
      <w:rFonts w:ascii="方正楷体_GB2312" w:hAnsi="方正小标宋简体" w:eastAsia="方正仿宋_GB2312" w:cs="仿宋"/>
      <w:sz w:val="24"/>
      <w:szCs w:val="32"/>
    </w:rPr>
  </w:style>
  <w:style w:type="paragraph" w:customStyle="1" w:styleId="25">
    <w:name w:val="列出段落2"/>
    <w:basedOn w:val="1"/>
    <w:qFormat/>
    <w:uiPriority w:val="0"/>
    <w:pPr>
      <w:ind w:firstLine="420" w:firstLineChars="200"/>
    </w:pPr>
    <w:rPr>
      <w:rFonts w:ascii="Times New Roman" w:hAnsi="Times New Roman" w:eastAsia="宋体" w:cs="Times New Roman"/>
      <w:szCs w:val="21"/>
    </w:rPr>
  </w:style>
  <w:style w:type="paragraph" w:customStyle="1" w:styleId="26">
    <w:name w:val="列出段落1"/>
    <w:basedOn w:val="1"/>
    <w:qFormat/>
    <w:uiPriority w:val="34"/>
    <w:pPr>
      <w:suppressAutoHyphens/>
      <w:ind w:firstLine="420"/>
    </w:pPr>
    <w:rPr>
      <w:rFonts w:ascii="Times New Roman" w:hAnsi="Times New Roman" w:eastAsia="宋体" w:cs="Times New Roman"/>
      <w:kern w:val="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7379e5ec-5050-4b0a-b977-9372c18957da</errorID>
      <errorWord>期间</errorWord>
      <group>L1_Word</group>
      <groupName>字词问题</groupName>
      <ability>L2_Typo</ability>
      <abilityName>字词错误</abilityName>
      <candidateList>
        <item>其间</item>
      </candidateList>
      <explain/>
      <paraID>57294392</paraID>
      <start>20</start>
      <end>22</end>
      <status>unmodified</status>
      <modifiedWord/>
      <trackRevisions>false</trackRevisions>
    </reviewItem>
    <reviewItem>
      <errorID>3106f341-3b4c-4c94-8bdc-a82487047c97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58FFC7E6</paraID>
      <start>0</start>
      <end>2</end>
      <status>unmodified</status>
      <modifiedWord/>
      <trackRevisions>false</trackRevisions>
    </reviewItem>
    <reviewItem>
      <errorID>14ac8f91-e25d-405e-b530-a2109d8bca35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67A4B0EC</paraID>
      <start>0</start>
      <end>2</end>
      <status>unmodified</status>
      <modifiedWord/>
      <trackRevisions>false</trackRevisions>
    </reviewItem>
    <reviewItem>
      <errorID>623d82ee-b02d-4ad1-89ac-63ae8c85ccab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34243CEE</paraID>
      <start>0</start>
      <end>2</end>
      <status>unmodified</status>
      <modifiedWord/>
      <trackRevisions>false</trackRevisions>
    </reviewItem>
    <reviewItem>
      <errorID>e064e09c-a27c-400a-95e5-b3afeb2f0e76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5FE8A0DA</paraID>
      <start>45</start>
      <end>46</end>
      <status>unmodified</status>
      <modifiedWord/>
      <trackRevisions>false</trackRevisions>
    </reviewItem>
    <reviewItem>
      <errorID>f8052aff-942b-40b6-8566-e959c4d03be5</errorID>
      <errorWord>,</errorWord>
      <group>L1_Format</group>
      <groupName>格式问题</groupName>
      <ability>L2_HalfPunc_CN</ability>
      <abilityName>全半角问题</abilityName>
      <candidateList>
        <item>，</item>
      </candidateList>
      <explain>文本全半角错误。</explain>
      <paraID> F3B427B</paraID>
      <start>56</start>
      <end>57</end>
      <status>modified</status>
      <modifiedWord>，</modifiedWord>
      <trackRevisions>false</trackRevisions>
    </reviewItem>
    <reviewItem>
      <errorID>dcac28fe-ac96-4f12-9c45-4e4c4198d611</errorID>
      <errorWord>，</errorWord>
      <group>L1_Word</group>
      <groupName>字词问题</groupName>
      <ability>L2_Typo</ability>
      <abilityName>字词错误</abilityName>
      <candidateList>
        <item>，在</item>
      </candidateList>
      <explain/>
      <paraID>7E1A0BCA</paraID>
      <start>26</start>
      <end>28</end>
      <status>modified</status>
      <modifiedWord>，在</modifiedWord>
      <trackRevisions>false</trackRevisions>
    </reviewItem>
    <reviewItem>
      <errorID>78d294d9-9cd3-415a-98cc-2b9de7bce661</errorID>
      <errorWord>;</errorWord>
      <group>L1_Format</group>
      <groupName>格式问题</groupName>
      <ability>L2_HalfPunc_CN</ability>
      <abilityName>全半角问题</abilityName>
      <candidateList>
        <item>；</item>
      </candidateList>
      <explain>文本全半角错误。</explain>
      <paraID>4967BD9C</paraID>
      <start>16</start>
      <end>17</end>
      <status>modified</status>
      <modifiedWord>；</modifiedWord>
      <trackRevisions>false</trackRevisions>
    </reviewItem>
    <reviewItem>
      <errorID>a43f3c69-8699-4b75-b6aa-7549d39bfc01</errorID>
      <errorWord>;</errorWord>
      <group>L1_Format</group>
      <groupName>格式问题</groupName>
      <ability>L2_HalfPunc_CN</ability>
      <abilityName>全半角问题</abilityName>
      <candidateList>
        <item>；</item>
      </candidateList>
      <explain>文本全半角错误。</explain>
      <paraID>5E88B5F8</paraID>
      <start>14</start>
      <end>15</end>
      <status>modified</status>
      <modifiedWord>；</modifiedWord>
      <trackRevisions>false</trackRevisions>
    </reviewItem>
    <reviewItem>
      <errorID>77b2be72-3b8f-4e17-9c39-33c5d8f8be33</errorID>
      <errorWord>;</errorWord>
      <group>L1_Format</group>
      <groupName>格式问题</groupName>
      <ability>L2_HalfPunc_CN</ability>
      <abilityName>全半角问题</abilityName>
      <candidateList>
        <item>；</item>
      </candidateList>
      <explain>文本全半角错误。</explain>
      <paraID>1F4252C3</paraID>
      <start>24</start>
      <end>25</end>
      <status>modified</status>
      <modifiedWord>；</modifiedWord>
      <trackRevisions>false</trackRevisions>
    </reviewItem>
    <reviewItem>
      <errorID>4ea46d3b-43bf-495b-995c-0e1d64c7aa39</errorID>
      <errorWord>件</errorWord>
      <group>L1_Word</group>
      <groupName>字词问题</groupName>
      <ability>L2_Typo</ability>
      <abilityName>字词错误</abilityName>
      <candidateList>
        <item>件通</item>
      </candidateList>
      <explain/>
      <paraID>65771598</paraID>
      <start>3</start>
      <end>5</end>
      <status>modified</status>
      <modifiedWord>件通</modifiedWord>
      <trackRevisions>false</trackRevisions>
    </reviewItem>
    <reviewItem>
      <errorID>8ec8580a-ed78-4445-92f4-21bc65fe8bde</errorID>
      <errorWord>按按</errorWord>
      <group>L1_Word</group>
      <groupName>字词问题</groupName>
      <ability>L2_Typo</ability>
      <abilityName>字词错误</abilityName>
      <candidateList>
        <item>按</item>
      </candidateList>
      <explain/>
      <paraID>65771598</paraID>
      <start>14</start>
      <end>15</end>
      <status>modified</status>
      <modifiedWord>按</modifiedWord>
      <trackRevisions>false</trackRevisions>
    </reviewItem>
    <reviewItem>
      <errorID>7d19d16a-b7bc-4b3e-bf4b-0002c2f988c6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673FFF60</paraID>
      <start>0</start>
      <end>2</end>
      <status>unmodified</status>
      <modifiedWord/>
      <trackRevisions>false</trackRevisions>
    </reviewItem>
    <reviewItem>
      <errorID>41b45887-5447-4502-8e7c-a63bb29528a6</errorID>
      <errorWord>等</errorWord>
      <group>L1_Word</group>
      <groupName>字词问题</groupName>
      <ability>L2_Typo</ability>
      <abilityName>字词错误</abilityName>
      <candidateList>
        <item>的</item>
      </candidateList>
      <explain/>
      <paraID> 53ACC0F</paraID>
      <start>13</start>
      <end>14</end>
      <status>unmodified</status>
      <modifiedWord/>
      <trackRevisions>false</trackRevisions>
    </reviewItem>
    <reviewItem>
      <errorID>58dd21ff-fe3c-446c-abc6-7b9e20caf88f</errorID>
      <errorWord>:</errorWord>
      <group>L1_Format</group>
      <groupName>格式问题</groupName>
      <ability>L2_HalfPunc_CN</ability>
      <abilityName>全半角问题</abilityName>
      <candidateList>
        <item>：</item>
      </candidateList>
      <explain>文本全半角错误。</explain>
      <paraID>28C0DCFE</paraID>
      <start>2</start>
      <end>3</end>
      <status>modified</status>
      <modifiedWord>：</modifiedWord>
      <trackRevisions>false</trackRevisions>
    </reviewItem>
    <reviewItem>
      <errorID>490a7667-5f87-4bcf-9907-54256519b6f9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554618DC</paraID>
      <start>0</start>
      <end>2</end>
      <status>unmodified</status>
      <modifiedWord/>
      <trackRevisions>false</trackRevisions>
    </reviewItem>
    <reviewItem>
      <errorID>d71fe1ca-9237-4434-a3a2-a132a070a4d6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7D349A8B</paraID>
      <start>0</start>
      <end>2</end>
      <status>unmodified</status>
      <modifiedWord/>
      <trackRevisions>false</trackRevisions>
    </reviewItem>
    <reviewItem>
      <errorID>c607f9c2-6cb5-4e94-8364-91cffa7cd7b2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6619B28A</paraID>
      <start>0</start>
      <end>2</end>
      <status>unmodified</status>
      <modifiedWord/>
      <trackRevisions>false</trackRevisions>
    </reviewItem>
    <reviewItem>
      <errorID>6e104655-2e3f-470b-bb95-8c18bb0882b1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43482A45</paraID>
      <start>0</start>
      <end>2</end>
      <status>unmodified</status>
      <modifiedWord/>
      <trackRevisions>false</trackRevisions>
    </reviewItem>
    <reviewItem>
      <errorID>93af94f6-5e19-4ad2-92ff-af9bbabcfecc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428A839D</paraID>
      <start>0</start>
      <end>2</end>
      <status>unmodified</status>
      <modifiedWord/>
      <trackRevisions>false</trackRevisions>
    </reviewItem>
    <reviewItem>
      <errorID>49e513c9-04cb-4732-883c-895d41be857f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56E8031D</paraID>
      <start>0</start>
      <end>2</end>
      <status>unmodified</status>
      <modifiedWord/>
      <trackRevisions>false</trackRevisions>
    </reviewItem>
    <reviewItem>
      <errorID>8d2fbccb-2529-4887-8c53-bfa145cd7ddb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1DCC4AA6</paraID>
      <start>0</start>
      <end>2</end>
      <status>unmodified</status>
      <modifiedWord/>
      <trackRevisions>false</trackRevisions>
    </reviewItem>
    <reviewItem>
      <errorID>fa173632-0cd7-4e3c-9fd2-d365865c87c4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41589759</paraID>
      <start>0</start>
      <end>2</end>
      <status>unmodified</status>
      <modifiedWord/>
      <trackRevisions>false</trackRevisions>
    </reviewItem>
    <reviewItem>
      <errorID>9da68d2b-9053-4316-9a6a-3371ea11e8a7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7EB31163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9fffd5-cb92-4fb2-aeb4-ab5846387a8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5135</Words>
  <Characters>6252</Characters>
  <Lines>133</Lines>
  <Paragraphs>161</Paragraphs>
  <TotalTime>3</TotalTime>
  <ScaleCrop>false</ScaleCrop>
  <LinksUpToDate>false</LinksUpToDate>
  <CharactersWithSpaces>6371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2026-02-05T02:57:00Z</dcterms:created>
  <dc:creator>HP</dc:creator>
  <cp:lastModifiedBy>仲杰</cp:lastModifiedBy>
  <dcterms:modified xsi:type="dcterms:W3CDTF">2026-07-27T17:54:09Z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eyJoZGlkIjoiZTQ4MzhlZGU2YmZhMGFjMjVlNGJjM2ZlYTdmZDg2NTAiLCJ1c2VySWQiOiIyOTgyOTgyOTEifQ==</vt:lpwstr>
  </property>
  <property fmtid="{D5CDD505-2E9C-101B-9397-08002B2CF9AE}" pid="4" name="ICV">
    <vt:lpwstr>2BFD31D5F3FB4B709DBC969892577809_12</vt:lpwstr>
  </property>
</Properties>
</file>