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微软雅黑" w:hAnsi="微软雅黑" w:eastAsia="微软雅黑"/>
          <w:b/>
          <w:color w:val="auto"/>
          <w:sz w:val="32"/>
          <w:szCs w:val="32"/>
          <w:highlight w:val="none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none"/>
        </w:rPr>
        <w:t>上海港湾学校日常维修耗材定点采购项目</w:t>
      </w:r>
    </w:p>
    <w:p>
      <w:pPr>
        <w:spacing w:line="360" w:lineRule="auto"/>
        <w:jc w:val="center"/>
        <w:rPr>
          <w:rFonts w:hint="eastAsia" w:ascii="微软雅黑" w:hAnsi="微软雅黑" w:eastAsia="微软雅黑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 w:val="32"/>
          <w:szCs w:val="32"/>
          <w:highlight w:val="none"/>
          <w:lang w:val="en-US" w:eastAsia="zh-CN"/>
        </w:rPr>
        <w:t>服务需求</w:t>
      </w:r>
    </w:p>
    <w:p>
      <w:pPr>
        <w:widowControl/>
        <w:shd w:val="clear" w:color="auto" w:fill="FFFFFF"/>
        <w:spacing w:before="100" w:beforeAutospacing="1" w:after="100" w:afterAutospacing="1" w:line="360" w:lineRule="auto"/>
        <w:ind w:firstLine="555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为了更好地规范港湾学校工修部日常维修耗材采购工作，港湾学校本着公平、公正、公开的原则，面向社会聘请一家诚信高，服务态度好的供货商进行合作，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有利于我校选择日常维修材料性价比更高，质量更好的产品及更优质的服务。欢迎各供应单位本着务实友好的工作态度，积极参与，并做好材料明细报价。我校将本着公开、公正、公平的工作原则，对各供应单位所提供的资料，进行综合评议，择优选购。具体要求如下：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维修使用材料价格不应高于市场价格，供应商应该按照材料表要求的材料、配件等品牌进行报价；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本项目年度购置费用预计为8万元人民币。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供应商提供材料、配件、工具设备等保修期不得少于1年；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配送期，在学校递交采购清单后8小时内应送达；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在学校日常维修工作中，需要急修抢修材料、配件等供应商必须在2小时内送达；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本次报价按照材料表要求的品牌及材料名称进行报价，所报价格应包含各项税费、运输及配送费等一切费用；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报价时须提供公司营业执照、报价单、承诺书，如有与其他单</w:t>
      </w:r>
      <w:bookmarkStart w:id="0" w:name="_GoBack"/>
      <w:bookmarkEnd w:id="0"/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位合作相关的业绩案例（合同复印件）作为本项目的评选依据；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本项目要求报价单位需了解港湾学校与报价单位的路程，便于日后在规定时间内将货物送达；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供货期限：自合同刚签订之日起</w:t>
      </w:r>
      <w:r>
        <w:rPr>
          <w:rFonts w:ascii="宋体" w:hAnsi="宋体"/>
          <w:color w:val="auto"/>
          <w:kern w:val="0"/>
          <w:sz w:val="24"/>
          <w:szCs w:val="24"/>
          <w:highlight w:val="none"/>
        </w:rPr>
        <w:t>1年。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hint="eastAsia"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/>
        </w:rPr>
        <w:t>续约条件：本项目一招三年（2022-2024），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若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/>
        </w:rPr>
        <w:t>第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一年服务期内服务良好，中标方保持价格不变，经双方商定后，可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  <w:lang w:val="en-US" w:eastAsia="zh-CN"/>
        </w:rPr>
        <w:t>续签下一年度合同</w:t>
      </w:r>
      <w:r>
        <w:rPr>
          <w:rFonts w:hint="eastAsia" w:ascii="宋体" w:hAnsi="宋体"/>
          <w:color w:val="auto"/>
          <w:kern w:val="0"/>
          <w:sz w:val="24"/>
          <w:szCs w:val="24"/>
          <w:highlight w:val="none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供应商所提供的单位营业执照等相关资料、材料报价必须真实，如有不真实现象，或配送材料有假冒伪劣产品，造成学校经济和财产损失的，按照损失情况照价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赔偿</w:t>
      </w:r>
      <w:r>
        <w:rPr>
          <w:rFonts w:hint="eastAsia"/>
          <w:color w:val="auto"/>
          <w:sz w:val="24"/>
          <w:szCs w:val="24"/>
          <w:highlight w:val="none"/>
        </w:rPr>
        <w:t>，我方将随时解除合作关系。</w:t>
      </w:r>
    </w:p>
    <w:p>
      <w:pPr>
        <w:rPr>
          <w:rFonts w:ascii="宋体" w:hAnsi="宋体"/>
          <w:color w:val="auto"/>
          <w:kern w:val="0"/>
          <w:sz w:val="24"/>
          <w:szCs w:val="24"/>
          <w:highlight w:val="none"/>
        </w:rPr>
      </w:pPr>
    </w:p>
    <w:p>
      <w:pPr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br w:type="page"/>
      </w:r>
    </w:p>
    <w:p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left"/>
        <w:rPr>
          <w:rFonts w:ascii="宋体" w:hAnsi="宋体"/>
          <w:color w:val="auto"/>
          <w:kern w:val="0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  <w:highlight w:val="none"/>
        </w:rPr>
        <w:t>部分配件的品牌要求（见下表）：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818"/>
        <w:gridCol w:w="3699"/>
        <w:gridCol w:w="249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414" w:type="pct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材料名称</w:t>
            </w:r>
          </w:p>
        </w:tc>
        <w:tc>
          <w:tcPr>
            <w:tcW w:w="1856" w:type="pct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品牌名称</w:t>
            </w:r>
          </w:p>
        </w:tc>
        <w:tc>
          <w:tcPr>
            <w:tcW w:w="1250" w:type="pct"/>
          </w:tcPr>
          <w:p>
            <w:pPr>
              <w:spacing w:line="360" w:lineRule="auto"/>
              <w:jc w:val="center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照明灯具类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飞利浦、雷士、公牛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86型大板开关类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西门子、正泰、公牛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断路器类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施耐德、德力西、正泰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电线、电缆类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起帆、熊猫、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吊扇、摇头扇类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舒乐、艾美特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推拉盖铜地插类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梅兰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水龙头及配件类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九牧、过江龙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给排水管材类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中材、公元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电子感应器类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TOTO、洁士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洁具类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TOTO、海通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11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门窗配件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亚尔、春光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12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五金工具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世达、博士、田岛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13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电动工具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博士、融成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14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磨光片、切割片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绿洲、融成、仙光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9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15</w:t>
            </w:r>
          </w:p>
        </w:tc>
        <w:tc>
          <w:tcPr>
            <w:tcW w:w="1414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绝缘胶带</w:t>
            </w:r>
          </w:p>
        </w:tc>
        <w:tc>
          <w:tcPr>
            <w:tcW w:w="1856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sz w:val="24"/>
                <w:szCs w:val="24"/>
                <w:highlight w:val="none"/>
              </w:rPr>
              <w:t>公牛、3M</w:t>
            </w:r>
          </w:p>
        </w:tc>
        <w:tc>
          <w:tcPr>
            <w:tcW w:w="1250" w:type="pct"/>
          </w:tcPr>
          <w:p>
            <w:pPr>
              <w:spacing w:line="360" w:lineRule="auto"/>
              <w:jc w:val="left"/>
              <w:rPr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360" w:lineRule="auto"/>
        <w:jc w:val="center"/>
        <w:rPr>
          <w:color w:val="auto"/>
          <w:sz w:val="24"/>
          <w:szCs w:val="24"/>
          <w:highlight w:val="none"/>
        </w:rPr>
      </w:pPr>
    </w:p>
    <w:p>
      <w:pPr>
        <w:spacing w:line="360" w:lineRule="auto"/>
        <w:jc w:val="center"/>
        <w:rPr>
          <w:color w:val="auto"/>
          <w:sz w:val="24"/>
          <w:szCs w:val="24"/>
          <w:highlight w:val="non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157097"/>
    <w:multiLevelType w:val="singleLevel"/>
    <w:tmpl w:val="E515709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0Mjc2OWVkNjI0ZjllYzdjODYzZTQ3OTMzNjA0MTgifQ=="/>
  </w:docVars>
  <w:rsids>
    <w:rsidRoot w:val="003A4332"/>
    <w:rsid w:val="0018414D"/>
    <w:rsid w:val="001D5543"/>
    <w:rsid w:val="002D0AAF"/>
    <w:rsid w:val="003A4332"/>
    <w:rsid w:val="003E0682"/>
    <w:rsid w:val="00405D4E"/>
    <w:rsid w:val="004A53F2"/>
    <w:rsid w:val="005D3147"/>
    <w:rsid w:val="005F4004"/>
    <w:rsid w:val="0071419D"/>
    <w:rsid w:val="00802EAD"/>
    <w:rsid w:val="008035A3"/>
    <w:rsid w:val="00863EF6"/>
    <w:rsid w:val="008C0ACC"/>
    <w:rsid w:val="00956C7F"/>
    <w:rsid w:val="0096798B"/>
    <w:rsid w:val="00A97A9D"/>
    <w:rsid w:val="00B13474"/>
    <w:rsid w:val="00C94597"/>
    <w:rsid w:val="00CD3F54"/>
    <w:rsid w:val="00D31240"/>
    <w:rsid w:val="00E23322"/>
    <w:rsid w:val="00E9165F"/>
    <w:rsid w:val="00EE6C4F"/>
    <w:rsid w:val="00F418AB"/>
    <w:rsid w:val="00F86B6A"/>
    <w:rsid w:val="00FC2BD6"/>
    <w:rsid w:val="22901809"/>
    <w:rsid w:val="5655356A"/>
    <w:rsid w:val="6771312B"/>
    <w:rsid w:val="734F57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879</Words>
  <Characters>901</Characters>
  <Lines>7</Lines>
  <Paragraphs>1</Paragraphs>
  <TotalTime>2</TotalTime>
  <ScaleCrop>false</ScaleCrop>
  <LinksUpToDate>false</LinksUpToDate>
  <CharactersWithSpaces>901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2019-04-18T23:37:00Z</dcterms:created>
  <dc:creator>HP</dc:creator>
  <cp:lastModifiedBy>仲杰</cp:lastModifiedBy>
  <cp:lastPrinted>2019-04-19T01:10:00Z</cp:lastPrinted>
  <dcterms:modified xsi:type="dcterms:W3CDTF">2022-06-23T11:28:59Z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D0BCFBE0526C4FAB98E0AC58731F0595</vt:lpwstr>
  </property>
</Properties>
</file>