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第十八届国际交通技术与设备展览会展台设计及搭建服务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HFBX2026061</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七</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HFBX2026061</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第十八届国际交通技术与设备展览会展台设计及搭建服务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18</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上海海事大学</w:t>
      </w:r>
      <w:r>
        <w:rPr>
          <w:rFonts w:hint="eastAsia" w:ascii="方正兰亭黑简体" w:hAnsi="方正兰亭黑简体" w:eastAsia="方正兰亭黑简体" w:cs="方正兰亭黑简体"/>
          <w:color w:val="auto"/>
          <w:sz w:val="22"/>
          <w:szCs w:val="28"/>
          <w:highlight w:val="none"/>
          <w:lang w:val="en-US" w:eastAsia="zh-CN"/>
        </w:rPr>
        <w:t>拟</w:t>
      </w:r>
      <w:r>
        <w:rPr>
          <w:rFonts w:hint="eastAsia" w:ascii="方正兰亭黑简体" w:hAnsi="方正兰亭黑简体" w:eastAsia="方正兰亭黑简体" w:cs="方正兰亭黑简体"/>
          <w:color w:val="auto"/>
          <w:sz w:val="22"/>
          <w:szCs w:val="28"/>
          <w:highlight w:val="none"/>
        </w:rPr>
        <w:t>参加2026年8月26日至28日在北京举办</w:t>
      </w:r>
      <w:r>
        <w:rPr>
          <w:rFonts w:hint="eastAsia" w:ascii="方正兰亭黑简体" w:hAnsi="方正兰亭黑简体" w:eastAsia="方正兰亭黑简体" w:cs="方正兰亭黑简体"/>
          <w:color w:val="auto"/>
          <w:sz w:val="22"/>
          <w:szCs w:val="28"/>
          <w:highlight w:val="none"/>
          <w:lang w:val="en-US" w:eastAsia="zh-CN"/>
        </w:rPr>
        <w:t>的</w:t>
      </w:r>
      <w:r>
        <w:rPr>
          <w:rFonts w:hint="eastAsia" w:ascii="方正兰亭黑简体" w:hAnsi="方正兰亭黑简体" w:eastAsia="方正兰亭黑简体" w:cs="方正兰亭黑简体"/>
          <w:color w:val="auto"/>
          <w:sz w:val="22"/>
          <w:szCs w:val="28"/>
          <w:highlight w:val="none"/>
        </w:rPr>
        <w:t>第十八届国际交通技术与设备展览会</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需采购</w:t>
      </w:r>
      <w:r>
        <w:rPr>
          <w:rFonts w:hint="eastAsia" w:ascii="方正兰亭黑简体" w:hAnsi="方正兰亭黑简体" w:eastAsia="方正兰亭黑简体" w:cs="方正兰亭黑简体"/>
          <w:color w:val="auto"/>
          <w:sz w:val="22"/>
          <w:szCs w:val="28"/>
          <w:highlight w:val="none"/>
        </w:rPr>
        <w:t>展台设计及搭建</w:t>
      </w:r>
      <w:r>
        <w:rPr>
          <w:rFonts w:hint="eastAsia" w:ascii="方正兰亭黑简体" w:hAnsi="方正兰亭黑简体" w:eastAsia="方正兰亭黑简体" w:cs="方正兰亭黑简体"/>
          <w:color w:val="auto"/>
          <w:sz w:val="22"/>
          <w:szCs w:val="28"/>
          <w:highlight w:val="none"/>
          <w:lang w:val="en-US" w:eastAsia="zh-CN"/>
        </w:rPr>
        <w:t>一体化</w:t>
      </w:r>
      <w:r>
        <w:rPr>
          <w:rFonts w:hint="eastAsia" w:ascii="方正兰亭黑简体" w:hAnsi="方正兰亭黑简体" w:eastAsia="方正兰亭黑简体" w:cs="方正兰亭黑简体"/>
          <w:color w:val="auto"/>
          <w:sz w:val="22"/>
          <w:szCs w:val="28"/>
          <w:highlight w:val="none"/>
        </w:rPr>
        <w:t>服务</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中标投标单位须依据校方提供的展会基础资料、展示内容及功能需求，全面承担本项目全流程工作，包含展台整体方案创意设计、物料制作加工</w:t>
      </w:r>
      <w:r>
        <w:rPr>
          <w:rFonts w:hint="eastAsia" w:ascii="方正兰亭黑简体" w:hAnsi="方正兰亭黑简体" w:eastAsia="方正兰亭黑简体" w:cs="方正兰亭黑简体"/>
          <w:color w:val="auto"/>
          <w:sz w:val="22"/>
          <w:szCs w:val="28"/>
          <w:highlight w:val="none"/>
          <w:lang w:val="en-US" w:eastAsia="zh-CN"/>
        </w:rPr>
        <w:t>及运输</w:t>
      </w:r>
      <w:r>
        <w:rPr>
          <w:rFonts w:hint="eastAsia" w:ascii="方正兰亭黑简体" w:hAnsi="方正兰亭黑简体" w:eastAsia="方正兰亭黑简体" w:cs="方正兰亭黑简体"/>
          <w:color w:val="auto"/>
          <w:sz w:val="22"/>
          <w:szCs w:val="28"/>
          <w:highlight w:val="none"/>
        </w:rPr>
        <w:t>、展馆现场展台搭建、展期现场运维保障、展会结束后展台拆除清运、场地复原等全部相关工作，所有费用均包含在投标总价内</w:t>
      </w:r>
      <w:r>
        <w:rPr>
          <w:rFonts w:hint="eastAsia" w:ascii="方正兰亭黑简体" w:hAnsi="方正兰亭黑简体" w:eastAsia="方正兰亭黑简体" w:cs="方正兰亭黑简体"/>
          <w:color w:val="auto"/>
          <w:sz w:val="22"/>
          <w:szCs w:val="28"/>
          <w:highlight w:val="none"/>
          <w:lang w:val="en-US" w:eastAsia="zh-CN"/>
        </w:rPr>
        <w:t>。</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64ECA64C">
      <w:pPr>
        <w:pStyle w:val="19"/>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lang w:val="en-US" w:eastAsia="zh-CN"/>
        </w:rPr>
        <w:t>服务期限：</w:t>
      </w:r>
      <w:r>
        <w:rPr>
          <w:rFonts w:hint="eastAsia" w:ascii="方正兰亭黑简体" w:hAnsi="方正兰亭黑简体" w:eastAsia="方正兰亭黑简体" w:cs="方正兰亭黑简体"/>
          <w:color w:val="auto"/>
          <w:kern w:val="2"/>
          <w:sz w:val="22"/>
          <w:szCs w:val="28"/>
          <w:highlight w:val="none"/>
          <w:lang w:val="zh-CN" w:eastAsia="zh-CN" w:bidi="ar-SA"/>
        </w:rPr>
        <w:t>2026年8月24日完成布展，展会时间届满后六小时内撤展。</w:t>
      </w:r>
    </w:p>
    <w:p w14:paraId="55C6D20D">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lang w:val="en-US" w:eastAsia="zh-CN"/>
        </w:rPr>
        <w:t>交付地点：</w:t>
      </w:r>
      <w:r>
        <w:rPr>
          <w:rFonts w:hint="eastAsia" w:ascii="方正兰亭黑简体" w:hAnsi="方正兰亭黑简体" w:eastAsia="方正兰亭黑简体" w:cs="方正兰亭黑简体"/>
          <w:color w:val="auto"/>
          <w:kern w:val="2"/>
          <w:sz w:val="22"/>
          <w:szCs w:val="28"/>
          <w:highlight w:val="none"/>
          <w:lang w:val="zh-CN" w:eastAsia="zh-CN" w:bidi="ar-SA"/>
        </w:rPr>
        <w:t>北京市区国家级会展场地。</w:t>
      </w:r>
    </w:p>
    <w:p w14:paraId="627DD869">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kern w:val="2"/>
          <w:sz w:val="22"/>
          <w:szCs w:val="28"/>
          <w:highlight w:val="none"/>
          <w:lang w:val="en-US" w:eastAsia="zh-CN" w:bidi="ar-SA"/>
        </w:rPr>
        <w:t>付款方式：</w:t>
      </w:r>
      <w:r>
        <w:rPr>
          <w:rFonts w:hint="eastAsia" w:ascii="方正兰亭黑简体" w:hAnsi="方正兰亭黑简体" w:eastAsia="方正兰亭黑简体" w:cs="方正兰亭黑简体"/>
          <w:color w:val="auto"/>
          <w:kern w:val="2"/>
          <w:sz w:val="22"/>
          <w:szCs w:val="28"/>
          <w:highlight w:val="none"/>
          <w:lang w:val="en-US" w:eastAsia="zh-CN" w:bidi="ar-SA"/>
        </w:rPr>
        <w:t>展会结束后一个月内，经甲方对乙方工作成果验收合格后，甲方一次性支付合同全款。</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8</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三</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徐</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021-38284340</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第二章采购需求</w:t>
      </w:r>
    </w:p>
    <w:p w14:paraId="39E2A589">
      <w:pPr>
        <w:spacing w:line="48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261ADDCA">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上海海事大学</w:t>
      </w:r>
      <w:r>
        <w:rPr>
          <w:rFonts w:hint="eastAsia" w:ascii="Times New Roman" w:hAnsi="Times New Roman" w:eastAsia="方正兰亭黑简体" w:cs="Times New Roman"/>
          <w:color w:val="auto"/>
          <w:sz w:val="22"/>
          <w:szCs w:val="22"/>
          <w:highlight w:val="none"/>
          <w:lang w:val="en-US" w:eastAsia="zh-CN"/>
        </w:rPr>
        <w:t>拟</w:t>
      </w:r>
      <w:r>
        <w:rPr>
          <w:rFonts w:hint="eastAsia" w:ascii="Times New Roman" w:hAnsi="Times New Roman" w:eastAsia="方正兰亭黑简体" w:cs="Times New Roman"/>
          <w:color w:val="auto"/>
          <w:sz w:val="22"/>
          <w:szCs w:val="22"/>
          <w:highlight w:val="none"/>
          <w:lang w:eastAsia="zh-CN"/>
        </w:rPr>
        <w:t>参加2026年8月26日至28日在北京举办</w:t>
      </w:r>
      <w:r>
        <w:rPr>
          <w:rFonts w:hint="eastAsia" w:ascii="Times New Roman" w:hAnsi="Times New Roman" w:eastAsia="方正兰亭黑简体" w:cs="Times New Roman"/>
          <w:color w:val="auto"/>
          <w:sz w:val="22"/>
          <w:szCs w:val="22"/>
          <w:highlight w:val="none"/>
          <w:lang w:val="en-US" w:eastAsia="zh-CN"/>
        </w:rPr>
        <w:t>的</w:t>
      </w:r>
      <w:r>
        <w:rPr>
          <w:rFonts w:hint="eastAsia" w:ascii="Times New Roman" w:hAnsi="Times New Roman" w:eastAsia="方正兰亭黑简体" w:cs="Times New Roman"/>
          <w:color w:val="auto"/>
          <w:sz w:val="22"/>
          <w:szCs w:val="22"/>
          <w:highlight w:val="none"/>
          <w:lang w:eastAsia="zh-CN"/>
        </w:rPr>
        <w:t>第十八届国际交通技术与设备展览会，</w:t>
      </w:r>
      <w:r>
        <w:rPr>
          <w:rFonts w:hint="eastAsia" w:ascii="Times New Roman" w:hAnsi="Times New Roman" w:eastAsia="方正兰亭黑简体" w:cs="Times New Roman"/>
          <w:color w:val="auto"/>
          <w:sz w:val="22"/>
          <w:szCs w:val="22"/>
          <w:highlight w:val="none"/>
          <w:lang w:val="en-US" w:eastAsia="zh-CN"/>
        </w:rPr>
        <w:t>需采购</w:t>
      </w:r>
      <w:r>
        <w:rPr>
          <w:rFonts w:hint="eastAsia" w:ascii="Times New Roman" w:hAnsi="Times New Roman" w:eastAsia="方正兰亭黑简体" w:cs="Times New Roman"/>
          <w:color w:val="auto"/>
          <w:sz w:val="22"/>
          <w:szCs w:val="22"/>
          <w:highlight w:val="none"/>
          <w:lang w:eastAsia="zh-CN"/>
        </w:rPr>
        <w:t>展台设计及搭建</w:t>
      </w:r>
      <w:r>
        <w:rPr>
          <w:rFonts w:hint="eastAsia" w:ascii="Times New Roman" w:hAnsi="Times New Roman" w:eastAsia="方正兰亭黑简体" w:cs="Times New Roman"/>
          <w:color w:val="auto"/>
          <w:sz w:val="22"/>
          <w:szCs w:val="22"/>
          <w:highlight w:val="none"/>
          <w:lang w:val="en-US" w:eastAsia="zh-CN"/>
        </w:rPr>
        <w:t>一体化</w:t>
      </w:r>
      <w:r>
        <w:rPr>
          <w:rFonts w:hint="eastAsia" w:ascii="Times New Roman" w:hAnsi="Times New Roman" w:eastAsia="方正兰亭黑简体" w:cs="Times New Roman"/>
          <w:color w:val="auto"/>
          <w:sz w:val="22"/>
          <w:szCs w:val="22"/>
          <w:highlight w:val="none"/>
          <w:lang w:eastAsia="zh-CN"/>
        </w:rPr>
        <w:t>服务。中标投标单位须依据校方提供的展会基础资料、展示内容及功能需求，全面承担本项目全流程工作，包含展台整体方案创意设计、物料制作加工</w:t>
      </w:r>
      <w:r>
        <w:rPr>
          <w:rFonts w:hint="eastAsia" w:ascii="Times New Roman" w:hAnsi="Times New Roman" w:eastAsia="方正兰亭黑简体" w:cs="Times New Roman"/>
          <w:color w:val="auto"/>
          <w:sz w:val="22"/>
          <w:szCs w:val="22"/>
          <w:highlight w:val="none"/>
          <w:lang w:val="en-US" w:eastAsia="zh-CN"/>
        </w:rPr>
        <w:t>及运输</w:t>
      </w:r>
      <w:r>
        <w:rPr>
          <w:rFonts w:hint="eastAsia" w:ascii="Times New Roman" w:hAnsi="Times New Roman" w:eastAsia="方正兰亭黑简体" w:cs="Times New Roman"/>
          <w:color w:val="auto"/>
          <w:sz w:val="22"/>
          <w:szCs w:val="22"/>
          <w:highlight w:val="none"/>
          <w:lang w:eastAsia="zh-CN"/>
        </w:rPr>
        <w:t>、展馆现场展台搭建、展期现场运维保障、展会结束后展台拆除清运、场地复原等全部相关工作，所有费用均包含在投标总价内。</w:t>
      </w:r>
    </w:p>
    <w:p w14:paraId="3722AF72">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具体信息如下：</w:t>
      </w:r>
    </w:p>
    <w:p w14:paraId="12A98205">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1、上海海事大学展台面积56平方米。</w:t>
      </w:r>
    </w:p>
    <w:p w14:paraId="0BEDC3B3">
      <w:pPr>
        <w:spacing w:line="480" w:lineRule="auto"/>
        <w:ind w:left="0" w:leftChars="0" w:firstLine="0" w:firstLineChars="0"/>
        <w:rPr>
          <w:rFonts w:hint="eastAsia"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2、展览形式：拟采用图文与视频展示交通发展历程、创新技术、成功案例；采用模型及数字沙盘等形式展示重大交通工程规划方案和交通系统运行情况；综合运用3D技术、互联网技术和数字仿真等多媒体技术，全方位展示城市交通布局方案、优质服务和未来体验；借助VR设备、全息投影、智能触摸屏等前沿科技，为观众提供模拟驾驶等身临其境的交通场景体验，增强互动性和沉浸式体验。</w:t>
      </w:r>
    </w:p>
    <w:p w14:paraId="437E54F1">
      <w:pPr>
        <w:spacing w:line="480" w:lineRule="auto"/>
        <w:ind w:left="0" w:leftChars="0" w:firstLine="0" w:firstLineChars="0"/>
        <w:rPr>
          <w:rFonts w:hint="default" w:ascii="Times New Roman" w:hAnsi="Times New Roman" w:eastAsia="方正兰亭黑简体" w:cs="Times New Roman"/>
          <w:color w:val="auto"/>
          <w:sz w:val="22"/>
          <w:szCs w:val="22"/>
          <w:highlight w:val="none"/>
          <w:lang w:eastAsia="zh-CN"/>
        </w:rPr>
      </w:pPr>
      <w:r>
        <w:rPr>
          <w:rFonts w:hint="eastAsia" w:ascii="Times New Roman" w:hAnsi="Times New Roman" w:eastAsia="方正兰亭黑简体" w:cs="Times New Roman"/>
          <w:color w:val="auto"/>
          <w:sz w:val="22"/>
          <w:szCs w:val="22"/>
          <w:highlight w:val="none"/>
          <w:lang w:eastAsia="zh-CN"/>
        </w:rPr>
        <w:t>3、展览内容：交通技术与设备领域学校最新的科研成果。</w:t>
      </w:r>
    </w:p>
    <w:p w14:paraId="6D46828C">
      <w:pPr>
        <w:widowControl/>
        <w:shd w:val="clear" w:color="auto" w:fill="FFFFFF"/>
        <w:spacing w:line="48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p w14:paraId="2564B485">
      <w:pPr>
        <w:widowControl/>
        <w:numPr>
          <w:ilvl w:val="0"/>
          <w:numId w:val="0"/>
        </w:numPr>
        <w:shd w:val="clear" w:color="auto" w:fill="FFFFFF"/>
        <w:spacing w:line="48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kern w:val="2"/>
          <w:sz w:val="22"/>
          <w:szCs w:val="22"/>
          <w:highlight w:val="none"/>
          <w:lang w:val="en-US" w:eastAsia="zh-CN" w:bidi="ar-SA"/>
        </w:rPr>
        <w:t>二、展台搭建要求</w:t>
      </w:r>
    </w:p>
    <w:tbl>
      <w:tblPr>
        <w:tblStyle w:val="1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724"/>
        <w:gridCol w:w="5956"/>
        <w:gridCol w:w="1569"/>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54" w:type="pct"/>
            <w:vAlign w:val="center"/>
          </w:tcPr>
          <w:p w14:paraId="4D172C69">
            <w:pPr>
              <w:spacing w:line="360" w:lineRule="auto"/>
              <w:jc w:val="center"/>
              <w:rPr>
                <w:rFonts w:hint="default" w:ascii="Times New Roman" w:hAnsi="Times New Roman" w:eastAsia="方正兰亭黑简体" w:cs="Times New Roman"/>
                <w:b/>
                <w:color w:val="auto"/>
                <w:sz w:val="20"/>
                <w:szCs w:val="20"/>
                <w:highlight w:val="none"/>
              </w:rPr>
            </w:pPr>
            <w:r>
              <w:rPr>
                <w:rFonts w:hint="default" w:ascii="Times New Roman" w:hAnsi="Times New Roman" w:eastAsia="方正兰亭黑简体" w:cs="Times New Roman"/>
                <w:b/>
                <w:color w:val="auto"/>
                <w:sz w:val="20"/>
                <w:szCs w:val="20"/>
                <w:highlight w:val="none"/>
              </w:rPr>
              <w:t>序号</w:t>
            </w:r>
          </w:p>
        </w:tc>
        <w:tc>
          <w:tcPr>
            <w:tcW w:w="866" w:type="pct"/>
            <w:vAlign w:val="center"/>
          </w:tcPr>
          <w:p w14:paraId="4D4125BB">
            <w:pPr>
              <w:widowControl/>
              <w:spacing w:line="360" w:lineRule="auto"/>
              <w:jc w:val="center"/>
              <w:rPr>
                <w:rFonts w:hint="default" w:ascii="Times New Roman" w:hAnsi="Times New Roman" w:eastAsia="方正兰亭黑简体" w:cs="Times New Roman"/>
                <w:b/>
                <w:color w:val="auto"/>
                <w:sz w:val="20"/>
                <w:szCs w:val="20"/>
                <w:highlight w:val="none"/>
              </w:rPr>
            </w:pPr>
            <w:r>
              <w:rPr>
                <w:rFonts w:hint="default" w:ascii="Times New Roman" w:hAnsi="Times New Roman" w:eastAsia="方正兰亭黑简体" w:cs="Times New Roman"/>
                <w:b/>
                <w:color w:val="auto"/>
                <w:sz w:val="20"/>
                <w:szCs w:val="20"/>
                <w:highlight w:val="none"/>
              </w:rPr>
              <w:t>指标名称</w:t>
            </w:r>
          </w:p>
        </w:tc>
        <w:tc>
          <w:tcPr>
            <w:tcW w:w="2991" w:type="pct"/>
            <w:vAlign w:val="center"/>
          </w:tcPr>
          <w:p w14:paraId="09E1FA1B">
            <w:pPr>
              <w:widowControl/>
              <w:spacing w:line="360" w:lineRule="auto"/>
              <w:jc w:val="center"/>
              <w:rPr>
                <w:rFonts w:hint="default" w:ascii="Times New Roman" w:hAnsi="Times New Roman" w:eastAsia="方正兰亭黑简体" w:cs="Times New Roman"/>
                <w:b/>
                <w:color w:val="auto"/>
                <w:sz w:val="20"/>
                <w:szCs w:val="20"/>
                <w:highlight w:val="none"/>
              </w:rPr>
            </w:pPr>
            <w:r>
              <w:rPr>
                <w:rFonts w:hint="default" w:ascii="Times New Roman" w:hAnsi="Times New Roman" w:eastAsia="方正兰亭黑简体" w:cs="Times New Roman"/>
                <w:b/>
                <w:color w:val="auto"/>
                <w:sz w:val="20"/>
                <w:szCs w:val="20"/>
                <w:highlight w:val="none"/>
              </w:rPr>
              <w:t>指标要求</w:t>
            </w:r>
          </w:p>
        </w:tc>
        <w:tc>
          <w:tcPr>
            <w:tcW w:w="788" w:type="pct"/>
            <w:vAlign w:val="center"/>
          </w:tcPr>
          <w:p w14:paraId="4C055152">
            <w:pPr>
              <w:widowControl/>
              <w:spacing w:line="360" w:lineRule="auto"/>
              <w:jc w:val="center"/>
              <w:rPr>
                <w:rFonts w:hint="default" w:ascii="Times New Roman" w:hAnsi="Times New Roman" w:eastAsia="方正兰亭黑简体" w:cs="Times New Roman"/>
                <w:b/>
                <w:color w:val="auto"/>
                <w:sz w:val="20"/>
                <w:szCs w:val="20"/>
                <w:highlight w:val="none"/>
              </w:rPr>
            </w:pPr>
            <w:r>
              <w:rPr>
                <w:rFonts w:hint="default" w:ascii="Times New Roman" w:hAnsi="Times New Roman" w:eastAsia="方正兰亭黑简体" w:cs="Times New Roman"/>
                <w:b/>
                <w:color w:val="auto"/>
                <w:sz w:val="20"/>
                <w:szCs w:val="20"/>
                <w:highlight w:val="none"/>
              </w:rPr>
              <w:t>是否需要</w:t>
            </w:r>
          </w:p>
          <w:p w14:paraId="0B11E6BB">
            <w:pPr>
              <w:widowControl/>
              <w:spacing w:line="360" w:lineRule="auto"/>
              <w:jc w:val="center"/>
              <w:rPr>
                <w:rFonts w:hint="default" w:ascii="Times New Roman" w:hAnsi="Times New Roman" w:eastAsia="方正兰亭黑简体" w:cs="Times New Roman"/>
                <w:b/>
                <w:color w:val="auto"/>
                <w:sz w:val="20"/>
                <w:szCs w:val="20"/>
                <w:highlight w:val="none"/>
              </w:rPr>
            </w:pPr>
            <w:r>
              <w:rPr>
                <w:rFonts w:hint="default" w:ascii="Times New Roman" w:hAnsi="Times New Roman" w:eastAsia="方正兰亭黑简体" w:cs="Times New Roman"/>
                <w:b/>
                <w:color w:val="auto"/>
                <w:sz w:val="20"/>
                <w:szCs w:val="20"/>
                <w:highlight w:val="none"/>
              </w:rPr>
              <w:t>证明材料</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54" w:type="pct"/>
            <w:vAlign w:val="center"/>
          </w:tcPr>
          <w:p w14:paraId="2447FCA3">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1</w:t>
            </w:r>
          </w:p>
        </w:tc>
        <w:tc>
          <w:tcPr>
            <w:tcW w:w="866" w:type="pct"/>
            <w:vAlign w:val="center"/>
          </w:tcPr>
          <w:p w14:paraId="20D166AB">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结构承重性能</w:t>
            </w:r>
          </w:p>
        </w:tc>
        <w:tc>
          <w:tcPr>
            <w:tcW w:w="2991" w:type="pct"/>
            <w:vAlign w:val="center"/>
          </w:tcPr>
          <w:p w14:paraId="34A4A9AF">
            <w:pPr>
              <w:widowControl/>
              <w:spacing w:line="360" w:lineRule="auto"/>
              <w:jc w:val="left"/>
              <w:rPr>
                <w:rFonts w:hint="default" w:ascii="Times New Roman" w:hAnsi="Times New Roman" w:eastAsia="方正兰亭黑简体" w:cs="Times New Roman"/>
                <w:color w:val="auto"/>
                <w:kern w:val="0"/>
                <w:sz w:val="20"/>
                <w:szCs w:val="20"/>
                <w:highlight w:val="none"/>
              </w:rPr>
            </w:pPr>
            <w:r>
              <w:rPr>
                <w:rFonts w:hint="default" w:ascii="Times New Roman" w:hAnsi="Times New Roman" w:eastAsia="方正兰亭黑简体" w:cs="Times New Roman"/>
                <w:color w:val="auto"/>
                <w:sz w:val="20"/>
                <w:szCs w:val="20"/>
                <w:highlight w:val="none"/>
              </w:rPr>
              <w:t>站台整体均布承重荷载≥2.15kN/㎡，单点集中承重荷载≥1.2kN，满载受力后无变形、晃动、翘边、沉降，可稳定承载各类展厅展品、展示设备，符合国家建筑结构荷载规范标准。</w:t>
            </w:r>
          </w:p>
        </w:tc>
        <w:tc>
          <w:tcPr>
            <w:tcW w:w="788" w:type="pct"/>
            <w:vAlign w:val="center"/>
          </w:tcPr>
          <w:p w14:paraId="2D05E101">
            <w:pPr>
              <w:widowControl/>
              <w:spacing w:line="360" w:lineRule="auto"/>
              <w:jc w:val="center"/>
              <w:rPr>
                <w:rFonts w:hint="default" w:ascii="Times New Roman" w:hAnsi="Times New Roman" w:eastAsia="方正兰亭黑简体" w:cs="Times New Roman"/>
                <w:color w:val="auto"/>
                <w:kern w:val="0"/>
                <w:sz w:val="20"/>
                <w:szCs w:val="20"/>
                <w:highlight w:val="none"/>
              </w:rPr>
            </w:pPr>
            <w:r>
              <w:rPr>
                <w:rFonts w:hint="default" w:ascii="Times New Roman" w:hAnsi="Times New Roman" w:eastAsia="方正兰亭黑简体" w:cs="Times New Roman"/>
                <w:color w:val="auto"/>
                <w:sz w:val="20"/>
                <w:szCs w:val="20"/>
                <w:highlight w:val="none"/>
              </w:rPr>
              <w:t>是（提供结构计算书）</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54" w:type="pct"/>
            <w:vAlign w:val="center"/>
          </w:tcPr>
          <w:p w14:paraId="20428B89">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2</w:t>
            </w:r>
          </w:p>
        </w:tc>
        <w:tc>
          <w:tcPr>
            <w:tcW w:w="866" w:type="pct"/>
            <w:vAlign w:val="center"/>
          </w:tcPr>
          <w:p w14:paraId="4D212B59">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搭建材质质量</w:t>
            </w:r>
          </w:p>
        </w:tc>
        <w:tc>
          <w:tcPr>
            <w:tcW w:w="2991" w:type="pct"/>
            <w:vAlign w:val="center"/>
          </w:tcPr>
          <w:p w14:paraId="060F7019">
            <w:pPr>
              <w:widowControl/>
              <w:spacing w:line="360" w:lineRule="auto"/>
              <w:jc w:val="left"/>
              <w:rPr>
                <w:rFonts w:hint="default" w:ascii="Times New Roman" w:hAnsi="Times New Roman" w:eastAsia="方正兰亭黑简体" w:cs="Times New Roman"/>
                <w:color w:val="auto"/>
                <w:kern w:val="0"/>
                <w:sz w:val="20"/>
                <w:szCs w:val="20"/>
                <w:highlight w:val="none"/>
              </w:rPr>
            </w:pPr>
            <w:r>
              <w:rPr>
                <w:rFonts w:hint="default" w:ascii="Times New Roman" w:hAnsi="Times New Roman" w:eastAsia="方正兰亭黑简体" w:cs="Times New Roman"/>
                <w:color w:val="auto"/>
                <w:sz w:val="20"/>
                <w:szCs w:val="20"/>
                <w:highlight w:val="none"/>
              </w:rPr>
              <w:t>所有主材、辅材均为全新正品、无翻新、无残次；台面材质环保耐磨、防水防污、不易褪色，无甲醛超标等环保问题；框架结构坚固抗形变，连接件为高强度防锈配件，所有材质符合室内装修环保及质量标准。</w:t>
            </w:r>
          </w:p>
        </w:tc>
        <w:tc>
          <w:tcPr>
            <w:tcW w:w="788" w:type="pct"/>
            <w:vAlign w:val="center"/>
          </w:tcPr>
          <w:p w14:paraId="0067E4EE">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是（提供材料合格证、质检报告）</w:t>
            </w:r>
          </w:p>
        </w:tc>
      </w:tr>
      <w:tr w14:paraId="634B6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54" w:type="pct"/>
            <w:vAlign w:val="center"/>
          </w:tcPr>
          <w:p w14:paraId="1F70F2B9">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3</w:t>
            </w:r>
          </w:p>
        </w:tc>
        <w:tc>
          <w:tcPr>
            <w:tcW w:w="866" w:type="pct"/>
            <w:vAlign w:val="center"/>
          </w:tcPr>
          <w:p w14:paraId="697DC5AE">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安全防护指标</w:t>
            </w:r>
          </w:p>
        </w:tc>
        <w:tc>
          <w:tcPr>
            <w:tcW w:w="2991" w:type="pct"/>
            <w:vAlign w:val="center"/>
          </w:tcPr>
          <w:p w14:paraId="111C3798">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展厅</w:t>
            </w:r>
            <w:r>
              <w:rPr>
                <w:rFonts w:hint="eastAsia" w:ascii="Times New Roman" w:hAnsi="Times New Roman" w:eastAsia="方正兰亭黑简体" w:cs="Times New Roman"/>
                <w:color w:val="auto"/>
                <w:sz w:val="20"/>
                <w:szCs w:val="20"/>
                <w:highlight w:val="none"/>
                <w:lang w:eastAsia="zh-CN"/>
              </w:rPr>
              <w:t>展台</w:t>
            </w:r>
            <w:r>
              <w:rPr>
                <w:rFonts w:hint="default" w:ascii="Times New Roman" w:hAnsi="Times New Roman" w:eastAsia="方正兰亭黑简体" w:cs="Times New Roman"/>
                <w:color w:val="auto"/>
                <w:sz w:val="20"/>
                <w:szCs w:val="20"/>
                <w:highlight w:val="none"/>
              </w:rPr>
              <w:t>所有边角采用圆角工艺处理，无尖锐棱角、毛刺、凸起；结构连接紧密牢固，无松动、异响；整体符合室内展厅安全使用标准，无安全隐患，可适配高频次人流参观。</w:t>
            </w:r>
          </w:p>
        </w:tc>
        <w:tc>
          <w:tcPr>
            <w:tcW w:w="788" w:type="pct"/>
            <w:vAlign w:val="center"/>
          </w:tcPr>
          <w:p w14:paraId="72E4528A">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是（提供现场验收照片）</w:t>
            </w:r>
          </w:p>
        </w:tc>
      </w:tr>
      <w:tr w14:paraId="2999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54" w:type="pct"/>
            <w:vAlign w:val="center"/>
          </w:tcPr>
          <w:p w14:paraId="5A9E282D">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4</w:t>
            </w:r>
          </w:p>
        </w:tc>
        <w:tc>
          <w:tcPr>
            <w:tcW w:w="866" w:type="pct"/>
            <w:vAlign w:val="center"/>
          </w:tcPr>
          <w:p w14:paraId="00781DDE">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外观工艺指标</w:t>
            </w:r>
          </w:p>
        </w:tc>
        <w:tc>
          <w:tcPr>
            <w:tcW w:w="2991" w:type="pct"/>
            <w:vAlign w:val="center"/>
          </w:tcPr>
          <w:p w14:paraId="7D326FF3">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站台表面平整光滑、色泽均匀一致，无划痕、污渍、脱漆、鼓包、开裂、翘边等瑕疵；拼接缝隙均匀细密，整体造型规整，与展厅整体装修风格适配统一，视觉效果整洁高端。</w:t>
            </w:r>
          </w:p>
        </w:tc>
        <w:tc>
          <w:tcPr>
            <w:tcW w:w="788" w:type="pct"/>
            <w:vAlign w:val="center"/>
          </w:tcPr>
          <w:p w14:paraId="12FDB1C2">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否</w:t>
            </w:r>
          </w:p>
        </w:tc>
      </w:tr>
      <w:tr w14:paraId="250F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54" w:type="pct"/>
            <w:vAlign w:val="center"/>
          </w:tcPr>
          <w:p w14:paraId="2CF74BDC">
            <w:pPr>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5</w:t>
            </w:r>
          </w:p>
        </w:tc>
        <w:tc>
          <w:tcPr>
            <w:tcW w:w="866" w:type="pct"/>
            <w:vAlign w:val="center"/>
          </w:tcPr>
          <w:p w14:paraId="26260EBD">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环保防火指标</w:t>
            </w:r>
          </w:p>
        </w:tc>
        <w:tc>
          <w:tcPr>
            <w:tcW w:w="2991" w:type="pct"/>
            <w:vAlign w:val="center"/>
          </w:tcPr>
          <w:p w14:paraId="132781EF">
            <w:pPr>
              <w:widowControl/>
              <w:spacing w:line="360" w:lineRule="auto"/>
              <w:jc w:val="left"/>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所用装修、搭建材料符合室内环保标准，无异味、无污染，防火等级达到室内装修B1级及以上，阻燃、耐高温，满足展厅室内消防安全管理要求。</w:t>
            </w:r>
          </w:p>
        </w:tc>
        <w:tc>
          <w:tcPr>
            <w:tcW w:w="788" w:type="pct"/>
            <w:vAlign w:val="center"/>
          </w:tcPr>
          <w:p w14:paraId="6DB071EE">
            <w:pPr>
              <w:widowControl/>
              <w:spacing w:line="360" w:lineRule="auto"/>
              <w:jc w:val="center"/>
              <w:rPr>
                <w:rFonts w:hint="default" w:ascii="Times New Roman" w:hAnsi="Times New Roman" w:eastAsia="方正兰亭黑简体" w:cs="Times New Roman"/>
                <w:color w:val="auto"/>
                <w:sz w:val="20"/>
                <w:szCs w:val="20"/>
                <w:highlight w:val="none"/>
              </w:rPr>
            </w:pPr>
            <w:r>
              <w:rPr>
                <w:rFonts w:hint="default" w:ascii="Times New Roman" w:hAnsi="Times New Roman" w:eastAsia="方正兰亭黑简体" w:cs="Times New Roman"/>
                <w:color w:val="auto"/>
                <w:sz w:val="20"/>
                <w:szCs w:val="20"/>
                <w:highlight w:val="none"/>
              </w:rPr>
              <w:t>是（提供防火检测报告）</w:t>
            </w:r>
          </w:p>
        </w:tc>
      </w:tr>
    </w:tbl>
    <w:p w14:paraId="36C58EF2">
      <w:pPr>
        <w:widowControl/>
        <w:numPr>
          <w:ilvl w:val="0"/>
          <w:numId w:val="0"/>
        </w:numPr>
        <w:shd w:val="clear" w:color="auto" w:fill="FFFFFF"/>
        <w:spacing w:line="480" w:lineRule="auto"/>
        <w:jc w:val="left"/>
        <w:rPr>
          <w:rFonts w:hint="default" w:ascii="Times New Roman" w:hAnsi="Times New Roman" w:eastAsia="方正兰亭黑简体" w:cs="Times New Roman"/>
          <w:b/>
          <w:bCs/>
          <w:color w:val="auto"/>
          <w:sz w:val="22"/>
          <w:szCs w:val="22"/>
          <w:highlight w:val="none"/>
          <w:lang w:val="en-US" w:eastAsia="zh-CN"/>
        </w:rPr>
      </w:pPr>
    </w:p>
    <w:p w14:paraId="6ED13731">
      <w:pPr>
        <w:spacing w:line="480" w:lineRule="auto"/>
        <w:rPr>
          <w:rFonts w:hint="default" w:ascii="Times New Roman" w:hAnsi="Times New Roman" w:eastAsia="方正兰亭黑简体" w:cs="Times New Roman"/>
          <w:b/>
          <w:bCs/>
          <w:color w:val="auto"/>
          <w:kern w:val="0"/>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w:t>
      </w:r>
      <w:r>
        <w:rPr>
          <w:rFonts w:hint="eastAsia" w:ascii="Times New Roman" w:hAnsi="Times New Roman" w:eastAsia="方正兰亭黑简体" w:cs="Times New Roman"/>
          <w:b/>
          <w:bCs/>
          <w:color w:val="auto"/>
          <w:kern w:val="0"/>
          <w:sz w:val="22"/>
          <w:szCs w:val="22"/>
          <w:highlight w:val="none"/>
          <w:lang w:val="en-US" w:eastAsia="zh-CN"/>
        </w:rPr>
        <w:t>其他要求</w:t>
      </w:r>
    </w:p>
    <w:p w14:paraId="5286BAF9">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1.</w:t>
      </w:r>
      <w:r>
        <w:rPr>
          <w:rFonts w:hint="eastAsia" w:ascii="Times New Roman" w:hAnsi="Times New Roman" w:eastAsia="方正兰亭黑简体" w:cs="Times New Roman"/>
          <w:color w:val="auto"/>
          <w:sz w:val="22"/>
          <w:szCs w:val="22"/>
          <w:highlight w:val="none"/>
          <w:lang w:val="zh-CN" w:eastAsia="zh-CN"/>
        </w:rPr>
        <w:t>为确保设备正常使用，现场全程有成交供应商工作人员保障设备正常安全使用。供应商负责器材运输、安装、拆卸、回收等相关事宜。采购人所有服务请求中标供应商必须在30分钟内响应，2小时内到达现场进行处理。</w:t>
      </w:r>
    </w:p>
    <w:p w14:paraId="02716A9A">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zh-CN" w:eastAsia="zh-CN"/>
        </w:rPr>
      </w:pPr>
      <w:r>
        <w:rPr>
          <w:rFonts w:hint="eastAsia" w:ascii="Times New Roman" w:hAnsi="Times New Roman" w:eastAsia="方正兰亭黑简体" w:cs="Times New Roman"/>
          <w:color w:val="auto"/>
          <w:sz w:val="22"/>
          <w:szCs w:val="22"/>
          <w:highlight w:val="none"/>
          <w:lang w:val="en-US" w:eastAsia="zh-CN"/>
        </w:rPr>
        <w:t>2.履约验收：</w:t>
      </w:r>
      <w:r>
        <w:rPr>
          <w:rFonts w:hint="eastAsia" w:ascii="Times New Roman" w:hAnsi="Times New Roman" w:eastAsia="方正兰亭黑简体" w:cs="Times New Roman"/>
          <w:color w:val="auto"/>
          <w:sz w:val="22"/>
          <w:szCs w:val="22"/>
          <w:highlight w:val="none"/>
          <w:lang w:val="zh-CN" w:eastAsia="zh-CN"/>
        </w:rPr>
        <w:t>所有产品交付需方后，采购人现场接收并组织验收。验收合格条件：产品的技术要求与采购合同一致，并达到国家规定的相关标准。在规定时间内完成交货，并经采购人确认。</w:t>
      </w:r>
    </w:p>
    <w:p w14:paraId="2848B93A">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zh-CN" w:eastAsia="zh-CN"/>
        </w:rPr>
        <w:t>如验收达不到规定要求，采购人有权要求更换货物、改进方案或拒绝付款，成交供应商应承担一切责任，并赔偿由此所造成的损失。</w:t>
      </w:r>
    </w:p>
    <w:p w14:paraId="6966AFD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7</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spacing w:line="24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25</w:t>
            </w:r>
          </w:p>
        </w:tc>
        <w:tc>
          <w:tcPr>
            <w:tcW w:w="3635" w:type="pct"/>
            <w:vAlign w:val="center"/>
          </w:tcPr>
          <w:p w14:paraId="4C942918">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hint="eastAsia" w:ascii="方正兰亭黑简体" w:hAnsi="方正兰亭黑简体" w:eastAsia="方正兰亭黑简体" w:cs="方正兰亭黑简体"/>
                <w:color w:val="auto"/>
                <w:sz w:val="20"/>
                <w:szCs w:val="20"/>
                <w:highlight w:val="none"/>
                <w:lang w:val="en-US" w:eastAsia="zh-CN"/>
              </w:rPr>
              <w:t>技术要求</w:t>
            </w:r>
            <w:r>
              <w:rPr>
                <w:rFonts w:hint="eastAsia" w:ascii="方正兰亭黑简体" w:hAnsi="方正兰亭黑简体" w:eastAsia="方正兰亭黑简体" w:cs="方正兰亭黑简体"/>
                <w:color w:val="auto"/>
                <w:sz w:val="20"/>
                <w:szCs w:val="20"/>
                <w:highlight w:val="none"/>
              </w:rPr>
              <w:t>的，每项扣</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393C2D9">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优秀（16～20分）：方案整体质量高，方案合理可行性强，响应措施及时高效，项目进度安排紧凑合理。</w:t>
            </w:r>
          </w:p>
          <w:p w14:paraId="36A6F9C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良好（11～15分）：方案整体质量较好，响应措施尚可，方案个别细节有待进一步完善。</w:t>
            </w:r>
          </w:p>
          <w:p w14:paraId="3EC9A56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spacing w:line="240" w:lineRule="auto"/>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报价单</w:t>
      </w:r>
    </w:p>
    <w:p w14:paraId="28C0DCFE">
      <w:pPr>
        <w:spacing w:line="440" w:lineRule="exact"/>
        <w:jc w:val="left"/>
        <w:rPr>
          <w:rFonts w:hint="eastAsia" w:ascii="黑体" w:hAnsi="华文楷体" w:eastAsia="黑体"/>
          <w:color w:val="auto"/>
          <w:sz w:val="24"/>
          <w:highlight w:val="none"/>
          <w:lang w:eastAsia="zh-CN"/>
        </w:rPr>
      </w:pPr>
      <w:r>
        <w:rPr>
          <w:rFonts w:hint="eastAsia" w:ascii="黑体" w:hAnsi="华文楷体" w:eastAsia="黑体"/>
          <w:b/>
          <w:color w:val="auto"/>
          <w:sz w:val="24"/>
          <w:highlight w:val="none"/>
        </w:rPr>
        <w:t>TO:</w:t>
      </w:r>
      <w:r>
        <w:rPr>
          <w:rFonts w:hint="eastAsia" w:ascii="黑体" w:hAnsi="华文楷体" w:eastAsia="黑体"/>
          <w:color w:val="auto"/>
          <w:sz w:val="24"/>
          <w:highlight w:val="none"/>
        </w:rPr>
        <w:t>上海海事大学采购与招投标管理中心</w:t>
      </w:r>
      <w:r>
        <w:rPr>
          <w:rFonts w:hint="eastAsia" w:ascii="黑体" w:hAnsi="华文楷体" w:eastAsia="黑体"/>
          <w:color w:val="auto"/>
          <w:sz w:val="24"/>
          <w:highlight w:val="none"/>
          <w:lang w:val="en-US" w:eastAsia="zh-CN"/>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HFBX2026061</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1"/>
        <w:gridCol w:w="3542"/>
        <w:gridCol w:w="3282"/>
        <w:gridCol w:w="2336"/>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812"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1679" w:type="pct"/>
            <w:tcBorders>
              <w:top w:val="single" w:color="auto" w:sz="12" w:space="0"/>
              <w:left w:val="single" w:color="auto" w:sz="4" w:space="0"/>
              <w:bottom w:val="double" w:color="auto" w:sz="4" w:space="0"/>
              <w:right w:val="single" w:color="auto" w:sz="4" w:space="0"/>
            </w:tcBorders>
            <w:vAlign w:val="center"/>
          </w:tcPr>
          <w:p w14:paraId="697F2EE7">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rPr>
              <w:t>项目</w:t>
            </w:r>
            <w:r>
              <w:rPr>
                <w:rFonts w:hint="eastAsia" w:ascii="黑体" w:hAnsi="黑体" w:eastAsia="黑体"/>
                <w:b/>
                <w:color w:val="auto"/>
                <w:sz w:val="24"/>
                <w:highlight w:val="none"/>
                <w:lang w:val="en-US" w:eastAsia="zh-CN"/>
              </w:rPr>
              <w:t>总价</w:t>
            </w:r>
            <w:r>
              <w:rPr>
                <w:rFonts w:hint="eastAsia" w:ascii="黑体" w:hAnsi="黑体" w:eastAsia="黑体"/>
                <w:b/>
                <w:color w:val="auto"/>
                <w:sz w:val="24"/>
                <w:highlight w:val="none"/>
              </w:rPr>
              <w:t>（元）</w:t>
            </w:r>
          </w:p>
        </w:tc>
        <w:tc>
          <w:tcPr>
            <w:tcW w:w="1194"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备注</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812"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第十八届国际交通技术与设备展览会展台设计及搭建服务</w:t>
            </w:r>
          </w:p>
        </w:tc>
        <w:tc>
          <w:tcPr>
            <w:tcW w:w="1679" w:type="pct"/>
            <w:tcBorders>
              <w:top w:val="double" w:color="auto" w:sz="4" w:space="0"/>
              <w:left w:val="single" w:color="auto" w:sz="4" w:space="0"/>
              <w:bottom w:val="double" w:color="auto" w:sz="4" w:space="0"/>
              <w:right w:val="single" w:color="auto" w:sz="4" w:space="0"/>
            </w:tcBorders>
            <w:vAlign w:val="center"/>
          </w:tcPr>
          <w:p w14:paraId="58FFF829">
            <w:pPr>
              <w:tabs>
                <w:tab w:val="left" w:pos="7020"/>
              </w:tabs>
              <w:jc w:val="center"/>
              <w:rPr>
                <w:rFonts w:hint="eastAsia" w:ascii="黑体" w:hAnsi="黑体" w:eastAsia="黑体"/>
                <w:b/>
                <w:color w:val="auto"/>
                <w:sz w:val="24"/>
                <w:highlight w:val="none"/>
                <w:lang w:eastAsia="zh-CN"/>
              </w:rPr>
            </w:pPr>
          </w:p>
        </w:tc>
        <w:tc>
          <w:tcPr>
            <w:tcW w:w="1194" w:type="pct"/>
            <w:tcBorders>
              <w:top w:val="double" w:color="auto" w:sz="4" w:space="0"/>
              <w:left w:val="single" w:color="auto" w:sz="4" w:space="0"/>
              <w:bottom w:val="double" w:color="auto" w:sz="4" w:space="0"/>
              <w:right w:val="single" w:color="auto" w:sz="12" w:space="0"/>
            </w:tcBorders>
            <w:vAlign w:val="center"/>
          </w:tcPr>
          <w:p w14:paraId="3E1EF44A">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125"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874" w:type="pct"/>
            <w:gridSpan w:val="2"/>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公司名称（盖章）：委托代理人（签字）：报价日期：年月日</w:t>
      </w:r>
    </w:p>
    <w:p w14:paraId="20B1E828">
      <w:pPr>
        <w:spacing w:line="440" w:lineRule="exact"/>
        <w:rPr>
          <w:rFonts w:hint="eastAsia" w:ascii="黑体" w:hAnsi="华文楷体" w:eastAsia="黑体"/>
          <w:color w:val="auto"/>
          <w:sz w:val="24"/>
          <w:highlight w:val="none"/>
        </w:rPr>
      </w:pPr>
    </w:p>
    <w:p w14:paraId="594903CD">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w:t>
      </w: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4、报价单附页（如有）共</w:t>
      </w:r>
      <w:r>
        <w:rPr>
          <w:rFonts w:hint="eastAsia" w:ascii="黑体" w:hAnsi="华文楷体" w:eastAsia="黑体"/>
          <w:color w:val="auto"/>
          <w:szCs w:val="21"/>
          <w:highlight w:val="none"/>
          <w:lang w:val="en-US" w:eastAsia="zh-CN"/>
        </w:rPr>
        <w:t xml:space="preserve">  </w:t>
      </w:r>
      <w:bookmarkStart w:id="6" w:name="_GoBack"/>
      <w:bookmarkEnd w:id="6"/>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38EF84-B9C2-402A-AB6E-82270BB3E3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96FCD99B-6C8A-4921-A9EA-C87C59F85388}"/>
  </w:font>
  <w:font w:name="仿宋">
    <w:panose1 w:val="02010609060101010101"/>
    <w:charset w:val="86"/>
    <w:family w:val="modern"/>
    <w:pitch w:val="default"/>
    <w:sig w:usb0="800002BF" w:usb1="38CF7CFA" w:usb2="00000016" w:usb3="00000000" w:csb0="00040001" w:csb1="00000000"/>
    <w:embedRegular r:id="rId3" w:fontKey="{994C2B04-60C1-42F0-8FB8-0763DCBC55DD}"/>
  </w:font>
  <w:font w:name="方正兰亭黑简体">
    <w:panose1 w:val="02000000000000000000"/>
    <w:charset w:val="86"/>
    <w:family w:val="auto"/>
    <w:pitch w:val="default"/>
    <w:sig w:usb0="A00002BF" w:usb1="184F6CFA" w:usb2="00000012" w:usb3="00000000" w:csb0="00040001" w:csb1="00000000"/>
    <w:embedRegular r:id="rId4" w:fontKey="{A15BE881-2E1E-4611-B74B-C251F753BA58}"/>
  </w:font>
  <w:font w:name="华文楷体">
    <w:panose1 w:val="02010600040101010101"/>
    <w:charset w:val="86"/>
    <w:family w:val="auto"/>
    <w:pitch w:val="default"/>
    <w:sig w:usb0="A00002BF" w:usb1="78CF7CFB" w:usb2="00000016" w:usb3="00000000" w:csb0="6006009F" w:csb1="DFD70000"/>
    <w:embedRegular r:id="rId5" w:fontKey="{0FFE5103-AC88-412D-AE88-930AA0A376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9</w:t>
                          </w:r>
                          <w:r>
                            <w:fldChar w:fldCharType="end"/>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9</w:t>
                    </w:r>
                    <w:r>
                      <w:fldChar w:fldCharType="end"/>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71657EB"/>
    <w:rsid w:val="08B545A5"/>
    <w:rsid w:val="092F2754"/>
    <w:rsid w:val="0B7D7F96"/>
    <w:rsid w:val="12FB4D6F"/>
    <w:rsid w:val="13353790"/>
    <w:rsid w:val="13CA7CE9"/>
    <w:rsid w:val="157E6317"/>
    <w:rsid w:val="19F06820"/>
    <w:rsid w:val="1DBE272D"/>
    <w:rsid w:val="1E596D71"/>
    <w:rsid w:val="24050543"/>
    <w:rsid w:val="26883166"/>
    <w:rsid w:val="269F2B16"/>
    <w:rsid w:val="2FB07FD7"/>
    <w:rsid w:val="317D7420"/>
    <w:rsid w:val="331671BF"/>
    <w:rsid w:val="33B3033B"/>
    <w:rsid w:val="33DD0342"/>
    <w:rsid w:val="34416E25"/>
    <w:rsid w:val="35906085"/>
    <w:rsid w:val="3A9852E0"/>
    <w:rsid w:val="3CBE7A10"/>
    <w:rsid w:val="3CD56D74"/>
    <w:rsid w:val="3CFB44C3"/>
    <w:rsid w:val="3D6469F5"/>
    <w:rsid w:val="3EB44731"/>
    <w:rsid w:val="3FCC680A"/>
    <w:rsid w:val="3FDF48A5"/>
    <w:rsid w:val="40115E5B"/>
    <w:rsid w:val="40134FEB"/>
    <w:rsid w:val="41007DAA"/>
    <w:rsid w:val="438704B0"/>
    <w:rsid w:val="44E73D39"/>
    <w:rsid w:val="480A63EB"/>
    <w:rsid w:val="487158D1"/>
    <w:rsid w:val="488E3B06"/>
    <w:rsid w:val="48F25244"/>
    <w:rsid w:val="4CCA439B"/>
    <w:rsid w:val="4D0D4ED5"/>
    <w:rsid w:val="4E8A7B66"/>
    <w:rsid w:val="4EFD134C"/>
    <w:rsid w:val="53F3317F"/>
    <w:rsid w:val="543D6D6A"/>
    <w:rsid w:val="58C4549A"/>
    <w:rsid w:val="5AEA704B"/>
    <w:rsid w:val="5C376D46"/>
    <w:rsid w:val="5DF2219B"/>
    <w:rsid w:val="5E8720EC"/>
    <w:rsid w:val="5EE9209B"/>
    <w:rsid w:val="5F44384A"/>
    <w:rsid w:val="5F5C0960"/>
    <w:rsid w:val="60BF2A71"/>
    <w:rsid w:val="63887FE1"/>
    <w:rsid w:val="63F161B6"/>
    <w:rsid w:val="654D0F67"/>
    <w:rsid w:val="66E533C4"/>
    <w:rsid w:val="681A51E0"/>
    <w:rsid w:val="695E3370"/>
    <w:rsid w:val="699D5EE7"/>
    <w:rsid w:val="6A660877"/>
    <w:rsid w:val="6B99520C"/>
    <w:rsid w:val="71E94098"/>
    <w:rsid w:val="778A5BDE"/>
    <w:rsid w:val="7A1F0BD5"/>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a7d3f7d4-1b9c-4fc4-8592-16456dec0a8b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484506c8-f970-4414-a905-0bc90c391489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1dec5d33-ff6e-4703-8842-3f7e7949fed8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439c7b1f-fa84-4824-b8f2-93b0b51264f7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12A98205</paraID>
      <start>0</start>
      <end>2</end>
      <status>unmodified</status>
      <modifiedWord/>
      <trackRevisions>false</trackRevisions>
    </reviewItem>
    <reviewItem>
      <errorID>dce50d02-c466-404d-acbc-b3039d706620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BEDC3B3</paraID>
      <start>0</start>
      <end>2</end>
      <status>unmodified</status>
      <modifiedWord/>
      <trackRevisions>false</trackRevisions>
    </reviewItem>
    <reviewItem>
      <errorID>ba3c3c93-c5f1-4ef9-9eb7-fd0bb72768e6</errorID>
      <errorWord>体</errorWord>
      <group>L1_Word</group>
      <groupName>字词问题</groupName>
      <ability>L2_Typo</ability>
      <abilityName>字词错误</abilityName>
      <candidateList>
        <item>体验</item>
      </candidateList>
      <explain/>
      <paraID> BEDC3B3</paraID>
      <start>115</start>
      <end>117</end>
      <status>modified</status>
      <modifiedWord>体验</modifiedWord>
      <trackRevisions>false</trackRevisions>
    </reviewItem>
    <reviewItem>
      <errorID>4f8f54ff-5e28-4833-be0c-3b28b47a79ce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437E54F1</paraID>
      <start>0</start>
      <end>2</end>
      <status>unmodified</status>
      <modifiedWord/>
      <trackRevisions>false</trackRevisions>
    </reviewItem>
    <reviewItem>
      <errorID>59003eda-d150-4c3a-baad-822131ec3bb1</errorID>
      <errorWord>站台</errorWord>
      <group>L1_Word</group>
      <groupName>字词问题</groupName>
      <ability>L2_Typo</ability>
      <abilityName>字词错误</abilityName>
      <candidateList>
        <item>展台</item>
      </candidateList>
      <explain/>
      <paraID>111C3798</paraID>
      <start>2</start>
      <end>4</end>
      <status>modified</status>
      <modifiedWord>展台</modifiedWord>
      <trackRevisions>false</trackRevisions>
    </reviewItem>
    <reviewItem>
      <errorID>5be11b88-c2c6-4691-95bd-2db49433ac00</errorID>
      <errorWord>正常和</errorWord>
      <group>L1_Grammar</group>
      <groupName>语法问题</groupName>
      <ability>L2_Order</ability>
      <abilityName>语序不当</abilityName>
      <candidateList>
        <item>正常</item>
      </candidateList>
      <explain>句子可能没有遵循时空、逻辑顺序，或者介词、关联词等位置不当。</explain>
      <paraID>5286BAF9</paraID>
      <start>30</start>
      <end>32</end>
      <status>modified</status>
      <modifiedWord>正常</modifiedWord>
      <trackRevisions>false</trackRevisions>
    </reviewItem>
    <reviewItem>
      <errorID>a2c63374-1885-490f-b01d-9c4d8a61866d</errorID>
      <errorWord>接受</errorWord>
      <group>L1_Word</group>
      <groupName>字词问题</groupName>
      <ability>L2_Typo</ability>
      <abilityName>字词错误</abilityName>
      <candidateList>
        <item>接收</item>
      </candidateList>
      <explain>存在发音相同字词的误用。</explain>
      <paraID> 2716A9A</paraID>
      <start>22</start>
      <end>24</end>
      <status>modified</status>
      <modifiedWord>接收</modifiedWord>
      <trackRevisions>false</trackRevisions>
    </reviewItem>
    <reviewItem>
      <errorID>3276c181-83d1-4cb4-924d-7897d3a98196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ca721ac0-a831-4373-9805-35c9b6c563e9</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1f80e762-307a-4b51-91ac-cf02aadf34e4</errorID>
      <errorWord>:</errorWord>
      <group>L1_Format</group>
      <groupName>格式问题</groupName>
      <ability>L2_HalfPunc_CN</ability>
      <abilityName>全半角问题</abilityName>
      <candidateList>
        <item>：</item>
      </candidateList>
      <explain>文本全半角错误。</explain>
      <paraID>28C0DCFE</paraID>
      <start>2</start>
      <end>3</end>
      <status>unmodified</status>
      <modifiedWord/>
      <trackRevisions>false</trackRevisions>
    </reviewItem>
    <reviewItem>
      <errorID>439ea513-e339-4e90-babc-baf1d2f575bb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554618DC</paraID>
      <start>0</start>
      <end>2</end>
      <status>unmodified</status>
      <modifiedWord/>
      <trackRevisions>false</trackRevisions>
    </reviewItem>
    <reviewItem>
      <errorID>d93738f1-d5e8-4de2-be86-6bf5a034362d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7D349A8B</paraID>
      <start>0</start>
      <end>2</end>
      <status>unmodified</status>
      <modifiedWord/>
      <trackRevisions>false</trackRevisions>
    </reviewItem>
    <reviewItem>
      <errorID>d9f157c6-6dea-44e7-9e95-6350509d0b36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6619B28A</paraID>
      <start>0</start>
      <end>2</end>
      <status>unmodified</status>
      <modifiedWord/>
      <trackRevisions>false</trackRevisions>
    </reviewItem>
    <reviewItem>
      <errorID>e29a0ac2-fa51-4b03-b69f-71c0bd85d936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f4eb5741-ea03-43d6-850a-9fe8303fc30c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c5f0fa41-5ef8-4e0f-9cc7-ce2efa9a0ec5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ea64dc80-c966-4beb-8f62-1731d163c25b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0dd8d9c9-dbea-4af8-9354-fe411fa77d2a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82ee1965-bc47-440c-bbd0-2471e6ad443b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fe43f1-b9ed-4885-afc2-39919b7a678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2404</Words>
  <Characters>2545</Characters>
  <Lines>133</Lines>
  <Paragraphs>161</Paragraphs>
  <TotalTime>2</TotalTime>
  <ScaleCrop>false</ScaleCrop>
  <LinksUpToDate>false</LinksUpToDate>
  <CharactersWithSpaces>2545</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2026-07-03T06:06:34Z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