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Toc28359012"/>
      <w:r>
        <w:rPr>
          <w:rFonts w:hint="eastAsia" w:ascii="宋体" w:hAnsi="宋体"/>
          <w:b/>
          <w:sz w:val="32"/>
          <w:szCs w:val="32"/>
        </w:rPr>
        <w:t>行政楼128报告厅</w:t>
      </w:r>
      <w:bookmarkStart w:id="5" w:name="_GoBack"/>
      <w:bookmarkEnd w:id="5"/>
      <w:r>
        <w:rPr>
          <w:rFonts w:hint="eastAsia" w:ascii="宋体" w:hAnsi="宋体"/>
          <w:b/>
          <w:sz w:val="32"/>
          <w:szCs w:val="32"/>
        </w:rPr>
        <w:t>多媒体设备采购需求</w:t>
      </w:r>
    </w:p>
    <w:p>
      <w:pPr>
        <w:spacing w:line="540" w:lineRule="exac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为应对学校1</w:t>
      </w:r>
      <w:r>
        <w:rPr>
          <w:rFonts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报告厅</w:t>
      </w:r>
      <w:r>
        <w:rPr>
          <w:rFonts w:ascii="仿宋" w:hAnsi="仿宋" w:eastAsia="仿宋" w:cs="仿宋"/>
          <w:sz w:val="28"/>
          <w:szCs w:val="28"/>
        </w:rPr>
        <w:t>会议</w:t>
      </w:r>
      <w:r>
        <w:rPr>
          <w:rFonts w:hint="eastAsia" w:ascii="仿宋" w:hAnsi="仿宋" w:eastAsia="仿宋" w:cs="仿宋"/>
          <w:sz w:val="28"/>
          <w:szCs w:val="28"/>
        </w:rPr>
        <w:t>活动需要，提高会务使用体验，将原有故障及老化的扩声系统设备进行替换，并采购一套操控监看显示设备，以便使用操控人员根据会场情况实时操作。根据学校的需求，采购多媒体设备，拟采取单价比选方式实施采购。</w:t>
      </w:r>
    </w:p>
    <w:p>
      <w:pPr>
        <w:spacing w:line="540" w:lineRule="exact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bookmarkStart w:id="1" w:name="_Toc28359013"/>
      <w:r>
        <w:rPr>
          <w:rFonts w:hint="eastAsia" w:ascii="黑体" w:hAnsi="黑体" w:eastAsia="黑体" w:cs="黑体"/>
          <w:sz w:val="28"/>
          <w:szCs w:val="28"/>
        </w:rPr>
        <w:t>二、投标人资格要求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bookmarkEnd w:id="1"/>
    </w:p>
    <w:p>
      <w:pPr>
        <w:spacing w:line="540" w:lineRule="exac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、具有良好的信用记录，近三年无重大违法、违规、违约行为；</w:t>
      </w:r>
    </w:p>
    <w:p>
      <w:pPr>
        <w:spacing w:line="5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近三年未被列入信用中国（www.creditchina.gov.cn）“失信被执行人”、“重大税收违法案件当事人名单”、“政府采购严重违法失信名单”;</w:t>
      </w:r>
    </w:p>
    <w:p>
      <w:pPr>
        <w:spacing w:line="5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>
      <w:pPr>
        <w:spacing w:line="540" w:lineRule="exact"/>
        <w:ind w:firstLine="0" w:firstLineChars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2" w:name="_Toc28359092"/>
      <w:r>
        <w:rPr>
          <w:rFonts w:hint="eastAsia" w:ascii="黑体" w:hAnsi="黑体" w:eastAsia="黑体" w:cs="黑体"/>
          <w:sz w:val="28"/>
          <w:szCs w:val="28"/>
        </w:rPr>
        <w:t>三、报价文件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</w:t>
      </w:r>
      <w:bookmarkEnd w:id="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组成与要求</w:t>
      </w:r>
    </w:p>
    <w:p>
      <w:pPr>
        <w:widowControl/>
        <w:spacing w:line="540" w:lineRule="exact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（一）报价文件内容包括但不限于下列部分：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1、商务部分：报价表（需加盖公章），企业法人授权委托书原件（需有法人及代理人签字并加盖公章）、法定代表人或被委托人身份证复印件、营业执照。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、技术及服务部分：提供对应技术参数设备相关资料、售后服务承诺、业绩证明。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、其他：供应商认为可以提供的其他相关材料。</w:t>
      </w:r>
    </w:p>
    <w:p>
      <w:pPr>
        <w:pStyle w:val="2"/>
        <w:widowControl/>
        <w:spacing w:line="54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（二）报价文件要求：</w:t>
      </w:r>
    </w:p>
    <w:p>
      <w:pPr>
        <w:pStyle w:val="2"/>
        <w:widowControl/>
        <w:spacing w:line="54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1、报价文件需法人签字或授权代理人签字并加盖公章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扫描成pdf文件发送至</w:t>
      </w:r>
      <w:r>
        <w:fldChar w:fldCharType="begin"/>
      </w:r>
      <w:r>
        <w:instrText xml:space="preserve"> HYPERLINK "mailto:quotation@shmtu.edu.cn" </w:instrText>
      </w:r>
      <w:r>
        <w:fldChar w:fldCharType="separate"/>
      </w:r>
      <w:r>
        <w:rPr>
          <w:rStyle w:val="12"/>
          <w:rFonts w:ascii="Times New Roman" w:hAnsi="Times New Roman"/>
          <w:color w:val="auto"/>
          <w:sz w:val="28"/>
          <w:szCs w:val="28"/>
        </w:rPr>
        <w:t>quotation@shmtu.edu.cn</w:t>
      </w:r>
      <w:r>
        <w:rPr>
          <w:rStyle w:val="12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083" w:bottom="1440" w:left="1083" w:header="851" w:footer="992" w:gutter="0"/>
          <w:pgNumType w:fmt="numberInDash"/>
          <w:cols w:space="0" w:num="1"/>
          <w:rtlGutter w:val="0"/>
          <w:docGrid w:type="lines" w:linePitch="314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、逾期送达或者未送达指定地点的报价文件，采购人不予受理。</w:t>
      </w:r>
    </w:p>
    <w:p>
      <w:pPr>
        <w:spacing w:line="540" w:lineRule="exact"/>
        <w:ind w:firstLine="0"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五、采购需求：</w:t>
      </w:r>
      <w:r>
        <w:rPr>
          <w:rFonts w:hint="eastAsia" w:ascii="黑体" w:hAnsi="黑体" w:eastAsia="黑体" w:cs="黑体"/>
          <w:sz w:val="24"/>
        </w:rPr>
        <w:t>下述品牌仅供参考，不限定推荐品牌</w:t>
      </w:r>
    </w:p>
    <w:tbl>
      <w:tblPr>
        <w:tblStyle w:val="9"/>
        <w:tblW w:w="1484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3"/>
        <w:gridCol w:w="1117"/>
        <w:gridCol w:w="416"/>
        <w:gridCol w:w="933"/>
        <w:gridCol w:w="5995"/>
        <w:gridCol w:w="414"/>
        <w:gridCol w:w="789"/>
        <w:gridCol w:w="707"/>
        <w:gridCol w:w="10"/>
        <w:gridCol w:w="929"/>
        <w:gridCol w:w="930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right"/>
        </w:trPr>
        <w:tc>
          <w:tcPr>
            <w:tcW w:w="133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发言&amp;扩声部分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配置原因及说明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技术标准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推荐品牌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吸顶音箱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故障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天花板扬声器；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单元组成：6.5英寸低音单元，0.75英寸高音单元；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◆SonicGuardTM声音过载保护，保护高音单元损坏； 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频率范围：75Hz-20kHz；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功率：连续节目功率：150W, 连续粉红噪声功率 75W；                                                                  接线端子：密封的可拆的加锁连接端子；拉紧电缆解脱；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最大声压级：107dB SPL @ 1m；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灵敏度：89dB  1m/1 W 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覆盖角度：110°；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阻抗：16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QSC ,EV,JBL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主扬声器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老化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二分频扬声器，带专利PT波导式号筒及压缩驱动器，可旋转用于水平或垂直安装；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带原厂吊挂孔；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扬声器组成：低音：1×10"，高音：1×1.5"；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频率范围(-10dB)：68Hz—20kHz，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频率响应(±3dB)：85Hz—18kHz；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灵敏度（1W@1m）：95dB；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AES功率：300W；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最大声压级：124dB；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阻抗：8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覆盖角度（水平×垂直）：90°×50°,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QSC ,EV,JBL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功率放大器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老化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立体声 :250W*4;4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立体声 :450W*4;2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立体声 :700W*4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16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桥接功率 :500W*2;8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桥接功率 :900W*2;4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桥接功率 :1400W*2;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100V定压 :-;70V定压 : -;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最大输入电平 : 8.7Vrms (+21dBu)（默认增益）;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默认增益 (额定输出功率，1kHz) :15dB;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增益范围 (额定输出功率，1kHz) :15~33dB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失真 :0.05% (10%额定输出功率，1kHz);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频率响应 :典型值：±0.5dB (额定输出功率，20Hz-1kHz，8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）;输入阻抗 :20k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 (平衡)，10k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 (非平衡);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阻尼系数 :1000 (20Hz-200Hz，Lo-Z，8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信噪比 :≥100dB (A计权);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电源要求 :100-240VAC ±10%，50/60Hz;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保护功能 :电源欠压保护、功放输出直流保护、过热保护、温度功率控制、过载功率控制;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ENNE,CROWN,QSC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功率放大器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老化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立体声 :450W*2;4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立体声 :750W*2;2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立体声 :1300W*2;16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桥接功率 :900W*1;8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桥接功率 :1500W*1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;4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桥接功率 :2600W*1;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100V定压 :-;70V定压 : -;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最大输入电平 :8.7Vrms (+21dBu)（默认增益）;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默认增益 (额定输出功率，1kHz) :18dB;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增益范围 (额定输出功率，1kHz) :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18~36dB;失真 :0.05% (10%额定输出功率，1kHz);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频率响应 :典型值：±0.5dB (额定输出功率，20Hz-1kHz，8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）;输入阻抗 :20k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 (平衡)，10k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 (非平衡);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阻尼系数 :1000 (20Hz-200Hz，Lo-Z，8</w:t>
            </w:r>
            <w:r>
              <w:rPr>
                <w:rStyle w:val="20"/>
                <w:sz w:val="21"/>
                <w:szCs w:val="21"/>
                <w:lang w:bidi="ar"/>
              </w:rPr>
              <w:t>Ω</w:t>
            </w:r>
            <w:r>
              <w:rPr>
                <w:rStyle w:val="19"/>
                <w:rFonts w:hint="default"/>
                <w:sz w:val="21"/>
                <w:szCs w:val="21"/>
                <w:lang w:bidi="ar"/>
              </w:rPr>
              <w:t>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信噪比 :≥105 dB (A计权);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电源要求 :100-240VAC ±10%，50/60Hz;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保护功能 :电源欠压保护、功放输出直流保护、过热保护、温度功率控制、过载功率控制;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ENNE,CROWN,QSC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音频处理器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配套更换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1.64 x 64网络音频通道 (Q-LAN / AES67) 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2.8路自定义音频通道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3.8进8出GPIO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3.8路AEC回声消除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4.内置16通道多轨播放器（可扩展32路）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5.支持网络流媒体播放12 x 12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6.支持最多32*32路基于软件的Dante通道（内置8 x 8）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7.USB 音视频连接 (支持8 x 8音频+ Q-SYS摄像头)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8.外置USB音频设备接驳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9.支持 2 路 VoIP 电话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10.全功能Q-SYS控制引擎，可控制外部设备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11.双千兆以太网端口（RJ45），实现VOIP、Q-LAN音视频控制、以及系统热备份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12.1/2U机架宽度，包装包含各种安装配件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1、通道容量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网络音频通道数  64 x 64 （购买许可最大支持 128x128）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Dante 通道数  8x8（购买许可最大支持 32x32）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8路板载自定义音频接口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a) 音频输入：幻象电源 +48 VDC，每个输入最大 10 mA ，A/D - D/A 转换器 24 bit 采样率 48 kHz ，输入频率响应 20 Hz to 20 kHz @ +24dBu +0.05 dB / -0.5 dB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b)音频输出：输出频率响应 20 Hz to 20 kHz @ 所有设定 + 0.5 / -.3 dB，8路AEC回声消除（通过可选证书最大支持16路），录音 / 回放  4 路录音 /16 路回放 ( 通过可选证书最大支持 32 )，内置16g多媒体播放容量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2、1路USB声卡（USB B或C）音频位深 16 bit ，通道数 8 x 8 ，采样频率 48 kHz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3、4路 USB A 支持USB头戴耳机等周边设备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4、输入：采样率 48k 或 16k，单声道 比特率 8-bit,16-bit, 24-bit, 32-bit, float 格式 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5、输出：采样率48k , 立体声 比特率 8-bit, 16-bit, 24-bit, 32-bit, float 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6、设备尺寸 (LWH) 286.5 x 220 x 43.7 mm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7、2路 RS-232控制接口，8进8出 GPIO接口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8、支持 32台Q-SYS网络设备（可扩展48台）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9、具有UL、CE、ROHS、FCC认证、ilac-MRA第三方检测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BSS ,QSC,dbx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稳压电源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老化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容量:3kVA/2400W</w:t>
            </w:r>
          </w:p>
          <w:p>
            <w:pPr>
              <w:widowControl/>
              <w:jc w:val="left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输入:电压范围(110-300)VAC</w:t>
            </w:r>
          </w:p>
          <w:p>
            <w:pPr>
              <w:ind w:left="420" w:firstLine="420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频率范围40Hz-70Hz</w:t>
            </w:r>
          </w:p>
          <w:p>
            <w:pPr>
              <w:ind w:left="420" w:firstLine="420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输入功率因数≧ 0.98</w:t>
            </w:r>
          </w:p>
          <w:p>
            <w:pPr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输出:输出电压220*(1±2%)VAC</w:t>
            </w:r>
          </w:p>
          <w:p>
            <w:pPr>
              <w:ind w:left="420" w:firstLine="420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 xml:space="preserve">输出频率50±0.05Hz (电池模式) </w:t>
            </w:r>
          </w:p>
          <w:p>
            <w:pPr>
              <w:ind w:left="420" w:firstLine="420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输出功因40°C环境温度下0.8，30°C环境温度下0.9</w:t>
            </w:r>
          </w:p>
          <w:p>
            <w:pPr>
              <w:ind w:left="420" w:firstLine="420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插座形式*数量：国标插座*2</w:t>
            </w:r>
          </w:p>
          <w:p>
            <w:pPr>
              <w:widowControl/>
              <w:jc w:val="left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显示:LCD+LED，LCD电压、频率等信息显示、UPS运行状况指示灯等</w:t>
            </w:r>
          </w:p>
          <w:p>
            <w:pPr>
              <w:widowControl/>
              <w:jc w:val="left"/>
              <w:rPr>
                <w:rStyle w:val="19"/>
                <w:rFonts w:hint="default"/>
                <w:sz w:val="21"/>
                <w:szCs w:val="21"/>
                <w:lang w:bidi="ar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物理参数:尺寸 (WxDxH)mm:438*420*87</w:t>
            </w:r>
          </w:p>
          <w:p>
            <w:pPr>
              <w:rPr>
                <w:rStyle w:val="19"/>
                <w:rFonts w:hint="default" w:ascii="Calibri" w:hAnsi="Calibri" w:cs="Times New Roman"/>
                <w:color w:val="auto"/>
                <w:sz w:val="36"/>
                <w:szCs w:val="44"/>
              </w:rPr>
            </w:pPr>
            <w:r>
              <w:rPr>
                <w:rStyle w:val="19"/>
                <w:rFonts w:hint="default"/>
                <w:sz w:val="21"/>
                <w:szCs w:val="21"/>
                <w:lang w:bidi="ar"/>
              </w:rPr>
              <w:t>重量 (kg):21.6KG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APC,</w:t>
            </w:r>
            <w:r>
              <w:rPr>
                <w:rFonts w:ascii="仿宋" w:hAnsi="仿宋" w:eastAsia="仿宋" w:cs="仿宋"/>
                <w:szCs w:val="21"/>
              </w:rPr>
              <w:t>伊顿，山特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20倍高清云台摄像机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需新增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1.国际知名厂家生产的1/2.8英寸，CMOS 图像传感器，支持1080P60，1080P50，1080P30，1080P25，720P60，720P50；（需广电检测报告）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2.必须支持网口音视频编码输出，支持H.265/H.264/MJEPG三种视频编码标准，音频AAC编码标准；必须支持RTSP、RTMP、Onvif、组播等网络协议；网络视频编码码率最大可支持20Mbps，网络音频编码码率最大可支持256Kbps。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3.支持HDMI+3G-SDI两路非压缩专业视频输出, 网络编码、HDMI、SDI、USB四路同时输出图像（需广电检测报告）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4.同时具有2D和3D降噪算法，降低图像噪声，图像信噪比≥55dB。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5.必须支持预置位过程图像冻结功能。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6.电视线≥900（需广电检测报告）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7.高品质变焦镜头，最大视角必须≥60°，光学变焦≥20倍 （需广电检测报告）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8.需同时支持RS232+RS485两种串口，支持VISCA、PELCO-D/P多种协议的对摄像机进：±170°，垂直：-30°~+90°。转动速度范围，水平：1.7° ~ 100°/s，垂直1.7° ~ 69.9°/s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9.摄像机可设置不少于250个预置位，预置位精度≤0.1°。 （需广电检测报告）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10.支持音频LINE IN输入及line out输出，可外接麦克风，无线小蜜蜂等，摄像机可对音频进行编码。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11.支持行人重识别技术，可以根据行人穿着、体型、发型以及人脸识别等信息能够准确判断一个人所在位置，实现自动识别目标人形并跟踪。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12.支持版本升级功能，可通过计算机进行版本升级.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13.支持NDI|HX2协议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14.厂商具备提供ISO9001质量管理体系认证证书，ISO14001环境管理体系认证证书，ISO45001职业健康安全管理体系认证证书。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潍海德,PUA,BoLin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bookmarkStart w:id="3" w:name="OLE_LINK15"/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控制键盘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需新增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广播应用级控制键盘，按键布局结合人体工学操作体验式设计，采用2维遥杆与变倍桥键分布式设计，提升操控性，更强更稳定，所有按键采用硅胶背光设计，舒适与时尚，内置VISCA, UDP, PELCO P/D等多种控制协议，支持RS422/RS485/RS232/IP等多接口方式同时通讯，采用5路摄像机快捷通道键和5个无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变速旋钮，4个彩色LED多屏显示设计，设置简单，易操作；支持AE曝光与WB白平衡多模式可视化切换，实时数值呈现更直观；支持一键自动、手动、OPT 聚焦模式。支持7级 Pan/Tilt云台转速与Zoom 速度可视调节。多应用于视频会议、专业影音系统、录播室、广播广电、教育教学、远程医疗、活动或事件视频录制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优势与特点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•外观设计精巧，按键布局结合人体工学操作体验式设计；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•采用云台转动（二维摇杆））与变倍桥键（力度按压）分布式设计，操控性更强，更稳定；快捷•内置VISCA, UDP, PELCO P/D等多种控制协议；兼容性强，可控制所有云台摄像机（特殊协议定制）；•支持RS422/RS485/RS232/IP等多接口方式同时通讯连接，互不干扰；•采用5路摄像机快捷通道按键和5个无极变速旋转；•采用4个彩色LED 多屏显示设计，•主屏显示面板背光三档（低、高、正常）可调节。•主显示屏显示相关操控内容界面。•支持AE曝光与WB白平衡多模式可视化任意切换，实时数值呈现，更直观。•支持一键自动、手动、OPT 聚焦模式（单次聚焦触发）•支持7级 Pan/Tilt云台转速与Zoom 速度可视调节•支持预置位设置与调用主屏实时显示•最大支持5个快捷预置位调用与存储•最多可支持连接5个摄像机•采用彩色背光按键设计，更舒适与时尚•支持系统密码设置，操控权限限制，机身自带金士顿锁扣。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Panasonic,PUA,BoLin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显示器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需新增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32英寸 IPS G-sync FreeSync 显示器 (2560×1440、165Hz、HDR400)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SAMSUNG,DELL,Philips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分屏器四进一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需新增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摄像头画面分割切换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Tesla,ENNE,Black magic desgin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righ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POE交换机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需新增</w:t>
            </w:r>
          </w:p>
        </w:tc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8口千兆交换机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HUAWEI,TP-LINK,NETGEAR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14845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跳线&amp;辅材部分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077" w:type="dxa"/>
            <w:gridSpan w:val="2"/>
            <w:shd w:val="clear" w:color="auto" w:fill="BEBEB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33" w:type="dxa"/>
            <w:gridSpan w:val="2"/>
            <w:shd w:val="clear" w:color="auto" w:fill="BEBEB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342" w:type="dxa"/>
            <w:gridSpan w:val="3"/>
            <w:shd w:val="clear" w:color="auto" w:fill="BEBEB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789" w:type="dxa"/>
            <w:shd w:val="clear" w:color="auto" w:fill="BEBEB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7" w:type="dxa"/>
            <w:shd w:val="clear" w:color="auto" w:fill="BEBEB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397" w:type="dxa"/>
            <w:gridSpan w:val="4"/>
            <w:shd w:val="clear" w:color="auto" w:fill="BEBEB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线材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音响线、高清线、卡隆线、音频线、VGA线等弱电相关线材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秋叶原、海缔立、绿联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管材&amp;辅材部分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PVC管材&amp;辅材部分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安装调试费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线路的敷敷、设备安装、调试以及敷设线路造成的墙面及舞台地板的维修费用,投影机及投影机电动吊架的拆除，吊顶恢复的费用，并对会议室原有线路进行全面清理，清除所有无用的线材的费用，将所有设备的强电接入新的稳压电源中，并清除原有废旧的强电线路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bookmarkEnd w:id="3"/>
    </w:tbl>
    <w:p>
      <w:pPr>
        <w:rPr>
          <w:rFonts w:hint="eastAsia" w:ascii="黑体" w:hAnsi="黑体" w:eastAsia="黑体" w:cs="黑体"/>
          <w:sz w:val="28"/>
          <w:szCs w:val="28"/>
        </w:rPr>
        <w:sectPr>
          <w:pgSz w:w="16838" w:h="11905" w:orient="landscape"/>
          <w:pgMar w:top="1083" w:right="1440" w:bottom="1083" w:left="1440" w:header="851" w:footer="992" w:gutter="0"/>
          <w:pgNumType w:fmt="numberInDash"/>
          <w:cols w:space="0" w:num="1"/>
          <w:rtlGutter w:val="0"/>
          <w:docGrid w:type="lines" w:linePitch="314" w:charSpace="0"/>
        </w:sect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spacing w:line="2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六、质量要求</w:t>
      </w:r>
    </w:p>
    <w:p>
      <w:pPr>
        <w:pStyle w:val="2"/>
        <w:spacing w:line="240" w:lineRule="atLeast"/>
        <w:ind w:left="0" w:leftChars="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1、所投标产品应按国标、部标或行业标准要求制造，达到合格标准。</w:t>
      </w:r>
    </w:p>
    <w:p>
      <w:pPr>
        <w:pStyle w:val="2"/>
        <w:spacing w:line="240" w:lineRule="atLeast"/>
        <w:ind w:left="0" w:leftChars="0"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2、售后服务不少于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年，各投标单位自报。</w:t>
      </w:r>
    </w:p>
    <w:p>
      <w:pPr>
        <w:pStyle w:val="2"/>
        <w:spacing w:line="240" w:lineRule="atLeast"/>
        <w:ind w:left="0" w:leftChars="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七、交货要求</w:t>
      </w:r>
    </w:p>
    <w:p>
      <w:pPr>
        <w:spacing w:line="2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合同服务期内，乙方需在校方提出送货要求后的约定时间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日送货，内送货至上海市浦东新区南汇新城镇海港大道1550号上海海事大学128报告厅。</w:t>
      </w:r>
    </w:p>
    <w:p>
      <w:pPr>
        <w:spacing w:line="240" w:lineRule="atLeas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八、付款方式</w:t>
      </w:r>
    </w:p>
    <w:p>
      <w:pPr>
        <w:spacing w:line="24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OLE_LINK1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经合同签订后5个工作日预付定金30%,安装完成后由甲方验收合格后支付尾款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0%。</w:t>
      </w:r>
    </w:p>
    <w:bookmarkEnd w:id="4"/>
    <w:p>
      <w:pPr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九、评分标准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11"/>
        <w:gridCol w:w="1644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评分因素</w:t>
            </w:r>
          </w:p>
        </w:tc>
        <w:tc>
          <w:tcPr>
            <w:tcW w:w="31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投标报价</w:t>
            </w:r>
          </w:p>
        </w:tc>
        <w:tc>
          <w:tcPr>
            <w:tcW w:w="3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价格分采用平均分优先法计算，即满足采购要求且投标报价平均价为基准价，低于等于基准价其价格分为满分。其他投标人的价格分统一按照下列公式计算：投标报价得分=（基准价／投标报价）×报价权重（40%）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设备技术参数响应</w:t>
            </w:r>
          </w:p>
        </w:tc>
        <w:tc>
          <w:tcPr>
            <w:tcW w:w="3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根据整体响应情况，优秀得24-30分,一般得12-18分，较差得0-6分。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售后服务方案</w:t>
            </w:r>
          </w:p>
        </w:tc>
        <w:tc>
          <w:tcPr>
            <w:tcW w:w="3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保修承诺的具体内容和实施措施（根据投标人提供的售后服务方案的合理性和可行性进行综合评审，包括服务体系、服务内容、故障解决方案、响应时间、专业技术人员保障， 团队等以及质保期后的服务方案，相对较优者得 13-15分，基本可行者得7-12分，相对较差着得 0-6分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业绩案例</w:t>
            </w:r>
          </w:p>
        </w:tc>
        <w:tc>
          <w:tcPr>
            <w:tcW w:w="3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提供投标人或设备厂家近三年以来近似的业绩案例，每提供一项业绩得3分，最高得15分。注：需提供合同复印件或中标通知书，加盖公司公章，复印件胶装在投标文件中，否则该业绩不予认可。</w:t>
            </w:r>
          </w:p>
        </w:tc>
      </w:tr>
    </w:tbl>
    <w:p>
      <w:pPr>
        <w:pStyle w:val="2"/>
      </w:pPr>
    </w:p>
    <w:sectPr>
      <w:pgSz w:w="11905" w:h="16838"/>
      <w:pgMar w:top="1440" w:right="1083" w:bottom="1440" w:left="1083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0B1B22"/>
    <w:rsid w:val="000112B2"/>
    <w:rsid w:val="00041366"/>
    <w:rsid w:val="00047BDF"/>
    <w:rsid w:val="00066C42"/>
    <w:rsid w:val="000712B2"/>
    <w:rsid w:val="000A035E"/>
    <w:rsid w:val="000B1B22"/>
    <w:rsid w:val="000B3FD3"/>
    <w:rsid w:val="000D6B7C"/>
    <w:rsid w:val="00105277"/>
    <w:rsid w:val="00121423"/>
    <w:rsid w:val="00172B0E"/>
    <w:rsid w:val="001C4C26"/>
    <w:rsid w:val="002135EE"/>
    <w:rsid w:val="00214801"/>
    <w:rsid w:val="002410F1"/>
    <w:rsid w:val="0025081B"/>
    <w:rsid w:val="00262A2B"/>
    <w:rsid w:val="00271BAA"/>
    <w:rsid w:val="002772EF"/>
    <w:rsid w:val="0029140B"/>
    <w:rsid w:val="002B53E0"/>
    <w:rsid w:val="002D593B"/>
    <w:rsid w:val="00304462"/>
    <w:rsid w:val="00304DE8"/>
    <w:rsid w:val="003231E8"/>
    <w:rsid w:val="00371B60"/>
    <w:rsid w:val="00380773"/>
    <w:rsid w:val="003B2791"/>
    <w:rsid w:val="003B5C2F"/>
    <w:rsid w:val="003D4BB1"/>
    <w:rsid w:val="003E22D1"/>
    <w:rsid w:val="003F6F95"/>
    <w:rsid w:val="00431C1A"/>
    <w:rsid w:val="0043492A"/>
    <w:rsid w:val="00450064"/>
    <w:rsid w:val="00472B66"/>
    <w:rsid w:val="0049457D"/>
    <w:rsid w:val="004B6BD4"/>
    <w:rsid w:val="004D7F75"/>
    <w:rsid w:val="0050346B"/>
    <w:rsid w:val="0051174D"/>
    <w:rsid w:val="0052086D"/>
    <w:rsid w:val="0052185B"/>
    <w:rsid w:val="00525735"/>
    <w:rsid w:val="00547FD7"/>
    <w:rsid w:val="005A2C74"/>
    <w:rsid w:val="005C5993"/>
    <w:rsid w:val="005D415B"/>
    <w:rsid w:val="005E6631"/>
    <w:rsid w:val="005F53A6"/>
    <w:rsid w:val="006207A5"/>
    <w:rsid w:val="006441DF"/>
    <w:rsid w:val="00694A91"/>
    <w:rsid w:val="006D52AC"/>
    <w:rsid w:val="006E1B0B"/>
    <w:rsid w:val="006F1672"/>
    <w:rsid w:val="007148EA"/>
    <w:rsid w:val="007350C3"/>
    <w:rsid w:val="00735F0E"/>
    <w:rsid w:val="00752FCD"/>
    <w:rsid w:val="00772087"/>
    <w:rsid w:val="007A6EC9"/>
    <w:rsid w:val="007B39DB"/>
    <w:rsid w:val="007D377C"/>
    <w:rsid w:val="00815D54"/>
    <w:rsid w:val="008264CA"/>
    <w:rsid w:val="00827447"/>
    <w:rsid w:val="00845F30"/>
    <w:rsid w:val="0085271D"/>
    <w:rsid w:val="008B6D6D"/>
    <w:rsid w:val="008C1FBC"/>
    <w:rsid w:val="008C6BC4"/>
    <w:rsid w:val="008D51C3"/>
    <w:rsid w:val="00902DA6"/>
    <w:rsid w:val="00973373"/>
    <w:rsid w:val="009E0775"/>
    <w:rsid w:val="009E26F4"/>
    <w:rsid w:val="009F30C5"/>
    <w:rsid w:val="009F69C8"/>
    <w:rsid w:val="00A05DF8"/>
    <w:rsid w:val="00A21CD3"/>
    <w:rsid w:val="00A22553"/>
    <w:rsid w:val="00A41C07"/>
    <w:rsid w:val="00A42BCD"/>
    <w:rsid w:val="00AA5B88"/>
    <w:rsid w:val="00AE399E"/>
    <w:rsid w:val="00AE4DFB"/>
    <w:rsid w:val="00B40CD2"/>
    <w:rsid w:val="00B52682"/>
    <w:rsid w:val="00B561DF"/>
    <w:rsid w:val="00B75C95"/>
    <w:rsid w:val="00B83E58"/>
    <w:rsid w:val="00B86BE9"/>
    <w:rsid w:val="00BE4C4D"/>
    <w:rsid w:val="00BF1CA5"/>
    <w:rsid w:val="00C06379"/>
    <w:rsid w:val="00C32AEA"/>
    <w:rsid w:val="00C65289"/>
    <w:rsid w:val="00C65FBB"/>
    <w:rsid w:val="00C77551"/>
    <w:rsid w:val="00CA2312"/>
    <w:rsid w:val="00CC755C"/>
    <w:rsid w:val="00CE2175"/>
    <w:rsid w:val="00D457C0"/>
    <w:rsid w:val="00D47016"/>
    <w:rsid w:val="00DA7E51"/>
    <w:rsid w:val="00DE03F5"/>
    <w:rsid w:val="00DE5900"/>
    <w:rsid w:val="00E02BC5"/>
    <w:rsid w:val="00E35C2E"/>
    <w:rsid w:val="00E507A1"/>
    <w:rsid w:val="00E6145F"/>
    <w:rsid w:val="00E87FBC"/>
    <w:rsid w:val="00EA75D0"/>
    <w:rsid w:val="00EC7E62"/>
    <w:rsid w:val="00EF5F6B"/>
    <w:rsid w:val="00EF6524"/>
    <w:rsid w:val="00EF6FC8"/>
    <w:rsid w:val="00F01EDD"/>
    <w:rsid w:val="00F10CB6"/>
    <w:rsid w:val="00F20FF3"/>
    <w:rsid w:val="00F42FCA"/>
    <w:rsid w:val="00F44C1B"/>
    <w:rsid w:val="00F77705"/>
    <w:rsid w:val="00F77F7B"/>
    <w:rsid w:val="00FB5F3F"/>
    <w:rsid w:val="00FD5DCF"/>
    <w:rsid w:val="0322334C"/>
    <w:rsid w:val="03BB0549"/>
    <w:rsid w:val="045003F3"/>
    <w:rsid w:val="0644429B"/>
    <w:rsid w:val="07865329"/>
    <w:rsid w:val="07EF0236"/>
    <w:rsid w:val="082F4327"/>
    <w:rsid w:val="08836BD0"/>
    <w:rsid w:val="0A365481"/>
    <w:rsid w:val="0C3E353A"/>
    <w:rsid w:val="0CCC608B"/>
    <w:rsid w:val="0CEE71B9"/>
    <w:rsid w:val="10AE582D"/>
    <w:rsid w:val="11174EEC"/>
    <w:rsid w:val="11457F2D"/>
    <w:rsid w:val="114864D0"/>
    <w:rsid w:val="120C7C36"/>
    <w:rsid w:val="120F1FC0"/>
    <w:rsid w:val="12E7492B"/>
    <w:rsid w:val="135A192C"/>
    <w:rsid w:val="16694259"/>
    <w:rsid w:val="19110278"/>
    <w:rsid w:val="195C3451"/>
    <w:rsid w:val="19706CFD"/>
    <w:rsid w:val="1B370E18"/>
    <w:rsid w:val="1BAC0120"/>
    <w:rsid w:val="1C4919D6"/>
    <w:rsid w:val="1CA84549"/>
    <w:rsid w:val="1F63531C"/>
    <w:rsid w:val="1F78690B"/>
    <w:rsid w:val="1FA960E2"/>
    <w:rsid w:val="1FF705AF"/>
    <w:rsid w:val="21DE514B"/>
    <w:rsid w:val="24C75794"/>
    <w:rsid w:val="25B81744"/>
    <w:rsid w:val="25BD776E"/>
    <w:rsid w:val="26E33A06"/>
    <w:rsid w:val="280073F9"/>
    <w:rsid w:val="29C90EB0"/>
    <w:rsid w:val="2A9E191C"/>
    <w:rsid w:val="2B892294"/>
    <w:rsid w:val="2C0B258D"/>
    <w:rsid w:val="2C7A0167"/>
    <w:rsid w:val="2DE0759B"/>
    <w:rsid w:val="2F9A6DA3"/>
    <w:rsid w:val="30BA1DAB"/>
    <w:rsid w:val="322B5A66"/>
    <w:rsid w:val="32B33B1F"/>
    <w:rsid w:val="337A62C1"/>
    <w:rsid w:val="337F440B"/>
    <w:rsid w:val="34656C04"/>
    <w:rsid w:val="36A24542"/>
    <w:rsid w:val="39810DD3"/>
    <w:rsid w:val="3B847CF2"/>
    <w:rsid w:val="3CB834AB"/>
    <w:rsid w:val="3D3D6D72"/>
    <w:rsid w:val="3FEF4EA9"/>
    <w:rsid w:val="402244C5"/>
    <w:rsid w:val="40A460A3"/>
    <w:rsid w:val="40E052AB"/>
    <w:rsid w:val="41AC44C7"/>
    <w:rsid w:val="42350960"/>
    <w:rsid w:val="434F017C"/>
    <w:rsid w:val="449658FD"/>
    <w:rsid w:val="460C464B"/>
    <w:rsid w:val="467B090B"/>
    <w:rsid w:val="47EC7D13"/>
    <w:rsid w:val="486D0F95"/>
    <w:rsid w:val="49B83E98"/>
    <w:rsid w:val="4AE71C5F"/>
    <w:rsid w:val="4C043151"/>
    <w:rsid w:val="4C4E3326"/>
    <w:rsid w:val="4F2060C9"/>
    <w:rsid w:val="51D63240"/>
    <w:rsid w:val="527810BE"/>
    <w:rsid w:val="527C5AA9"/>
    <w:rsid w:val="53542C10"/>
    <w:rsid w:val="5699330D"/>
    <w:rsid w:val="56A50A2E"/>
    <w:rsid w:val="57103CA0"/>
    <w:rsid w:val="580110D4"/>
    <w:rsid w:val="5875165E"/>
    <w:rsid w:val="58E2051D"/>
    <w:rsid w:val="5A6A4215"/>
    <w:rsid w:val="5C8005D2"/>
    <w:rsid w:val="5D14497D"/>
    <w:rsid w:val="5F6C3F37"/>
    <w:rsid w:val="5FF84813"/>
    <w:rsid w:val="60474E32"/>
    <w:rsid w:val="62842E61"/>
    <w:rsid w:val="64D04428"/>
    <w:rsid w:val="659550EE"/>
    <w:rsid w:val="659F5F6D"/>
    <w:rsid w:val="66A07BE5"/>
    <w:rsid w:val="6A8120E5"/>
    <w:rsid w:val="6B27620E"/>
    <w:rsid w:val="6BED3748"/>
    <w:rsid w:val="6C3F2D24"/>
    <w:rsid w:val="6C474399"/>
    <w:rsid w:val="6CFF75DF"/>
    <w:rsid w:val="6E07348B"/>
    <w:rsid w:val="70255908"/>
    <w:rsid w:val="712B442D"/>
    <w:rsid w:val="7260129D"/>
    <w:rsid w:val="72F06686"/>
    <w:rsid w:val="72F75A8F"/>
    <w:rsid w:val="731570C4"/>
    <w:rsid w:val="732F0FFB"/>
    <w:rsid w:val="76803F50"/>
    <w:rsid w:val="780378B3"/>
    <w:rsid w:val="797D7D5C"/>
    <w:rsid w:val="7BD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420" w:leftChars="200"/>
    </w:pPr>
  </w:style>
  <w:style w:type="paragraph" w:styleId="4">
    <w:name w:val="Body Text"/>
    <w:basedOn w:val="1"/>
    <w:next w:val="5"/>
    <w:autoRedefine/>
    <w:qFormat/>
    <w:uiPriority w:val="0"/>
  </w:style>
  <w:style w:type="paragraph" w:styleId="5">
    <w:name w:val="Subtitle"/>
    <w:basedOn w:val="1"/>
    <w:next w:val="1"/>
    <w:autoRedefine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qFormat/>
    <w:uiPriority w:val="99"/>
    <w:rPr>
      <w:color w:val="0000FF"/>
      <w:u w:val="single"/>
    </w:rPr>
  </w:style>
  <w:style w:type="character" w:customStyle="1" w:styleId="13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6"/>
    <w:autoRedefine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font71"/>
    <w:basedOn w:val="11"/>
    <w:autoRedefine/>
    <w:qFormat/>
    <w:uiPriority w:val="0"/>
    <w:rPr>
      <w:rFonts w:ascii="Symbol" w:hAnsi="Symbol" w:cs="Symbol"/>
      <w:color w:val="99CCFF"/>
      <w:sz w:val="24"/>
      <w:szCs w:val="24"/>
      <w:u w:val="single"/>
    </w:rPr>
  </w:style>
  <w:style w:type="character" w:customStyle="1" w:styleId="18">
    <w:name w:val="font51"/>
    <w:basedOn w:val="11"/>
    <w:autoRedefine/>
    <w:qFormat/>
    <w:uiPriority w:val="0"/>
    <w:rPr>
      <w:rFonts w:hint="eastAsia" w:ascii="宋体" w:hAnsi="宋体" w:eastAsia="宋体" w:cs="宋体"/>
      <w:color w:val="8DB4E2"/>
      <w:sz w:val="24"/>
      <w:szCs w:val="24"/>
      <w:u w:val="singl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1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8</Pages>
  <Words>1045</Words>
  <Characters>5963</Characters>
  <Lines>49</Lines>
  <Paragraphs>13</Paragraphs>
  <TotalTime>163</TotalTime>
  <ScaleCrop>false</ScaleCrop>
  <LinksUpToDate>false</LinksUpToDate>
  <CharactersWithSpaces>6995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2020-05-21T01:48:00Z</dcterms:created>
  <dc:creator>wdyang</dc:creator>
  <cp:lastModifiedBy>仲杰</cp:lastModifiedBy>
  <cp:lastPrinted>2023-07-07T07:34:00Z</cp:lastPrinted>
  <dcterms:modified xsi:type="dcterms:W3CDTF">2024-05-21T00:52:49Z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2BFD4E6E654345D5A91C1D7A1F484CD5_13</vt:lpwstr>
  </property>
</Properties>
</file>