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2D282B">
      <w:pPr>
        <w:jc w:val="center"/>
        <w:rPr>
          <w:rFonts w:hint="eastAsia" w:ascii="方正兰亭黑简体" w:hAnsi="方正兰亭黑简体" w:eastAsia="方正兰亭黑简体" w:cs="方正兰亭黑简体"/>
          <w:b/>
          <w:bCs/>
          <w:color w:val="auto"/>
          <w:sz w:val="28"/>
          <w:szCs w:val="36"/>
          <w:highlight w:val="none"/>
        </w:rPr>
      </w:pPr>
    </w:p>
    <w:p w14:paraId="006AC946">
      <w:pPr>
        <w:jc w:val="center"/>
        <w:rPr>
          <w:rFonts w:hint="eastAsia" w:ascii="方正兰亭黑简体" w:hAnsi="方正兰亭黑简体" w:eastAsia="方正兰亭黑简体" w:cs="方正兰亭黑简体"/>
          <w:b/>
          <w:bCs/>
          <w:color w:val="auto"/>
          <w:sz w:val="28"/>
          <w:szCs w:val="36"/>
          <w:highlight w:val="none"/>
        </w:rPr>
      </w:pPr>
    </w:p>
    <w:p w14:paraId="1BB83921">
      <w:pPr>
        <w:jc w:val="center"/>
        <w:rPr>
          <w:rFonts w:hint="eastAsia" w:ascii="方正兰亭黑简体" w:hAnsi="方正兰亭黑简体" w:eastAsia="方正兰亭黑简体" w:cs="方正兰亭黑简体"/>
          <w:b/>
          <w:bCs/>
          <w:color w:val="auto"/>
          <w:sz w:val="28"/>
          <w:szCs w:val="36"/>
          <w:highlight w:val="none"/>
        </w:rPr>
      </w:pPr>
    </w:p>
    <w:p w14:paraId="05747166">
      <w:pPr>
        <w:jc w:val="center"/>
        <w:rPr>
          <w:rFonts w:hint="eastAsia" w:ascii="方正兰亭黑简体" w:hAnsi="方正兰亭黑简体" w:eastAsia="方正兰亭黑简体" w:cs="方正兰亭黑简体"/>
          <w:b/>
          <w:bCs/>
          <w:color w:val="auto"/>
          <w:sz w:val="28"/>
          <w:szCs w:val="28"/>
          <w:highlight w:val="none"/>
          <w:lang w:eastAsia="zh-CN"/>
        </w:rPr>
      </w:pPr>
      <w:r>
        <w:rPr>
          <w:rFonts w:hint="eastAsia" w:ascii="方正兰亭黑简体" w:hAnsi="方正兰亭黑简体" w:eastAsia="方正兰亭黑简体" w:cs="方正兰亭黑简体"/>
          <w:b/>
          <w:bCs/>
          <w:color w:val="auto"/>
          <w:sz w:val="28"/>
          <w:szCs w:val="28"/>
          <w:highlight w:val="none"/>
          <w:lang w:eastAsia="zh-CN"/>
        </w:rPr>
        <w:t>中本贯通专业图谱及数智资源建设项目</w:t>
      </w:r>
    </w:p>
    <w:p w14:paraId="5F2EFCD4">
      <w:pPr>
        <w:jc w:val="center"/>
        <w:rPr>
          <w:rFonts w:hint="eastAsia" w:ascii="方正兰亭黑简体" w:hAnsi="方正兰亭黑简体" w:eastAsia="方正兰亭黑简体" w:cs="方正兰亭黑简体"/>
          <w:b/>
          <w:bCs/>
          <w:color w:val="auto"/>
          <w:sz w:val="28"/>
          <w:szCs w:val="28"/>
          <w:highlight w:val="none"/>
        </w:rPr>
      </w:pPr>
      <w:r>
        <w:rPr>
          <w:rFonts w:hint="eastAsia" w:ascii="方正兰亭黑简体" w:hAnsi="方正兰亭黑简体" w:eastAsia="方正兰亭黑简体" w:cs="方正兰亭黑简体"/>
          <w:b/>
          <w:bCs/>
          <w:color w:val="auto"/>
          <w:sz w:val="28"/>
          <w:szCs w:val="28"/>
          <w:highlight w:val="none"/>
        </w:rPr>
        <w:t>比选文件</w:t>
      </w:r>
    </w:p>
    <w:p w14:paraId="28A63E00">
      <w:pPr>
        <w:jc w:val="center"/>
        <w:rPr>
          <w:rFonts w:hint="eastAsia" w:ascii="方正兰亭黑简体" w:hAnsi="方正兰亭黑简体" w:eastAsia="方正兰亭黑简体" w:cs="方正兰亭黑简体"/>
          <w:b/>
          <w:bCs/>
          <w:color w:val="auto"/>
          <w:sz w:val="28"/>
          <w:szCs w:val="28"/>
          <w:highlight w:val="none"/>
        </w:rPr>
      </w:pPr>
    </w:p>
    <w:p w14:paraId="0CA5543B">
      <w:pPr>
        <w:jc w:val="center"/>
        <w:rPr>
          <w:rFonts w:hint="eastAsia" w:ascii="方正兰亭黑简体" w:hAnsi="方正兰亭黑简体" w:eastAsia="方正兰亭黑简体" w:cs="方正兰亭黑简体"/>
          <w:b/>
          <w:bCs/>
          <w:color w:val="auto"/>
          <w:sz w:val="28"/>
          <w:szCs w:val="28"/>
          <w:highlight w:val="none"/>
        </w:rPr>
      </w:pPr>
    </w:p>
    <w:p w14:paraId="3D9D00D3">
      <w:pPr>
        <w:jc w:val="center"/>
        <w:rPr>
          <w:rFonts w:hint="eastAsia" w:ascii="方正兰亭黑简体" w:hAnsi="方正兰亭黑简体" w:eastAsia="方正兰亭黑简体" w:cs="方正兰亭黑简体"/>
          <w:b/>
          <w:bCs/>
          <w:color w:val="auto"/>
          <w:sz w:val="28"/>
          <w:szCs w:val="28"/>
          <w:highlight w:val="none"/>
          <w:lang w:eastAsia="zh-CN"/>
        </w:rPr>
      </w:pPr>
      <w:r>
        <w:rPr>
          <w:rFonts w:hint="eastAsia" w:ascii="方正兰亭黑简体" w:hAnsi="方正兰亭黑简体" w:eastAsia="方正兰亭黑简体" w:cs="方正兰亭黑简体"/>
          <w:b/>
          <w:bCs/>
          <w:color w:val="auto"/>
          <w:sz w:val="28"/>
          <w:szCs w:val="28"/>
          <w:highlight w:val="none"/>
        </w:rPr>
        <w:t>项目编号：</w:t>
      </w:r>
      <w:r>
        <w:rPr>
          <w:rFonts w:hint="eastAsia" w:ascii="方正兰亭黑简体" w:hAnsi="方正兰亭黑简体" w:eastAsia="方正兰亭黑简体" w:cs="方正兰亭黑简体"/>
          <w:color w:val="auto"/>
          <w:sz w:val="28"/>
          <w:szCs w:val="28"/>
          <w:highlight w:val="none"/>
          <w:lang w:eastAsia="zh-CN"/>
        </w:rPr>
        <w:t>HFBX2026049</w:t>
      </w:r>
    </w:p>
    <w:p w14:paraId="4B356AA1">
      <w:pPr>
        <w:jc w:val="center"/>
        <w:rPr>
          <w:rFonts w:hint="eastAsia" w:ascii="方正兰亭黑简体" w:hAnsi="方正兰亭黑简体" w:eastAsia="方正兰亭黑简体" w:cs="方正兰亭黑简体"/>
          <w:b/>
          <w:bCs/>
          <w:color w:val="auto"/>
          <w:sz w:val="24"/>
          <w:szCs w:val="32"/>
          <w:highlight w:val="none"/>
        </w:rPr>
      </w:pPr>
    </w:p>
    <w:p w14:paraId="5B48835F">
      <w:pPr>
        <w:jc w:val="center"/>
        <w:rPr>
          <w:rFonts w:hint="eastAsia" w:ascii="方正兰亭黑简体" w:hAnsi="方正兰亭黑简体" w:eastAsia="方正兰亭黑简体" w:cs="方正兰亭黑简体"/>
          <w:b/>
          <w:bCs/>
          <w:color w:val="auto"/>
          <w:sz w:val="24"/>
          <w:szCs w:val="32"/>
          <w:highlight w:val="none"/>
        </w:rPr>
      </w:pPr>
    </w:p>
    <w:p w14:paraId="07E4A809">
      <w:pPr>
        <w:jc w:val="center"/>
        <w:rPr>
          <w:rFonts w:hint="eastAsia" w:ascii="方正兰亭黑简体" w:hAnsi="方正兰亭黑简体" w:eastAsia="方正兰亭黑简体" w:cs="方正兰亭黑简体"/>
          <w:b/>
          <w:bCs/>
          <w:color w:val="auto"/>
          <w:sz w:val="24"/>
          <w:szCs w:val="32"/>
          <w:highlight w:val="none"/>
        </w:rPr>
      </w:pPr>
    </w:p>
    <w:p w14:paraId="6A0F108C">
      <w:pPr>
        <w:jc w:val="center"/>
        <w:rPr>
          <w:rFonts w:hint="eastAsia" w:ascii="方正兰亭黑简体" w:hAnsi="方正兰亭黑简体" w:eastAsia="方正兰亭黑简体" w:cs="方正兰亭黑简体"/>
          <w:b/>
          <w:bCs/>
          <w:color w:val="auto"/>
          <w:sz w:val="24"/>
          <w:szCs w:val="32"/>
          <w:highlight w:val="none"/>
        </w:rPr>
      </w:pPr>
    </w:p>
    <w:p w14:paraId="5EFABC4D">
      <w:pPr>
        <w:jc w:val="center"/>
        <w:rPr>
          <w:rFonts w:hint="eastAsia" w:ascii="方正兰亭黑简体" w:hAnsi="方正兰亭黑简体" w:eastAsia="方正兰亭黑简体" w:cs="方正兰亭黑简体"/>
          <w:b/>
          <w:bCs/>
          <w:color w:val="auto"/>
          <w:sz w:val="24"/>
          <w:szCs w:val="32"/>
          <w:highlight w:val="none"/>
        </w:rPr>
      </w:pPr>
    </w:p>
    <w:p w14:paraId="5416AFF6">
      <w:pPr>
        <w:jc w:val="center"/>
        <w:rPr>
          <w:rFonts w:hint="eastAsia" w:ascii="方正兰亭黑简体" w:hAnsi="方正兰亭黑简体" w:eastAsia="方正兰亭黑简体" w:cs="方正兰亭黑简体"/>
          <w:b/>
          <w:bCs/>
          <w:color w:val="auto"/>
          <w:sz w:val="24"/>
          <w:szCs w:val="32"/>
          <w:highlight w:val="none"/>
        </w:rPr>
      </w:pPr>
    </w:p>
    <w:p w14:paraId="05694FFB">
      <w:pPr>
        <w:jc w:val="center"/>
        <w:rPr>
          <w:rFonts w:hint="eastAsia" w:ascii="方正兰亭黑简体" w:hAnsi="方正兰亭黑简体" w:eastAsia="方正兰亭黑简体" w:cs="方正兰亭黑简体"/>
          <w:b/>
          <w:bCs/>
          <w:color w:val="auto"/>
          <w:sz w:val="24"/>
          <w:szCs w:val="32"/>
          <w:highlight w:val="none"/>
        </w:rPr>
      </w:pPr>
    </w:p>
    <w:p w14:paraId="342DFAF8">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采购人：上海海事大学</w:t>
      </w:r>
    </w:p>
    <w:p w14:paraId="6301CB11">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二〇二六年</w:t>
      </w:r>
      <w:r>
        <w:rPr>
          <w:rFonts w:hint="eastAsia" w:ascii="方正兰亭黑简体" w:hAnsi="方正兰亭黑简体" w:eastAsia="方正兰亭黑简体" w:cs="方正兰亭黑简体"/>
          <w:b/>
          <w:bCs/>
          <w:color w:val="auto"/>
          <w:sz w:val="24"/>
          <w:szCs w:val="32"/>
          <w:highlight w:val="none"/>
          <w:lang w:val="en-US" w:eastAsia="zh-CN"/>
        </w:rPr>
        <w:t>六</w:t>
      </w:r>
      <w:r>
        <w:rPr>
          <w:rFonts w:hint="eastAsia" w:ascii="方正兰亭黑简体" w:hAnsi="方正兰亭黑简体" w:eastAsia="方正兰亭黑简体" w:cs="方正兰亭黑简体"/>
          <w:b/>
          <w:bCs/>
          <w:color w:val="auto"/>
          <w:sz w:val="24"/>
          <w:szCs w:val="32"/>
          <w:highlight w:val="none"/>
        </w:rPr>
        <w:t>月</w:t>
      </w:r>
    </w:p>
    <w:p w14:paraId="56D8363F">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3FA5FE61">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第一章 比选公告</w:t>
      </w:r>
    </w:p>
    <w:p w14:paraId="5E1CB3DE">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为公开、公正、公平地做好各项货物与服务的采购工作，进一步提高采购过程的透明度，有利于我校选择性价比更高的产品及更优质的服务，欢迎各供应单位本着务实友好的工作态度，积极参与，并做好成本核算，进行一次性报价。我校将本着公开、公正、公平的工作原则，对各供应单位所提供的资料，进行综合评议，择优选购。为确保本次比选采购项目采购工作的顺利开展，请各报价单位按照下述要求提供报价单等相关资料。具体要求及相关注意事项如下：</w:t>
      </w:r>
    </w:p>
    <w:p w14:paraId="0E2D235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一、项目基本情况</w:t>
      </w:r>
    </w:p>
    <w:p w14:paraId="74B0A1D4">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项目编号：</w:t>
      </w:r>
      <w:r>
        <w:rPr>
          <w:rFonts w:hint="eastAsia" w:ascii="方正兰亭黑简体" w:hAnsi="方正兰亭黑简体" w:eastAsia="方正兰亭黑简体" w:cs="方正兰亭黑简体"/>
          <w:color w:val="auto"/>
          <w:sz w:val="22"/>
          <w:szCs w:val="28"/>
          <w:highlight w:val="none"/>
          <w:lang w:eastAsia="zh-CN"/>
        </w:rPr>
        <w:t>HFBX2026049</w:t>
      </w:r>
      <w:r>
        <w:rPr>
          <w:rFonts w:hint="eastAsia" w:ascii="方正兰亭黑简体" w:hAnsi="方正兰亭黑简体" w:eastAsia="方正兰亭黑简体" w:cs="方正兰亭黑简体"/>
          <w:color w:val="auto"/>
          <w:sz w:val="22"/>
          <w:szCs w:val="28"/>
          <w:highlight w:val="none"/>
        </w:rPr>
        <w:t>；</w:t>
      </w:r>
    </w:p>
    <w:p w14:paraId="373D4631">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项目名称：</w:t>
      </w:r>
      <w:r>
        <w:rPr>
          <w:rFonts w:hint="eastAsia" w:ascii="方正兰亭黑简体" w:hAnsi="方正兰亭黑简体" w:eastAsia="方正兰亭黑简体" w:cs="方正兰亭黑简体"/>
          <w:color w:val="auto"/>
          <w:sz w:val="22"/>
          <w:szCs w:val="28"/>
          <w:highlight w:val="none"/>
          <w:lang w:eastAsia="zh-CN"/>
        </w:rPr>
        <w:t>中本贯通专业图谱及数智资源建设项目</w:t>
      </w:r>
      <w:r>
        <w:rPr>
          <w:rFonts w:hint="eastAsia" w:ascii="方正兰亭黑简体" w:hAnsi="方正兰亭黑简体" w:eastAsia="方正兰亭黑简体" w:cs="方正兰亭黑简体"/>
          <w:color w:val="auto"/>
          <w:sz w:val="22"/>
          <w:szCs w:val="28"/>
          <w:highlight w:val="none"/>
        </w:rPr>
        <w:t>；</w:t>
      </w:r>
    </w:p>
    <w:p w14:paraId="44BA8929">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采购方式：</w:t>
      </w:r>
      <w:r>
        <w:rPr>
          <w:rFonts w:hint="eastAsia" w:ascii="方正兰亭黑简体" w:hAnsi="方正兰亭黑简体" w:eastAsia="方正兰亭黑简体" w:cs="方正兰亭黑简体"/>
          <w:color w:val="auto"/>
          <w:sz w:val="22"/>
          <w:szCs w:val="28"/>
          <w:highlight w:val="none"/>
        </w:rPr>
        <w:t>学校比选</w:t>
      </w:r>
      <w:r>
        <w:rPr>
          <w:rFonts w:hint="eastAsia" w:ascii="方正兰亭黑简体" w:hAnsi="方正兰亭黑简体" w:eastAsia="方正兰亭黑简体" w:cs="方正兰亭黑简体"/>
          <w:color w:val="auto"/>
          <w:sz w:val="22"/>
          <w:szCs w:val="28"/>
          <w:highlight w:val="none"/>
        </w:rPr>
        <w:t>；</w:t>
      </w:r>
    </w:p>
    <w:p w14:paraId="432CCF0C">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预算金额（亦是最高限价）：</w:t>
      </w:r>
      <w:r>
        <w:rPr>
          <w:rFonts w:hint="eastAsia" w:ascii="方正兰亭黑简体" w:hAnsi="方正兰亭黑简体" w:eastAsia="方正兰亭黑简体" w:cs="方正兰亭黑简体"/>
          <w:color w:val="auto"/>
          <w:sz w:val="22"/>
          <w:szCs w:val="28"/>
          <w:highlight w:val="none"/>
        </w:rPr>
        <w:t>人民币</w:t>
      </w:r>
      <w:r>
        <w:rPr>
          <w:rFonts w:hint="eastAsia" w:ascii="方正兰亭黑简体" w:hAnsi="方正兰亭黑简体" w:eastAsia="方正兰亭黑简体" w:cs="方正兰亭黑简体"/>
          <w:color w:val="auto"/>
          <w:sz w:val="22"/>
          <w:szCs w:val="28"/>
          <w:highlight w:val="none"/>
          <w:lang w:val="en-US" w:eastAsia="zh-CN"/>
        </w:rPr>
        <w:t>28</w:t>
      </w:r>
      <w:r>
        <w:rPr>
          <w:rFonts w:hint="eastAsia" w:ascii="方正兰亭黑简体" w:hAnsi="方正兰亭黑简体" w:eastAsia="方正兰亭黑简体" w:cs="方正兰亭黑简体"/>
          <w:color w:val="auto"/>
          <w:sz w:val="22"/>
          <w:szCs w:val="28"/>
          <w:highlight w:val="none"/>
        </w:rPr>
        <w:t>万元；</w:t>
      </w:r>
    </w:p>
    <w:p w14:paraId="290FE171">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采购需求：</w:t>
      </w:r>
      <w:r>
        <w:rPr>
          <w:rFonts w:hint="default" w:ascii="方正兰亭黑简体" w:hAnsi="方正兰亭黑简体" w:eastAsia="方正兰亭黑简体" w:cs="方正兰亭黑简体"/>
          <w:color w:val="auto"/>
          <w:sz w:val="22"/>
          <w:szCs w:val="28"/>
          <w:highlight w:val="none"/>
          <w:lang w:val="en-US" w:eastAsia="zh-CN"/>
        </w:rPr>
        <w:t>本项目</w:t>
      </w:r>
      <w:r>
        <w:rPr>
          <w:rFonts w:hint="eastAsia" w:ascii="方正兰亭黑简体" w:hAnsi="方正兰亭黑简体" w:eastAsia="方正兰亭黑简体" w:cs="方正兰亭黑简体"/>
          <w:color w:val="auto"/>
          <w:sz w:val="22"/>
          <w:szCs w:val="28"/>
          <w:highlight w:val="none"/>
          <w:lang w:val="en-US" w:eastAsia="zh-CN"/>
        </w:rPr>
        <w:t>需委托一家合格供应商建设中本贯通专业图谱及配套专业核心数字教材，以数字化赋能专业高质量发展，促进数字教材与专业建设深度融合。</w:t>
      </w:r>
      <w:r>
        <w:rPr>
          <w:rFonts w:hint="eastAsia" w:ascii="方正兰亭黑简体" w:hAnsi="方正兰亭黑简体" w:eastAsia="方正兰亭黑简体" w:cs="方正兰亭黑简体"/>
          <w:color w:val="auto"/>
          <w:sz w:val="22"/>
          <w:szCs w:val="28"/>
          <w:highlight w:val="none"/>
        </w:rPr>
        <w:t>拟采取比选方式实施采购。（具体要求详见比选文件—第二章节采购需求）。</w:t>
      </w:r>
    </w:p>
    <w:p w14:paraId="64ECA64C">
      <w:pPr>
        <w:pStyle w:val="19"/>
        <w:tabs>
          <w:tab w:val="left" w:pos="0"/>
        </w:tabs>
        <w:spacing w:line="360" w:lineRule="auto"/>
        <w:ind w:firstLine="0" w:firstLineChars="0"/>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服务期限：整体建设周期不超过12个月，专业建设180个工作日内完成部署；数字教材180日内完成开发，并承诺在验收合格一年内出版。</w:t>
      </w:r>
    </w:p>
    <w:p w14:paraId="7397D621">
      <w:pPr>
        <w:pStyle w:val="19"/>
        <w:numPr>
          <w:ilvl w:val="0"/>
          <w:numId w:val="0"/>
        </w:numPr>
        <w:tabs>
          <w:tab w:val="left" w:pos="0"/>
        </w:tabs>
        <w:spacing w:line="360" w:lineRule="auto"/>
        <w:ind w:firstLine="0" w:firstLineChars="0"/>
        <w:rPr>
          <w:rFonts w:hint="eastAsia" w:ascii="方正兰亭黑简体" w:hAnsi="方正兰亭黑简体" w:eastAsia="方正兰亭黑简体" w:cs="方正兰亭黑简体"/>
          <w:color w:val="auto"/>
          <w:kern w:val="2"/>
          <w:sz w:val="22"/>
          <w:szCs w:val="28"/>
          <w:highlight w:val="none"/>
          <w:lang w:val="en-US" w:eastAsia="zh-CN" w:bidi="ar-SA"/>
        </w:rPr>
      </w:pPr>
      <w:r>
        <w:rPr>
          <w:rFonts w:hint="eastAsia" w:ascii="方正兰亭黑简体" w:hAnsi="方正兰亭黑简体" w:eastAsia="方正兰亭黑简体" w:cs="方正兰亭黑简体"/>
          <w:color w:val="auto"/>
          <w:sz w:val="22"/>
          <w:szCs w:val="28"/>
          <w:highlight w:val="none"/>
        </w:rPr>
        <w:t>付款方式：</w:t>
      </w:r>
    </w:p>
    <w:p w14:paraId="2387596A">
      <w:pPr>
        <w:pStyle w:val="19"/>
        <w:numPr>
          <w:ilvl w:val="0"/>
          <w:numId w:val="0"/>
        </w:numPr>
        <w:tabs>
          <w:tab w:val="left" w:pos="0"/>
        </w:tabs>
        <w:spacing w:line="360" w:lineRule="auto"/>
        <w:ind w:firstLine="0" w:firstLineChars="0"/>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kern w:val="2"/>
          <w:sz w:val="22"/>
          <w:szCs w:val="28"/>
          <w:highlight w:val="none"/>
          <w:lang w:val="en-US" w:eastAsia="zh-CN" w:bidi="ar-SA"/>
        </w:rPr>
        <w:t>（1）</w:t>
      </w:r>
      <w:r>
        <w:rPr>
          <w:rFonts w:hint="eastAsia" w:ascii="方正兰亭黑简体" w:hAnsi="方正兰亭黑简体" w:eastAsia="方正兰亭黑简体" w:cs="方正兰亭黑简体"/>
          <w:color w:val="auto"/>
          <w:sz w:val="22"/>
          <w:szCs w:val="28"/>
          <w:highlight w:val="none"/>
          <w:lang w:val="en-US" w:eastAsia="zh-CN"/>
        </w:rPr>
        <w:t>合同签订后10个工作日内甲方支付合同总价的70%预付款；</w:t>
      </w:r>
    </w:p>
    <w:p w14:paraId="280C0FF5">
      <w:pPr>
        <w:pStyle w:val="19"/>
        <w:numPr>
          <w:ilvl w:val="0"/>
          <w:numId w:val="0"/>
        </w:numPr>
        <w:tabs>
          <w:tab w:val="left" w:pos="0"/>
        </w:tabs>
        <w:spacing w:line="360" w:lineRule="auto"/>
        <w:ind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（2）</w:t>
      </w:r>
      <w:r>
        <w:rPr>
          <w:rFonts w:hint="eastAsia" w:ascii="方正兰亭黑简体" w:hAnsi="方正兰亭黑简体" w:eastAsia="方正兰亭黑简体" w:cs="方正兰亭黑简体"/>
          <w:color w:val="auto"/>
          <w:sz w:val="22"/>
          <w:szCs w:val="28"/>
          <w:highlight w:val="none"/>
          <w:lang w:val="en-US" w:eastAsia="zh-CN"/>
        </w:rPr>
        <w:t>整体验收合格后的10个工作日内，甲方支付合同总价的30%尾款（均以有效发票为前提）</w:t>
      </w:r>
    </w:p>
    <w:p w14:paraId="34EF3CE4">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二、报价人的资格要求</w:t>
      </w:r>
    </w:p>
    <w:p w14:paraId="58FFC7E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1、符合《中华人民共和国政府采购法》第二十二条之供应商资格规定。</w:t>
      </w:r>
    </w:p>
    <w:p w14:paraId="67A4B0EC">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2、供应商未被列入“信用中国”网站（www.creditchina.gov.cn）失信执行人名单、重大税收违法案件当事人名单，和中国政府采购网（www.ccgp.gov.cn）政府</w:t>
      </w:r>
      <w:r>
        <w:rPr>
          <w:rFonts w:hint="eastAsia" w:ascii="方正兰亭黑简体" w:hAnsi="方正兰亭黑简体" w:eastAsia="方正兰亭黑简体" w:cs="方正兰亭黑简体"/>
          <w:color w:val="auto"/>
          <w:sz w:val="22"/>
          <w:szCs w:val="28"/>
          <w:highlight w:val="none"/>
          <w:lang w:val="en-US" w:eastAsia="zh-CN"/>
        </w:rPr>
        <w:t>采购</w:t>
      </w:r>
      <w:r>
        <w:rPr>
          <w:rFonts w:hint="eastAsia" w:ascii="方正兰亭黑简体" w:hAnsi="方正兰亭黑简体" w:eastAsia="方正兰亭黑简体" w:cs="方正兰亭黑简体"/>
          <w:color w:val="auto"/>
          <w:sz w:val="22"/>
          <w:szCs w:val="28"/>
          <w:highlight w:val="none"/>
        </w:rPr>
        <w:t>严重违法失信行为记录名单的供应商。</w:t>
      </w:r>
    </w:p>
    <w:p w14:paraId="34243CEE">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3、经营范围及拟投标货物（服务）符合本次比选要求，具有与本次投标货物（服务）相应的经营、代理（经销）资质，能全程参与并完成本项目，且具有较强的服务能力，以及畅通的问题响应机制和渠道等。</w:t>
      </w:r>
    </w:p>
    <w:p w14:paraId="6D423F37">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三、报名要求</w:t>
      </w:r>
    </w:p>
    <w:p w14:paraId="2180092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报名邮箱、时间：不单独组织报名，意向单位可在截止日期前递交响应文件。</w:t>
      </w:r>
    </w:p>
    <w:p w14:paraId="47EB2369">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四、获取采购文件</w:t>
      </w:r>
    </w:p>
    <w:p w14:paraId="22BA469E">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获取方式：公告页面下方自行下载</w:t>
      </w:r>
    </w:p>
    <w:p w14:paraId="5F33DC36">
      <w:pPr>
        <w:jc w:val="left"/>
        <w:rPr>
          <w:rFonts w:hint="eastAsia" w:ascii="方正兰亭黑简体" w:hAnsi="方正兰亭黑简体" w:eastAsia="方正兰亭黑简体" w:cs="方正兰亭黑简体"/>
          <w:b/>
          <w:bCs/>
          <w:color w:val="auto"/>
          <w:sz w:val="22"/>
          <w:szCs w:val="28"/>
          <w:highlight w:val="none"/>
        </w:rPr>
      </w:pPr>
      <w:bookmarkStart w:id="0" w:name="_Toc28359005"/>
      <w:r>
        <w:rPr>
          <w:rFonts w:hint="eastAsia" w:ascii="方正兰亭黑简体" w:hAnsi="方正兰亭黑简体" w:eastAsia="方正兰亭黑简体" w:cs="方正兰亭黑简体"/>
          <w:b/>
          <w:bCs/>
          <w:color w:val="auto"/>
          <w:sz w:val="22"/>
          <w:szCs w:val="28"/>
          <w:highlight w:val="none"/>
        </w:rPr>
        <w:t>五、现场踏勘</w:t>
      </w:r>
      <w:bookmarkEnd w:id="0"/>
    </w:p>
    <w:p w14:paraId="6393E20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不组织</w:t>
      </w:r>
    </w:p>
    <w:p w14:paraId="3B52FB4A">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六、响应文件提交</w:t>
      </w:r>
    </w:p>
    <w:p w14:paraId="797F0A10">
      <w:pPr>
        <w:jc w:val="left"/>
        <w:rPr>
          <w:rFonts w:hint="eastAsia" w:ascii="方正兰亭黑简体" w:hAnsi="方正兰亭黑简体" w:eastAsia="方正兰亭黑简体" w:cs="方正兰亭黑简体"/>
          <w:color w:val="auto"/>
          <w:sz w:val="22"/>
          <w:szCs w:val="28"/>
          <w:highlight w:val="none"/>
        </w:rPr>
      </w:pPr>
      <w:bookmarkStart w:id="1" w:name="_Toc35393795"/>
      <w:bookmarkEnd w:id="1"/>
      <w:bookmarkStart w:id="2" w:name="_Toc35393626"/>
      <w:bookmarkStart w:id="3" w:name="OLE_LINK1"/>
      <w:bookmarkStart w:id="4" w:name="OLE_LINK2"/>
      <w:r>
        <w:rPr>
          <w:rFonts w:hint="eastAsia" w:ascii="方正兰亭黑简体" w:hAnsi="方正兰亭黑简体" w:eastAsia="方正兰亭黑简体" w:cs="方正兰亭黑简体"/>
          <w:color w:val="auto"/>
          <w:sz w:val="22"/>
          <w:szCs w:val="28"/>
          <w:highlight w:val="none"/>
        </w:rPr>
        <w:t>截止</w:t>
      </w:r>
      <w:bookmarkEnd w:id="2"/>
      <w:r>
        <w:rPr>
          <w:rFonts w:hint="eastAsia" w:ascii="方正兰亭黑简体" w:hAnsi="方正兰亭黑简体" w:eastAsia="方正兰亭黑简体" w:cs="方正兰亭黑简体"/>
          <w:color w:val="auto"/>
          <w:sz w:val="22"/>
          <w:szCs w:val="28"/>
          <w:highlight w:val="none"/>
        </w:rPr>
        <w:t>时间：2026年</w:t>
      </w:r>
      <w:r>
        <w:rPr>
          <w:rFonts w:hint="eastAsia" w:ascii="方正兰亭黑简体" w:hAnsi="方正兰亭黑简体" w:eastAsia="方正兰亭黑简体" w:cs="方正兰亭黑简体"/>
          <w:color w:val="auto"/>
          <w:sz w:val="22"/>
          <w:szCs w:val="28"/>
          <w:highlight w:val="none"/>
          <w:lang w:val="en-US" w:eastAsia="zh-CN"/>
        </w:rPr>
        <w:t>6</w:t>
      </w:r>
      <w:r>
        <w:rPr>
          <w:rFonts w:hint="eastAsia" w:ascii="方正兰亭黑简体" w:hAnsi="方正兰亭黑简体" w:eastAsia="方正兰亭黑简体" w:cs="方正兰亭黑简体"/>
          <w:color w:val="auto"/>
          <w:sz w:val="22"/>
          <w:szCs w:val="28"/>
          <w:highlight w:val="none"/>
        </w:rPr>
        <w:t>月</w:t>
      </w:r>
      <w:r>
        <w:rPr>
          <w:rFonts w:hint="eastAsia" w:ascii="方正兰亭黑简体" w:hAnsi="方正兰亭黑简体" w:eastAsia="方正兰亭黑简体" w:cs="方正兰亭黑简体"/>
          <w:color w:val="auto"/>
          <w:sz w:val="22"/>
          <w:szCs w:val="28"/>
          <w:highlight w:val="none"/>
          <w:lang w:val="en-US" w:eastAsia="zh-CN"/>
        </w:rPr>
        <w:t>10</w:t>
      </w:r>
      <w:r>
        <w:rPr>
          <w:rFonts w:hint="eastAsia" w:ascii="方正兰亭黑简体" w:hAnsi="方正兰亭黑简体" w:eastAsia="方正兰亭黑简体" w:cs="方正兰亭黑简体"/>
          <w:color w:val="auto"/>
          <w:sz w:val="22"/>
          <w:szCs w:val="28"/>
          <w:highlight w:val="none"/>
        </w:rPr>
        <w:t>日（周</w:t>
      </w:r>
      <w:r>
        <w:rPr>
          <w:rFonts w:hint="eastAsia" w:ascii="方正兰亭黑简体" w:hAnsi="方正兰亭黑简体" w:eastAsia="方正兰亭黑简体" w:cs="方正兰亭黑简体"/>
          <w:color w:val="auto"/>
          <w:sz w:val="22"/>
          <w:szCs w:val="28"/>
          <w:highlight w:val="none"/>
          <w:lang w:val="en-US" w:eastAsia="zh-CN"/>
        </w:rPr>
        <w:t>三</w:t>
      </w:r>
      <w:bookmarkStart w:id="6" w:name="_GoBack"/>
      <w:bookmarkEnd w:id="6"/>
      <w:r>
        <w:rPr>
          <w:rFonts w:hint="eastAsia" w:ascii="方正兰亭黑简体" w:hAnsi="方正兰亭黑简体" w:eastAsia="方正兰亭黑简体" w:cs="方正兰亭黑简体"/>
          <w:color w:val="auto"/>
          <w:sz w:val="22"/>
          <w:szCs w:val="28"/>
          <w:highlight w:val="none"/>
        </w:rPr>
        <w:t>）</w:t>
      </w:r>
      <w:bookmarkEnd w:id="3"/>
      <w:bookmarkEnd w:id="4"/>
      <w:r>
        <w:rPr>
          <w:rFonts w:hint="eastAsia" w:ascii="方正兰亭黑简体" w:hAnsi="方正兰亭黑简体" w:eastAsia="方正兰亭黑简体" w:cs="方正兰亭黑简体"/>
          <w:color w:val="auto"/>
          <w:sz w:val="22"/>
          <w:szCs w:val="28"/>
          <w:highlight w:val="none"/>
        </w:rPr>
        <w:t>上午11时00分</w:t>
      </w:r>
    </w:p>
    <w:p w14:paraId="19B2134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提交方式：发送盖章扫描版PDF到指定邮箱，邮件名称：</w:t>
      </w:r>
      <w:r>
        <w:rPr>
          <w:rFonts w:hint="eastAsia" w:ascii="方正兰亭黑简体" w:hAnsi="方正兰亭黑简体" w:eastAsia="方正兰亭黑简体" w:cs="方正兰亭黑简体"/>
          <w:color w:val="auto"/>
          <w:sz w:val="22"/>
          <w:szCs w:val="28"/>
          <w:highlight w:val="none"/>
        </w:rPr>
        <w:t>项目编号+公司名称</w:t>
      </w:r>
    </w:p>
    <w:p w14:paraId="5F997FC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邮箱地址：quotation@shmtu.edu.cn</w:t>
      </w:r>
    </w:p>
    <w:p w14:paraId="1EC8B77D">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七、其他补充事宜</w:t>
      </w:r>
    </w:p>
    <w:p w14:paraId="1533EBF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1.中标结果将通过发布比选公告的媒介进行公示，公示期为1个工作日，公示期内如对中标结果有异议可向校方提出书面质疑。</w:t>
      </w:r>
      <w:bookmarkStart w:id="5" w:name="_Toc35393627"/>
    </w:p>
    <w:p w14:paraId="03F0F78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w:t>
      </w:r>
      <w:bookmarkEnd w:id="5"/>
      <w:r>
        <w:rPr>
          <w:rFonts w:hint="eastAsia" w:ascii="方正兰亭黑简体" w:hAnsi="方正兰亭黑简体" w:eastAsia="方正兰亭黑简体" w:cs="方正兰亭黑简体"/>
          <w:color w:val="auto"/>
          <w:sz w:val="22"/>
          <w:szCs w:val="28"/>
          <w:highlight w:val="none"/>
        </w:rPr>
        <w:t>凡对本次采购提出询问，请按以下方式联系：</w:t>
      </w:r>
    </w:p>
    <w:p w14:paraId="4E545C0B">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商务信息：仲老师021-38284707</w:t>
      </w:r>
    </w:p>
    <w:p w14:paraId="155BEAB7">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技术信息：</w:t>
      </w:r>
      <w:r>
        <w:rPr>
          <w:rFonts w:hint="eastAsia" w:ascii="方正兰亭黑简体" w:hAnsi="方正兰亭黑简体" w:eastAsia="方正兰亭黑简体" w:cs="方正兰亭黑简体"/>
          <w:color w:val="auto"/>
          <w:sz w:val="22"/>
          <w:szCs w:val="28"/>
          <w:highlight w:val="none"/>
          <w:lang w:val="en-US" w:eastAsia="zh-CN"/>
        </w:rPr>
        <w:t>沈</w:t>
      </w:r>
      <w:r>
        <w:rPr>
          <w:rFonts w:hint="eastAsia" w:ascii="方正兰亭黑简体" w:hAnsi="方正兰亭黑简体" w:eastAsia="方正兰亭黑简体" w:cs="方正兰亭黑简体"/>
          <w:color w:val="auto"/>
          <w:sz w:val="22"/>
          <w:szCs w:val="28"/>
          <w:highlight w:val="none"/>
        </w:rPr>
        <w:t>老师</w:t>
      </w:r>
      <w:r>
        <w:rPr>
          <w:rFonts w:hint="eastAsia" w:ascii="方正兰亭黑简体" w:hAnsi="方正兰亭黑简体" w:eastAsia="方正兰亭黑简体" w:cs="方正兰亭黑简体"/>
          <w:color w:val="auto"/>
          <w:sz w:val="22"/>
          <w:szCs w:val="28"/>
          <w:highlight w:val="none"/>
          <w:lang w:val="en-US" w:eastAsia="zh-CN"/>
        </w:rPr>
        <w:t>021-50460391</w:t>
      </w:r>
    </w:p>
    <w:p w14:paraId="0248245C">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24A7818A">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第二章 采购需求</w:t>
      </w:r>
    </w:p>
    <w:p w14:paraId="39E2A589">
      <w:pPr>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一</w:t>
      </w:r>
      <w:r>
        <w:rPr>
          <w:rFonts w:ascii="Times New Roman" w:hAnsi="Times New Roman" w:eastAsia="方正兰亭黑简体" w:cs="Times New Roman"/>
          <w:b/>
          <w:bCs/>
          <w:color w:val="auto"/>
          <w:sz w:val="22"/>
          <w:szCs w:val="22"/>
          <w:highlight w:val="none"/>
        </w:rPr>
        <w:t>、</w:t>
      </w:r>
      <w:r>
        <w:rPr>
          <w:rFonts w:hint="eastAsia" w:ascii="Times New Roman" w:hAnsi="Times New Roman" w:eastAsia="方正兰亭黑简体" w:cs="Times New Roman"/>
          <w:b/>
          <w:bCs/>
          <w:color w:val="auto"/>
          <w:sz w:val="22"/>
          <w:szCs w:val="22"/>
          <w:highlight w:val="none"/>
          <w:lang w:val="en-US" w:eastAsia="zh-CN"/>
        </w:rPr>
        <w:t>项目概况</w:t>
      </w:r>
    </w:p>
    <w:p w14:paraId="20AE0230">
      <w:pPr>
        <w:spacing w:line="360" w:lineRule="auto"/>
        <w:ind w:left="0" w:leftChars="0" w:firstLine="440" w:firstLineChars="20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为推进学校教育数字化转型，落实OBE成果导向教育理念，立足中本贯通专业特色，聚焦机械设计制造及其自动化（中本贯通）、物流工程（中本贯通）专业建设，重点突破人才培养方案衔接、课程体系贯通、教学大纲统一等关键环节，学校拟建设中本贯通专业图谱及配套专业核心数字教材，以数字化赋能专业高质量发展，促进数字教材与专业建设深度融合。</w:t>
      </w:r>
    </w:p>
    <w:p w14:paraId="4E96A428">
      <w:pPr>
        <w:spacing w:line="360" w:lineRule="auto"/>
        <w:ind w:left="0" w:leftChars="0" w:firstLine="440" w:firstLineChars="20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项目围绕中本贯通人才培养与学段衔接需求，机械设计制造及其自动化（中本贯通）、物流工程（中本贯通）专业建设实现专业调研、人才培养方案管控、教学大纲编制审核、专业信息可视化展示等核心功能，规范建设流程、完善培养路径，为专业规划与决策提供数字化支撑，助力工程教育专业认证相关工作。提供一本专业核心数字教材开发至出版全流程服务，含培训、对接出版、上架运营。系统界面友好易用，为教师提供一对一编辑指导与出版质量把控。合作出版单位具备正规资质，严格执行三审三校，完成出版并提供ISBN号。</w:t>
      </w:r>
    </w:p>
    <w:p w14:paraId="1D3FC1F5">
      <w:pPr>
        <w:spacing w:line="360" w:lineRule="auto"/>
        <w:ind w:left="0" w:leftChars="0" w:firstLine="440" w:firstLineChars="200"/>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rPr>
        <w:t>实现与学校教学平台对接、统一身份认证、数据互通，破除信息孤岛。打造专业-课程-教材三位一体协同模式，以专业规划引领课程优化、以课程需求支撑教材开发，全面提升中本贯通专业内涵建设与人才培养质量。</w:t>
      </w:r>
    </w:p>
    <w:p w14:paraId="14F7295A">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u w:val="none"/>
        </w:rPr>
      </w:pPr>
    </w:p>
    <w:p w14:paraId="2564B485">
      <w:pPr>
        <w:widowControl/>
        <w:shd w:val="clear" w:color="auto" w:fill="FFFFFF"/>
        <w:spacing w:line="360" w:lineRule="auto"/>
        <w:ind w:left="0" w:leftChars="0" w:firstLine="0" w:firstLineChars="0"/>
        <w:jc w:val="left"/>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二、服务内容</w:t>
      </w:r>
    </w:p>
    <w:tbl>
      <w:tblPr>
        <w:tblStyle w:val="14"/>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0"/>
        <w:gridCol w:w="2266"/>
        <w:gridCol w:w="848"/>
        <w:gridCol w:w="5970"/>
      </w:tblGrid>
      <w:tr w14:paraId="3F880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37" w:type="pct"/>
            <w:vAlign w:val="center"/>
          </w:tcPr>
          <w:p w14:paraId="7D900C02">
            <w:pPr>
              <w:spacing w:line="360" w:lineRule="auto"/>
              <w:jc w:val="center"/>
              <w:rPr>
                <w:rFonts w:hint="default" w:ascii="Times New Roman" w:hAnsi="Times New Roman" w:eastAsia="方正兰亭黑简体" w:cs="Times New Roman"/>
                <w:b/>
                <w:bCs/>
                <w:color w:val="auto"/>
                <w:sz w:val="22"/>
                <w:szCs w:val="22"/>
                <w:highlight w:val="none"/>
              </w:rPr>
            </w:pPr>
            <w:r>
              <w:rPr>
                <w:rFonts w:hint="default" w:ascii="Times New Roman" w:hAnsi="Times New Roman" w:eastAsia="方正兰亭黑简体" w:cs="Times New Roman"/>
                <w:b/>
                <w:bCs/>
                <w:color w:val="auto"/>
                <w:sz w:val="22"/>
                <w:szCs w:val="22"/>
                <w:highlight w:val="none"/>
              </w:rPr>
              <w:t>序号</w:t>
            </w:r>
          </w:p>
        </w:tc>
        <w:tc>
          <w:tcPr>
            <w:tcW w:w="1138" w:type="pct"/>
            <w:vAlign w:val="center"/>
          </w:tcPr>
          <w:p w14:paraId="3E4654E1">
            <w:pPr>
              <w:widowControl/>
              <w:spacing w:line="360" w:lineRule="auto"/>
              <w:jc w:val="center"/>
              <w:rPr>
                <w:rFonts w:hint="default" w:ascii="Times New Roman" w:hAnsi="Times New Roman" w:eastAsia="方正兰亭黑简体" w:cs="Times New Roman"/>
                <w:b/>
                <w:bCs/>
                <w:color w:val="auto"/>
                <w:sz w:val="22"/>
                <w:szCs w:val="22"/>
                <w:highlight w:val="none"/>
              </w:rPr>
            </w:pPr>
            <w:r>
              <w:rPr>
                <w:rFonts w:hint="default" w:ascii="Times New Roman" w:hAnsi="Times New Roman" w:eastAsia="方正兰亭黑简体" w:cs="Times New Roman"/>
                <w:b/>
                <w:bCs/>
                <w:color w:val="auto"/>
                <w:sz w:val="22"/>
                <w:szCs w:val="22"/>
                <w:highlight w:val="none"/>
              </w:rPr>
              <w:t>名称</w:t>
            </w:r>
          </w:p>
        </w:tc>
        <w:tc>
          <w:tcPr>
            <w:tcW w:w="426" w:type="pct"/>
            <w:vAlign w:val="center"/>
          </w:tcPr>
          <w:p w14:paraId="14DCCB81">
            <w:pPr>
              <w:widowControl/>
              <w:spacing w:line="360" w:lineRule="auto"/>
              <w:jc w:val="center"/>
              <w:rPr>
                <w:rFonts w:hint="default" w:ascii="Times New Roman" w:hAnsi="Times New Roman" w:eastAsia="方正兰亭黑简体" w:cs="Times New Roman"/>
                <w:b/>
                <w:bCs/>
                <w:color w:val="auto"/>
                <w:sz w:val="22"/>
                <w:szCs w:val="22"/>
                <w:highlight w:val="none"/>
              </w:rPr>
            </w:pPr>
            <w:r>
              <w:rPr>
                <w:rFonts w:hint="default" w:ascii="Times New Roman" w:hAnsi="Times New Roman" w:eastAsia="方正兰亭黑简体" w:cs="Times New Roman"/>
                <w:b/>
                <w:bCs/>
                <w:color w:val="auto"/>
                <w:sz w:val="22"/>
                <w:szCs w:val="22"/>
                <w:highlight w:val="none"/>
              </w:rPr>
              <w:t>数量</w:t>
            </w:r>
          </w:p>
        </w:tc>
        <w:tc>
          <w:tcPr>
            <w:tcW w:w="2997" w:type="pct"/>
            <w:vAlign w:val="center"/>
          </w:tcPr>
          <w:p w14:paraId="5375C4DA">
            <w:pPr>
              <w:widowControl/>
              <w:spacing w:line="360" w:lineRule="auto"/>
              <w:jc w:val="center"/>
              <w:rPr>
                <w:rFonts w:hint="default" w:ascii="Times New Roman" w:hAnsi="Times New Roman" w:eastAsia="方正兰亭黑简体" w:cs="Times New Roman"/>
                <w:b/>
                <w:bCs/>
                <w:color w:val="auto"/>
                <w:sz w:val="22"/>
                <w:szCs w:val="22"/>
                <w:highlight w:val="none"/>
              </w:rPr>
            </w:pPr>
            <w:r>
              <w:rPr>
                <w:rFonts w:hint="default" w:ascii="Times New Roman" w:hAnsi="Times New Roman" w:eastAsia="方正兰亭黑简体" w:cs="Times New Roman"/>
                <w:b/>
                <w:bCs/>
                <w:color w:val="auto"/>
                <w:sz w:val="22"/>
                <w:szCs w:val="22"/>
                <w:highlight w:val="none"/>
              </w:rPr>
              <w:t>主要规格</w:t>
            </w:r>
          </w:p>
        </w:tc>
      </w:tr>
      <w:tr w14:paraId="49DAE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37" w:type="pct"/>
            <w:vAlign w:val="center"/>
          </w:tcPr>
          <w:p w14:paraId="7DEF8C0B">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w:t>
            </w:r>
          </w:p>
        </w:tc>
        <w:tc>
          <w:tcPr>
            <w:tcW w:w="1138" w:type="pct"/>
            <w:vAlign w:val="center"/>
          </w:tcPr>
          <w:p w14:paraId="27DFD86A">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专业图谱建设服务</w:t>
            </w:r>
          </w:p>
        </w:tc>
        <w:tc>
          <w:tcPr>
            <w:tcW w:w="426" w:type="pct"/>
            <w:vAlign w:val="center"/>
          </w:tcPr>
          <w:p w14:paraId="59847C04">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2</w:t>
            </w:r>
          </w:p>
        </w:tc>
        <w:tc>
          <w:tcPr>
            <w:tcW w:w="2997" w:type="pct"/>
            <w:vAlign w:val="center"/>
          </w:tcPr>
          <w:p w14:paraId="647F04E1">
            <w:pPr>
              <w:widowControl/>
              <w:spacing w:line="360" w:lineRule="auto"/>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1、机械设计制造及其自动化（中本贯通）专业建设服务</w:t>
            </w:r>
          </w:p>
          <w:p w14:paraId="653ED931">
            <w:pPr>
              <w:widowControl/>
              <w:spacing w:line="360" w:lineRule="auto"/>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2、物流工程（中本贯通）专业建设服务</w:t>
            </w:r>
          </w:p>
        </w:tc>
      </w:tr>
      <w:tr w14:paraId="720A6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37" w:type="pct"/>
            <w:vAlign w:val="center"/>
          </w:tcPr>
          <w:p w14:paraId="2C83F3E7">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2</w:t>
            </w:r>
          </w:p>
        </w:tc>
        <w:tc>
          <w:tcPr>
            <w:tcW w:w="1138" w:type="pct"/>
            <w:vAlign w:val="center"/>
          </w:tcPr>
          <w:p w14:paraId="586701E1">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数字教材建设服务</w:t>
            </w:r>
          </w:p>
        </w:tc>
        <w:tc>
          <w:tcPr>
            <w:tcW w:w="426" w:type="pct"/>
            <w:vAlign w:val="center"/>
          </w:tcPr>
          <w:p w14:paraId="7CFCA0CB">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w:t>
            </w:r>
          </w:p>
        </w:tc>
        <w:tc>
          <w:tcPr>
            <w:tcW w:w="2997" w:type="pct"/>
            <w:vAlign w:val="center"/>
          </w:tcPr>
          <w:p w14:paraId="412D9729">
            <w:pPr>
              <w:widowControl/>
              <w:spacing w:line="360" w:lineRule="auto"/>
              <w:rPr>
                <w:rFonts w:hint="default" w:ascii="Times New Roman" w:hAnsi="Times New Roman" w:eastAsia="方正兰亭黑简体" w:cs="Times New Roman"/>
                <w:color w:val="auto"/>
                <w:sz w:val="22"/>
                <w:szCs w:val="22"/>
                <w:highlight w:val="none"/>
              </w:rPr>
            </w:pPr>
            <w:r>
              <w:rPr>
                <w:rFonts w:hint="eastAsia" w:ascii="Times New Roman" w:hAnsi="Times New Roman" w:eastAsia="方正兰亭黑简体" w:cs="Times New Roman"/>
                <w:color w:val="auto"/>
                <w:sz w:val="22"/>
                <w:szCs w:val="22"/>
                <w:highlight w:val="none"/>
                <w:lang w:val="en-US" w:eastAsia="zh-CN"/>
              </w:rPr>
              <w:t>1、</w:t>
            </w:r>
            <w:r>
              <w:rPr>
                <w:rFonts w:hint="default" w:ascii="Times New Roman" w:hAnsi="Times New Roman" w:eastAsia="方正兰亭黑简体" w:cs="Times New Roman"/>
                <w:color w:val="auto"/>
                <w:sz w:val="22"/>
                <w:szCs w:val="22"/>
                <w:highlight w:val="none"/>
              </w:rPr>
              <w:t>机械设计制造及其自动化（中本贯通）专业核心数字教材建设服务</w:t>
            </w:r>
          </w:p>
        </w:tc>
      </w:tr>
    </w:tbl>
    <w:p w14:paraId="0B309400">
      <w:pPr>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三、</w:t>
      </w:r>
      <w:r>
        <w:rPr>
          <w:rFonts w:hint="default" w:ascii="Times New Roman" w:hAnsi="Times New Roman" w:eastAsia="方正兰亭黑简体" w:cs="Times New Roman"/>
          <w:b/>
          <w:bCs/>
          <w:color w:val="auto"/>
          <w:kern w:val="0"/>
          <w:sz w:val="22"/>
          <w:szCs w:val="22"/>
          <w:highlight w:val="none"/>
        </w:rPr>
        <w:t>功能要求</w:t>
      </w:r>
    </w:p>
    <w:p w14:paraId="60F8C996">
      <w:pPr>
        <w:widowControl/>
        <w:numPr>
          <w:ilvl w:val="0"/>
          <w:numId w:val="0"/>
        </w:numPr>
        <w:shd w:val="clear" w:color="auto" w:fill="FFFFFF"/>
        <w:spacing w:line="360" w:lineRule="auto"/>
        <w:ind w:left="0" w:leftChars="0" w:hanging="5" w:firstLineChars="0"/>
        <w:jc w:val="left"/>
        <w:rPr>
          <w:rFonts w:hint="default" w:ascii="Times New Roman" w:hAnsi="Times New Roman" w:eastAsia="方正兰亭黑简体" w:cs="Times New Roman"/>
          <w:b/>
          <w:bCs/>
          <w:color w:val="auto"/>
          <w:kern w:val="0"/>
          <w:sz w:val="22"/>
          <w:szCs w:val="22"/>
          <w:highlight w:val="none"/>
        </w:rPr>
      </w:pPr>
      <w:r>
        <w:rPr>
          <w:rFonts w:hint="default" w:ascii="Times New Roman" w:hAnsi="Times New Roman" w:eastAsia="方正兰亭黑简体" w:cs="Times New Roman"/>
          <w:b/>
          <w:bCs/>
          <w:color w:val="auto"/>
          <w:kern w:val="0"/>
          <w:sz w:val="22"/>
          <w:szCs w:val="22"/>
          <w:highlight w:val="none"/>
          <w:lang w:val="en-US" w:eastAsia="zh-CN" w:bidi="ar-SA"/>
        </w:rPr>
        <w:t>(1)</w:t>
      </w:r>
      <w:r>
        <w:rPr>
          <w:rFonts w:hint="default" w:ascii="Times New Roman" w:hAnsi="Times New Roman" w:eastAsia="方正兰亭黑简体" w:cs="Times New Roman"/>
          <w:b/>
          <w:bCs/>
          <w:color w:val="auto"/>
          <w:kern w:val="0"/>
          <w:sz w:val="22"/>
          <w:szCs w:val="22"/>
          <w:highlight w:val="none"/>
        </w:rPr>
        <w:t>机械设计制造及其自动化（中本贯通）、物流工程（中本贯通）专业建设</w:t>
      </w:r>
    </w:p>
    <w:p w14:paraId="3FE1E98C">
      <w:pPr>
        <w:widowControl/>
        <w:numPr>
          <w:ilvl w:val="0"/>
          <w:numId w:val="0"/>
        </w:numPr>
        <w:shd w:val="clear" w:color="auto" w:fill="FFFFFF"/>
        <w:spacing w:line="360" w:lineRule="auto"/>
        <w:ind w:left="0" w:leftChars="0" w:hanging="5" w:firstLineChars="0"/>
        <w:jc w:val="left"/>
        <w:rPr>
          <w:rFonts w:hint="default" w:ascii="Times New Roman" w:hAnsi="Times New Roman" w:eastAsia="方正兰亭黑简体" w:cs="Times New Roman"/>
          <w:b/>
          <w:bCs/>
          <w:color w:val="auto"/>
          <w:kern w:val="0"/>
          <w:sz w:val="22"/>
          <w:szCs w:val="22"/>
          <w:highlight w:val="none"/>
        </w:rPr>
      </w:pPr>
      <w:r>
        <w:rPr>
          <w:rFonts w:hint="default" w:ascii="Times New Roman" w:hAnsi="Times New Roman" w:eastAsia="方正兰亭黑简体" w:cs="Times New Roman"/>
          <w:b/>
          <w:bCs/>
          <w:color w:val="auto"/>
          <w:kern w:val="0"/>
          <w:sz w:val="22"/>
          <w:szCs w:val="22"/>
          <w:highlight w:val="none"/>
          <w:lang w:val="en-US" w:eastAsia="zh-CN" w:bidi="ar-SA"/>
        </w:rPr>
        <w:t>1)</w:t>
      </w:r>
      <w:r>
        <w:rPr>
          <w:rFonts w:hint="default" w:ascii="Times New Roman" w:hAnsi="Times New Roman" w:eastAsia="方正兰亭黑简体" w:cs="Times New Roman"/>
          <w:b/>
          <w:bCs/>
          <w:color w:val="auto"/>
          <w:kern w:val="0"/>
          <w:sz w:val="22"/>
          <w:szCs w:val="22"/>
          <w:highlight w:val="none"/>
        </w:rPr>
        <w:t>专业建设管理</w:t>
      </w:r>
    </w:p>
    <w:p w14:paraId="7F1DC190">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专业建设管理模块以OBE成果导向教育理念为核心，覆盖专业规划、人才培养方案编制、教学大纲建设、专业图谱构建、任务过程管理、数据监测分析全流程，支撑校级—院级—专业三级协同工作。系统应实现数据贯通、流程规范、可视化呈现、智能化辅助，满足人才培养方案制定、课程体系构建、教学内容建设、质量持续改进的一体化管理需求，为专业评估、认证与内涵提升提供数字化支撑。</w:t>
      </w:r>
    </w:p>
    <w:p w14:paraId="3A9EC056">
      <w:pPr>
        <w:widowControl/>
        <w:numPr>
          <w:ilvl w:val="0"/>
          <w:numId w:val="0"/>
        </w:numPr>
        <w:shd w:val="clear" w:color="auto" w:fill="FFFFFF"/>
        <w:spacing w:line="360" w:lineRule="auto"/>
        <w:ind w:left="0" w:leftChars="0" w:hanging="5" w:firstLineChars="0"/>
        <w:jc w:val="left"/>
        <w:rPr>
          <w:rFonts w:hint="default" w:ascii="Times New Roman" w:hAnsi="Times New Roman" w:eastAsia="方正兰亭黑简体" w:cs="Times New Roman"/>
          <w:b/>
          <w:bCs/>
          <w:color w:val="auto"/>
          <w:kern w:val="0"/>
          <w:sz w:val="22"/>
          <w:szCs w:val="22"/>
          <w:highlight w:val="none"/>
        </w:rPr>
      </w:pPr>
      <w:r>
        <w:rPr>
          <w:rFonts w:hint="default" w:ascii="Times New Roman" w:hAnsi="Times New Roman" w:eastAsia="方正兰亭黑简体" w:cs="Times New Roman"/>
          <w:b/>
          <w:bCs/>
          <w:color w:val="auto"/>
          <w:kern w:val="0"/>
          <w:sz w:val="22"/>
          <w:szCs w:val="22"/>
          <w:highlight w:val="none"/>
          <w:lang w:val="en-US" w:eastAsia="zh-CN" w:bidi="ar-SA"/>
        </w:rPr>
        <w:t>2)</w:t>
      </w:r>
      <w:r>
        <w:rPr>
          <w:rFonts w:hint="default" w:ascii="Times New Roman" w:hAnsi="Times New Roman" w:eastAsia="方正兰亭黑简体" w:cs="Times New Roman"/>
          <w:b/>
          <w:bCs/>
          <w:color w:val="auto"/>
          <w:kern w:val="0"/>
          <w:sz w:val="22"/>
          <w:szCs w:val="22"/>
          <w:highlight w:val="none"/>
        </w:rPr>
        <w:t>人培方案管理</w:t>
      </w:r>
    </w:p>
    <w:p w14:paraId="158C46DD">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①支持院系、专业、课程等基础数据统一管理，支持数据表结构自定义与字段扩展。</w:t>
      </w:r>
    </w:p>
    <w:p w14:paraId="16FBAED3">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②支持课程性质、课程类别、考核方式、学科类别等数据字典自定义配置。</w:t>
      </w:r>
    </w:p>
    <w:p w14:paraId="400A85B8">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③支持系统菜单、功能权限、数据范围按角色精细化配置。</w:t>
      </w:r>
    </w:p>
    <w:p w14:paraId="0E5B931A">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④支持智能导入与粘贴识别，可智能识别培养方案结构化数据功能，支持通过从word中拷贝并在对应组件中粘贴自动识别并提取内容。</w:t>
      </w:r>
    </w:p>
    <w:p w14:paraId="004F3CBE">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⑤支持培养方案修订任务创建、下发、分配负责人，支持在线编辑、字体、字号、颜色、多级标题、行间距、对齐控制、分页、特殊字符添加、导入解析。</w:t>
      </w:r>
    </w:p>
    <w:p w14:paraId="6B03443D">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⑥内置培养目标、毕业要求、指标点、课程支撑矩阵、教学计划、学时学分统计、课程拓扑等结构化组件，支持自定义组件与学时学分自动计算。</w:t>
      </w:r>
    </w:p>
    <w:p w14:paraId="2F7BC78D">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⑦支持培养方案数据合法性自动校验、异常提醒与修正引导。</w:t>
      </w:r>
    </w:p>
    <w:p w14:paraId="09B58C6F">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⑧▲支持多版本培养方案对比，按模块差异高亮标注，支持对比结果导出。</w:t>
      </w:r>
    </w:p>
    <w:p w14:paraId="0AEEB54C">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⑨支持自定义审批流程，支持会签</w:t>
      </w:r>
      <w:r>
        <w:rPr>
          <w:rFonts w:hint="eastAsia" w:ascii="Times New Roman" w:hAnsi="Times New Roman" w:eastAsia="方正兰亭黑简体" w:cs="Times New Roman"/>
          <w:color w:val="auto"/>
          <w:kern w:val="0"/>
          <w:sz w:val="22"/>
          <w:szCs w:val="22"/>
          <w:highlight w:val="none"/>
          <w:lang w:eastAsia="zh-CN"/>
        </w:rPr>
        <w:t>或</w:t>
      </w:r>
      <w:r>
        <w:rPr>
          <w:rFonts w:hint="default" w:ascii="Times New Roman" w:hAnsi="Times New Roman" w:eastAsia="方正兰亭黑简体" w:cs="Times New Roman"/>
          <w:color w:val="auto"/>
          <w:kern w:val="0"/>
          <w:sz w:val="22"/>
          <w:szCs w:val="22"/>
          <w:highlight w:val="none"/>
        </w:rPr>
        <w:t>签、条件分支、电子签名、自动提醒、专家库管理与在线评审</w:t>
      </w:r>
      <w:r>
        <w:rPr>
          <w:rFonts w:hint="eastAsia" w:ascii="Times New Roman" w:hAnsi="Times New Roman" w:eastAsia="方正兰亭黑简体" w:cs="Times New Roman"/>
          <w:color w:val="auto"/>
          <w:kern w:val="0"/>
          <w:sz w:val="22"/>
          <w:szCs w:val="22"/>
          <w:highlight w:val="none"/>
          <w:lang w:eastAsia="zh-CN"/>
        </w:rPr>
        <w:t>等功能。</w:t>
      </w:r>
    </w:p>
    <w:p w14:paraId="2C6F1F19">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⑩▲支持培养方案修订进度统计、督办提醒、多维度可视化呈现。</w:t>
      </w:r>
    </w:p>
    <w:p w14:paraId="55B6F67C">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⑪支持与教务系统双向对接，同步专业、课程、教师等基础数据，回传教学计划数据。</w:t>
      </w:r>
    </w:p>
    <w:p w14:paraId="2C1E844D">
      <w:pPr>
        <w:widowControl/>
        <w:numPr>
          <w:ilvl w:val="0"/>
          <w:numId w:val="0"/>
        </w:numPr>
        <w:shd w:val="clear" w:color="auto" w:fill="FFFFFF"/>
        <w:spacing w:line="360" w:lineRule="auto"/>
        <w:ind w:left="0" w:leftChars="0" w:hanging="5" w:firstLineChars="0"/>
        <w:jc w:val="left"/>
        <w:rPr>
          <w:rFonts w:hint="default" w:ascii="Times New Roman" w:hAnsi="Times New Roman" w:eastAsia="方正兰亭黑简体" w:cs="Times New Roman"/>
          <w:b/>
          <w:bCs/>
          <w:color w:val="auto"/>
          <w:kern w:val="0"/>
          <w:sz w:val="22"/>
          <w:szCs w:val="22"/>
          <w:highlight w:val="none"/>
        </w:rPr>
      </w:pPr>
      <w:r>
        <w:rPr>
          <w:rFonts w:hint="default" w:ascii="Times New Roman" w:hAnsi="Times New Roman" w:eastAsia="方正兰亭黑简体" w:cs="Times New Roman"/>
          <w:b/>
          <w:bCs/>
          <w:color w:val="auto"/>
          <w:kern w:val="0"/>
          <w:sz w:val="22"/>
          <w:szCs w:val="22"/>
          <w:highlight w:val="none"/>
          <w:lang w:val="en-US" w:eastAsia="zh-CN" w:bidi="ar-SA"/>
        </w:rPr>
        <w:t>3)</w:t>
      </w:r>
      <w:r>
        <w:rPr>
          <w:rFonts w:hint="default" w:ascii="Times New Roman" w:hAnsi="Times New Roman" w:eastAsia="方正兰亭黑简体" w:cs="Times New Roman"/>
          <w:b/>
          <w:bCs/>
          <w:color w:val="auto"/>
          <w:kern w:val="0"/>
          <w:sz w:val="22"/>
          <w:szCs w:val="22"/>
          <w:highlight w:val="none"/>
        </w:rPr>
        <w:t>教学大纲建设</w:t>
      </w:r>
    </w:p>
    <w:p w14:paraId="23A15D7C">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①支持与教务系统课程信息同步，确保课程编号、名称等基础数据一致。</w:t>
      </w:r>
    </w:p>
    <w:p w14:paraId="1B7ABC06">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②▲支持课程目标设置与权重配置（权重总和为100%），支持课程目标与毕业要求指标点建立支撑关系并配置支撑等级（H/M/L）。</w:t>
      </w:r>
    </w:p>
    <w:p w14:paraId="5AB07EC0">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③▲支持按章节维护教学内容、重难点、思政点，支持章节与课程目标自动关联，支持多版式表格展示。</w:t>
      </w:r>
    </w:p>
    <w:p w14:paraId="0468A59E">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④▲支持多级考核方式、权重分配、评价标准、成绩构成、评分规则自定义配置。</w:t>
      </w:r>
    </w:p>
    <w:p w14:paraId="3ED2DA5B">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⑤支持授课计划在线编制、引用章节内容、维护与导出。</w:t>
      </w:r>
    </w:p>
    <w:p w14:paraId="585274FF">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⑥支持课程教师团队、教材信息增删改查管理。</w:t>
      </w:r>
    </w:p>
    <w:p w14:paraId="3FBD658B">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⑦支持知识图谱、目标图谱、思政图谱、问题图谱等多维图谱构建与自定义展示。</w:t>
      </w:r>
    </w:p>
    <w:p w14:paraId="7AD763CF">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⑧支持Word、PDF格式大纲导入与课程目标、教学内容等结构化信息智能解析。</w:t>
      </w:r>
    </w:p>
    <w:p w14:paraId="3E16EB47">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⑨支持课程大纲模板对应组件、样式自定义配置，可灵活选择模板并引用课程关键数据快速生成大纲。</w:t>
      </w:r>
    </w:p>
    <w:p w14:paraId="0F441346">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⑩支持课程大纲在线编制，可自定义配置审批流程，支持会签</w:t>
      </w:r>
      <w:r>
        <w:rPr>
          <w:rFonts w:hint="eastAsia" w:ascii="Times New Roman" w:hAnsi="Times New Roman" w:eastAsia="方正兰亭黑简体" w:cs="Times New Roman"/>
          <w:color w:val="auto"/>
          <w:kern w:val="0"/>
          <w:sz w:val="22"/>
          <w:szCs w:val="22"/>
          <w:highlight w:val="none"/>
          <w:lang w:eastAsia="zh-CN"/>
        </w:rPr>
        <w:t>或</w:t>
      </w:r>
      <w:r>
        <w:rPr>
          <w:rFonts w:hint="default" w:ascii="Times New Roman" w:hAnsi="Times New Roman" w:eastAsia="方正兰亭黑简体" w:cs="Times New Roman"/>
          <w:color w:val="auto"/>
          <w:kern w:val="0"/>
          <w:sz w:val="22"/>
          <w:szCs w:val="22"/>
          <w:highlight w:val="none"/>
        </w:rPr>
        <w:t>签、条件分支、电子签名、自动提醒，并支持大纲导出与排版设置。</w:t>
      </w:r>
    </w:p>
    <w:p w14:paraId="20B30B16">
      <w:pPr>
        <w:widowControl/>
        <w:numPr>
          <w:ilvl w:val="0"/>
          <w:numId w:val="0"/>
        </w:numPr>
        <w:shd w:val="clear" w:color="auto" w:fill="FFFFFF"/>
        <w:spacing w:line="360" w:lineRule="auto"/>
        <w:ind w:left="0" w:leftChars="0" w:hanging="5" w:firstLineChars="0"/>
        <w:jc w:val="left"/>
        <w:rPr>
          <w:rFonts w:hint="default" w:ascii="Times New Roman" w:hAnsi="Times New Roman" w:eastAsia="方正兰亭黑简体" w:cs="Times New Roman"/>
          <w:b/>
          <w:bCs/>
          <w:color w:val="auto"/>
          <w:kern w:val="0"/>
          <w:sz w:val="22"/>
          <w:szCs w:val="22"/>
          <w:highlight w:val="none"/>
        </w:rPr>
      </w:pPr>
      <w:r>
        <w:rPr>
          <w:rFonts w:hint="default" w:ascii="Times New Roman" w:hAnsi="Times New Roman" w:eastAsia="方正兰亭黑简体" w:cs="Times New Roman"/>
          <w:b/>
          <w:bCs/>
          <w:color w:val="auto"/>
          <w:kern w:val="0"/>
          <w:sz w:val="22"/>
          <w:szCs w:val="22"/>
          <w:highlight w:val="none"/>
          <w:lang w:val="en-US" w:eastAsia="zh-CN" w:bidi="ar-SA"/>
        </w:rPr>
        <w:t>4)</w:t>
      </w:r>
      <w:r>
        <w:rPr>
          <w:rFonts w:hint="default" w:ascii="Times New Roman" w:hAnsi="Times New Roman" w:eastAsia="方正兰亭黑简体" w:cs="Times New Roman"/>
          <w:b/>
          <w:bCs/>
          <w:color w:val="auto"/>
          <w:kern w:val="0"/>
          <w:sz w:val="22"/>
          <w:szCs w:val="22"/>
          <w:highlight w:val="none"/>
        </w:rPr>
        <w:t>专业图谱</w:t>
      </w:r>
    </w:p>
    <w:p w14:paraId="04DC3F9B">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①支持专业体系、课程体系、知识图谱、问题图谱、目标图谱、能力图谱、岗位图谱、竞赛图谱可视化展示。</w:t>
      </w:r>
    </w:p>
    <w:p w14:paraId="1B402B00">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②支持专业门户与图谱页面快速切换，支持课程检索与定位。</w:t>
      </w:r>
    </w:p>
    <w:p w14:paraId="705BEC18">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③支持培养目标、毕业要求、毕业要求指标点、支撑矩阵可视化查看。</w:t>
      </w:r>
    </w:p>
    <w:p w14:paraId="3B262960">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④▲支持2D/3D模式切换，展示培养目标、毕业要求、指标点、课程、课程目标、知识点、技能点之间的支撑与关联关系。</w:t>
      </w:r>
    </w:p>
    <w:p w14:paraId="6D63B781">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⑤支持课程拓扑图、先修后继关系、学期课程安排展示。</w:t>
      </w:r>
    </w:p>
    <w:p w14:paraId="4322E473">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⑥支持教师自定义问题图谱，支持卡片编辑、连线、标签设置与知识点关联。</w:t>
      </w:r>
    </w:p>
    <w:p w14:paraId="5BD6946F">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⑦▲支持问题关联知识点图谱展示，支撑问题导向式学习与知识点串联。</w:t>
      </w:r>
    </w:p>
    <w:p w14:paraId="70617E70">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⑧▲支持课程目标与知识点关联，自动统计课程达成度、目标达成度、关联知识点数量。</w:t>
      </w:r>
    </w:p>
    <w:p w14:paraId="54070FE6">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⑨▲支持专业负责人、课程负责人按权限维护专业与课程核心数据，维护专业—课程、目标—毕业要求关联关系。</w:t>
      </w:r>
    </w:p>
    <w:p w14:paraId="5F9C5EF6">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⑩支持课程与专业层级图谱自动生成、自定义编辑、命名与版本管理。</w:t>
      </w:r>
    </w:p>
    <w:p w14:paraId="0C8A1F91">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⑪▲支持知识点分类、前后置关系、属性标签定义，支持图谱个性化配置。</w:t>
      </w:r>
    </w:p>
    <w:p w14:paraId="22317BE0">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⑫支持按专业、院系、校级三种纬度，以多种形式查看整体课程知识建设情况、课程知识点关联和支撑情况，并支持跳转进行知识点学习。</w:t>
      </w:r>
    </w:p>
    <w:p w14:paraId="5BFECE25">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⑬支持根据布鲁姆体系规则，细化专业建设培养目标，设置能力认知维度和知识维度，以能力图谱的形式展现指标点、毕业要求的整体发展趋势</w:t>
      </w:r>
      <w:r>
        <w:rPr>
          <w:rFonts w:hint="eastAsia" w:ascii="Times New Roman" w:hAnsi="Times New Roman" w:eastAsia="方正兰亭黑简体" w:cs="Times New Roman"/>
          <w:color w:val="auto"/>
          <w:kern w:val="0"/>
          <w:sz w:val="22"/>
          <w:szCs w:val="22"/>
          <w:highlight w:val="none"/>
          <w:lang w:eastAsia="zh-CN"/>
        </w:rPr>
        <w:t>，以及</w:t>
      </w:r>
      <w:r>
        <w:rPr>
          <w:rFonts w:hint="default" w:ascii="Times New Roman" w:hAnsi="Times New Roman" w:eastAsia="方正兰亭黑简体" w:cs="Times New Roman"/>
          <w:color w:val="auto"/>
          <w:kern w:val="0"/>
          <w:sz w:val="22"/>
          <w:szCs w:val="22"/>
          <w:highlight w:val="none"/>
        </w:rPr>
        <w:t>各个能力、知识单元的具体要求高度添加培养能力</w:t>
      </w:r>
    </w:p>
    <w:p w14:paraId="301A0CB3">
      <w:pPr>
        <w:widowControl/>
        <w:numPr>
          <w:ilvl w:val="0"/>
          <w:numId w:val="0"/>
        </w:numPr>
        <w:shd w:val="clear" w:color="auto" w:fill="FFFFFF"/>
        <w:spacing w:line="360" w:lineRule="auto"/>
        <w:ind w:left="0" w:leftChars="0" w:hanging="5" w:firstLineChars="0"/>
        <w:jc w:val="left"/>
        <w:rPr>
          <w:rFonts w:hint="default" w:ascii="Times New Roman" w:hAnsi="Times New Roman" w:eastAsia="方正兰亭黑简体" w:cs="Times New Roman"/>
          <w:b/>
          <w:bCs/>
          <w:color w:val="auto"/>
          <w:kern w:val="0"/>
          <w:sz w:val="22"/>
          <w:szCs w:val="22"/>
          <w:highlight w:val="none"/>
        </w:rPr>
      </w:pPr>
      <w:r>
        <w:rPr>
          <w:rFonts w:hint="default" w:ascii="Times New Roman" w:hAnsi="Times New Roman" w:eastAsia="方正兰亭黑简体" w:cs="Times New Roman"/>
          <w:b/>
          <w:bCs/>
          <w:color w:val="auto"/>
          <w:kern w:val="0"/>
          <w:sz w:val="22"/>
          <w:szCs w:val="22"/>
          <w:highlight w:val="none"/>
          <w:lang w:val="en-US" w:eastAsia="zh-CN" w:bidi="ar-SA"/>
        </w:rPr>
        <w:t>5)</w:t>
      </w:r>
      <w:r>
        <w:rPr>
          <w:rFonts w:hint="default" w:ascii="Times New Roman" w:hAnsi="Times New Roman" w:eastAsia="方正兰亭黑简体" w:cs="Times New Roman"/>
          <w:b/>
          <w:bCs/>
          <w:color w:val="auto"/>
          <w:kern w:val="0"/>
          <w:sz w:val="22"/>
          <w:szCs w:val="22"/>
          <w:highlight w:val="none"/>
        </w:rPr>
        <w:t>任务引擎</w:t>
      </w:r>
    </w:p>
    <w:p w14:paraId="3FDFDD5C">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①支持完成任务设计，进行任务分组、任务点添加和管理、任务点完成条件、任务达标标准的设置。</w:t>
      </w:r>
    </w:p>
    <w:p w14:paraId="0AF0C868">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②▲支持在任务下添加具体的资源类型，其中包含视频、文档、笔记、课程内容、作业、测验、自测、线上课堂、线下课堂、分组任务、问卷、审批、自定义。</w:t>
      </w:r>
    </w:p>
    <w:p w14:paraId="47D9E856">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③支持新建任务，并可自定义任务名称、封面、介绍、标签，创建后进行任务设计。</w:t>
      </w:r>
    </w:p>
    <w:p w14:paraId="6FD89065">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④支持按任务名称查询任务，任务删除后列表不可见，可恢复已删除任务资源。</w:t>
      </w:r>
    </w:p>
    <w:p w14:paraId="366AD856">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⑤支持AI生成任务，并支持按章节、教案、文本创建任务。</w:t>
      </w:r>
    </w:p>
    <w:p w14:paraId="17E0F3B2">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⑥支持编辑任务基本信息，调整任务内容，预览任务效果，设置任务报名、达标标准及证书发放等。</w:t>
      </w:r>
    </w:p>
    <w:p w14:paraId="20946DC2">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⑦支持分组维护，可编辑、删除分组信息，并设置任务完成条件。</w:t>
      </w:r>
    </w:p>
    <w:p w14:paraId="257CB065">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⑧支持在任务下添加、管理、编辑本课或跨课课程知识点、作业、测验等资源。</w:t>
      </w:r>
    </w:p>
    <w:p w14:paraId="666013D7">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⑨支持任务点的创建、修改、删除，并设置完成条件、任务点督学及成绩录入。</w:t>
      </w:r>
    </w:p>
    <w:p w14:paraId="4C27A79C">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⑩▲支持查看任务概况、学生学习情况，按任务点、任务分组、达标状态筛选任务完成情况，并支持任务点督学提醒。</w:t>
      </w:r>
    </w:p>
    <w:p w14:paraId="2D9DFC32">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⑪支持导出任务相关数据，包括学生概况、任务点内容，提供全量、筛选、勾选等导出方式。</w:t>
      </w:r>
    </w:p>
    <w:p w14:paraId="47504C39">
      <w:pPr>
        <w:widowControl/>
        <w:numPr>
          <w:ilvl w:val="0"/>
          <w:numId w:val="0"/>
        </w:numPr>
        <w:shd w:val="clear" w:color="auto" w:fill="FFFFFF"/>
        <w:spacing w:line="360" w:lineRule="auto"/>
        <w:ind w:left="0" w:leftChars="0" w:hanging="5" w:firstLineChars="0"/>
        <w:jc w:val="left"/>
        <w:rPr>
          <w:rFonts w:hint="default" w:ascii="Times New Roman" w:hAnsi="Times New Roman" w:eastAsia="方正兰亭黑简体" w:cs="Times New Roman"/>
          <w:b/>
          <w:bCs/>
          <w:color w:val="auto"/>
          <w:kern w:val="0"/>
          <w:sz w:val="22"/>
          <w:szCs w:val="22"/>
          <w:highlight w:val="none"/>
        </w:rPr>
      </w:pPr>
      <w:r>
        <w:rPr>
          <w:rFonts w:hint="default" w:ascii="Times New Roman" w:hAnsi="Times New Roman" w:eastAsia="方正兰亭黑简体" w:cs="Times New Roman"/>
          <w:b/>
          <w:bCs/>
          <w:color w:val="auto"/>
          <w:kern w:val="0"/>
          <w:sz w:val="22"/>
          <w:szCs w:val="22"/>
          <w:highlight w:val="none"/>
          <w:lang w:val="en-US" w:eastAsia="zh-CN" w:bidi="ar-SA"/>
        </w:rPr>
        <w:t>6)</w:t>
      </w:r>
      <w:r>
        <w:rPr>
          <w:rFonts w:hint="default" w:ascii="Times New Roman" w:hAnsi="Times New Roman" w:eastAsia="方正兰亭黑简体" w:cs="Times New Roman"/>
          <w:b/>
          <w:bCs/>
          <w:color w:val="auto"/>
          <w:kern w:val="0"/>
          <w:sz w:val="22"/>
          <w:szCs w:val="22"/>
          <w:highlight w:val="none"/>
        </w:rPr>
        <w:t>专业建设工作台</w:t>
      </w:r>
    </w:p>
    <w:p w14:paraId="06A38CA9">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专业建设工作台为专业负责人专属一站式工作入口，聚合专业建设全流程核心事项，实现信息集中展示、业务快速办理、数据实时监控，减少多系统切换，提升专业管理效率，实现“一人一工作台、一事一闭环”。</w:t>
      </w:r>
    </w:p>
    <w:p w14:paraId="5F1FF481">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①支持为专业负责人提供专属工作台界面，聚焦专业全周期管理核心事项提升专业负责人信息获取效率，支持将专业建设总览、AI工作台、专业调研、专业建设、教学运行等相关模块以集中视图形式聚合展示。</w:t>
      </w:r>
    </w:p>
    <w:p w14:paraId="51890737">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②▲支持将人培方案、校本调研资料库、国家专业教学质量标准等结果在工作台中进行统一汇总查看。</w:t>
      </w:r>
    </w:p>
    <w:p w14:paraId="332940F7">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③支持对接已有的人才培养方案模块，实现方案修订状态与审核进度的可视化呈现。</w:t>
      </w:r>
    </w:p>
    <w:p w14:paraId="5F28BDDE">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④支持统一展示在线课程资源建设、教学运行、学生能力达成等数据，辅助教学运行监控。</w:t>
      </w:r>
    </w:p>
    <w:p w14:paraId="2EE4792E">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⑤支持跳转链接调用已有各子系统功能模块，无需重复登录或切换系统。</w:t>
      </w:r>
    </w:p>
    <w:p w14:paraId="6C1E77C2">
      <w:pPr>
        <w:widowControl/>
        <w:numPr>
          <w:ilvl w:val="0"/>
          <w:numId w:val="0"/>
        </w:numPr>
        <w:shd w:val="clear" w:color="auto" w:fill="FFFFFF"/>
        <w:spacing w:line="360" w:lineRule="auto"/>
        <w:ind w:left="0" w:leftChars="0" w:hanging="5" w:firstLineChars="0"/>
        <w:jc w:val="left"/>
        <w:rPr>
          <w:rFonts w:hint="default" w:ascii="Times New Roman" w:hAnsi="Times New Roman" w:eastAsia="方正兰亭黑简体" w:cs="Times New Roman"/>
          <w:b/>
          <w:bCs/>
          <w:color w:val="auto"/>
          <w:kern w:val="0"/>
          <w:sz w:val="22"/>
          <w:szCs w:val="22"/>
          <w:highlight w:val="none"/>
        </w:rPr>
      </w:pPr>
      <w:r>
        <w:rPr>
          <w:rFonts w:hint="default" w:ascii="Times New Roman" w:hAnsi="Times New Roman" w:eastAsia="方正兰亭黑简体" w:cs="Times New Roman"/>
          <w:b/>
          <w:bCs/>
          <w:color w:val="auto"/>
          <w:kern w:val="0"/>
          <w:sz w:val="22"/>
          <w:szCs w:val="22"/>
          <w:highlight w:val="none"/>
          <w:lang w:val="en-US" w:eastAsia="zh-CN" w:bidi="ar-SA"/>
        </w:rPr>
        <w:t>7)</w:t>
      </w:r>
      <w:r>
        <w:rPr>
          <w:rFonts w:hint="default" w:ascii="Times New Roman" w:hAnsi="Times New Roman" w:eastAsia="方正兰亭黑简体" w:cs="Times New Roman"/>
          <w:b/>
          <w:bCs/>
          <w:color w:val="auto"/>
          <w:kern w:val="0"/>
          <w:sz w:val="22"/>
          <w:szCs w:val="22"/>
          <w:highlight w:val="none"/>
        </w:rPr>
        <w:t>专业建设门户</w:t>
      </w:r>
    </w:p>
    <w:p w14:paraId="5E9D0CB6">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通过专业建设门户全面呈现专业培养体系、课程图谱、知识体系、教学成果、特色亮点，满足校内应用、对外交流、专业评估、招生宣传等多场景展示需求。</w:t>
      </w:r>
    </w:p>
    <w:p w14:paraId="0DF13908">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①支持在门户界面和课程知识图谱展示互相切换便于搜索相关课程。</w:t>
      </w:r>
    </w:p>
    <w:p w14:paraId="3D175112">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②支持在门户中显示多门课程汇总展示，可展示课程数量，每个专业不少于15门。</w:t>
      </w:r>
    </w:p>
    <w:p w14:paraId="1B563174">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③需要能通过虚拟展厅进行专业成果展示，满足专业成果的展厅可视化。</w:t>
      </w:r>
    </w:p>
    <w:p w14:paraId="1FA12739">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④支持展示培养体系、专业介绍、知识体系、专业图谱等内容。</w:t>
      </w:r>
    </w:p>
    <w:p w14:paraId="0D9B84A4">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⑤支持查看当前专业基本信息，包括培养目标、毕业要求、知识点等构建的数量情况。</w:t>
      </w:r>
    </w:p>
    <w:p w14:paraId="2F0BCEF4">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⑥支持展示专业基本信息介绍，以图文形式进行呈现。</w:t>
      </w:r>
    </w:p>
    <w:p w14:paraId="5A7B3F52">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⑦支持展示专业培养体系，包括专业下建设课程总数、公共基础课程、专业核心等课程的建设情况。</w:t>
      </w:r>
    </w:p>
    <w:p w14:paraId="3612AD44">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⑧支持展示专业图谱建设情况，包括知识图谱、问题图谱、目标图谱、能力图谱等。</w:t>
      </w:r>
    </w:p>
    <w:p w14:paraId="0DA25099">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⑨支持展示专业课程体系图谱，</w:t>
      </w:r>
      <w:r>
        <w:rPr>
          <w:rFonts w:hint="eastAsia" w:ascii="Times New Roman" w:hAnsi="Times New Roman" w:eastAsia="方正兰亭黑简体" w:cs="Times New Roman"/>
          <w:color w:val="auto"/>
          <w:kern w:val="0"/>
          <w:sz w:val="22"/>
          <w:szCs w:val="22"/>
          <w:highlight w:val="none"/>
          <w:lang w:eastAsia="zh-CN"/>
        </w:rPr>
        <w:t>查看</w:t>
      </w:r>
      <w:r>
        <w:rPr>
          <w:rFonts w:hint="default" w:ascii="Times New Roman" w:hAnsi="Times New Roman" w:eastAsia="方正兰亭黑简体" w:cs="Times New Roman"/>
          <w:color w:val="auto"/>
          <w:kern w:val="0"/>
          <w:sz w:val="22"/>
          <w:szCs w:val="22"/>
          <w:highlight w:val="none"/>
        </w:rPr>
        <w:t>专业各个学期开设课程情况，以及显示课程之间的先修后继关系。</w:t>
      </w:r>
    </w:p>
    <w:p w14:paraId="0266E9D9">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⑩▲可以查看专业知识森林，知识森林下包含所有课程的所有知识点，支持切换3d专业图谱，可以通过3d图谱形式查看专业下所有课程所有知识点以及知识点的关系。</w:t>
      </w:r>
    </w:p>
    <w:p w14:paraId="5B821B7C">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⑪支持展示特色课程等其他和该专业相关的模块。</w:t>
      </w:r>
    </w:p>
    <w:p w14:paraId="34A8726A">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⑫▲模块工具：门户支持添加和设置应用基础模块，包含图标列表、图文列表、轮播图、多图列表、搜索、文本列表、图表、表格、搜索列表、文本、图片、按钮、视频、搜索条、天气、日期、插件、IP、地图等多种基础模块，用以生成网站应用模块和页面，满足绝大部分网站内容的展现形式。</w:t>
      </w:r>
    </w:p>
    <w:p w14:paraId="6CAE9F78">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⑬布局设置：门户支持设置全局模块，包含头部、全局轮播图、底部、飘窗、快捷入口等模块，支持隐藏或开启全局模块。</w:t>
      </w:r>
    </w:p>
    <w:p w14:paraId="3B34DF83">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⑭编辑方式：具有可视化页面设计后台，支持拖拽式布局管理，各应用模块自由调整。</w:t>
      </w:r>
    </w:p>
    <w:p w14:paraId="52976526">
      <w:pPr>
        <w:widowControl/>
        <w:numPr>
          <w:ilvl w:val="0"/>
          <w:numId w:val="0"/>
        </w:numPr>
        <w:shd w:val="clear" w:color="auto" w:fill="FFFFFF"/>
        <w:spacing w:line="360" w:lineRule="auto"/>
        <w:ind w:left="0" w:leftChars="0" w:hanging="5" w:firstLineChars="0"/>
        <w:jc w:val="left"/>
        <w:rPr>
          <w:rFonts w:hint="default" w:ascii="Times New Roman" w:hAnsi="Times New Roman" w:eastAsia="方正兰亭黑简体" w:cs="Times New Roman"/>
          <w:b/>
          <w:bCs/>
          <w:color w:val="auto"/>
          <w:kern w:val="0"/>
          <w:sz w:val="22"/>
          <w:szCs w:val="22"/>
          <w:highlight w:val="none"/>
        </w:rPr>
      </w:pPr>
      <w:r>
        <w:rPr>
          <w:rFonts w:hint="default" w:ascii="Times New Roman" w:hAnsi="Times New Roman" w:eastAsia="方正兰亭黑简体" w:cs="Times New Roman"/>
          <w:b/>
          <w:bCs/>
          <w:color w:val="auto"/>
          <w:kern w:val="0"/>
          <w:sz w:val="22"/>
          <w:szCs w:val="22"/>
          <w:highlight w:val="none"/>
          <w:lang w:val="en-US" w:eastAsia="zh-CN" w:bidi="ar-SA"/>
        </w:rPr>
        <w:t>(2)</w:t>
      </w:r>
      <w:r>
        <w:rPr>
          <w:rFonts w:hint="default" w:ascii="Times New Roman" w:hAnsi="Times New Roman" w:eastAsia="方正兰亭黑简体" w:cs="Times New Roman"/>
          <w:b/>
          <w:bCs/>
          <w:color w:val="auto"/>
          <w:kern w:val="0"/>
          <w:sz w:val="22"/>
          <w:szCs w:val="22"/>
          <w:highlight w:val="none"/>
        </w:rPr>
        <w:t>机械设计制造及其自动化（中本贯通）专业核心数字教材开发出版</w:t>
      </w:r>
    </w:p>
    <w:p w14:paraId="5370987A">
      <w:pPr>
        <w:widowControl/>
        <w:numPr>
          <w:ilvl w:val="0"/>
          <w:numId w:val="0"/>
        </w:numPr>
        <w:shd w:val="clear" w:color="auto" w:fill="FFFFFF"/>
        <w:spacing w:line="360" w:lineRule="auto"/>
        <w:ind w:left="0" w:leftChars="0" w:hanging="5" w:firstLineChars="0"/>
        <w:jc w:val="left"/>
        <w:rPr>
          <w:rFonts w:hint="default" w:ascii="Times New Roman" w:hAnsi="Times New Roman" w:eastAsia="方正兰亭黑简体" w:cs="Times New Roman"/>
          <w:b/>
          <w:bCs/>
          <w:color w:val="auto"/>
          <w:kern w:val="0"/>
          <w:sz w:val="22"/>
          <w:szCs w:val="22"/>
          <w:highlight w:val="none"/>
        </w:rPr>
      </w:pPr>
      <w:r>
        <w:rPr>
          <w:rFonts w:hint="default" w:ascii="Times New Roman" w:hAnsi="Times New Roman" w:eastAsia="方正兰亭黑简体" w:cs="Times New Roman"/>
          <w:b/>
          <w:bCs/>
          <w:color w:val="auto"/>
          <w:kern w:val="0"/>
          <w:sz w:val="22"/>
          <w:szCs w:val="22"/>
          <w:highlight w:val="none"/>
          <w:lang w:val="en-US" w:eastAsia="zh-CN" w:bidi="ar-SA"/>
        </w:rPr>
        <w:t>1)</w:t>
      </w:r>
      <w:r>
        <w:rPr>
          <w:rFonts w:hint="default" w:ascii="Times New Roman" w:hAnsi="Times New Roman" w:eastAsia="方正兰亭黑简体" w:cs="Times New Roman"/>
          <w:b/>
          <w:bCs/>
          <w:color w:val="auto"/>
          <w:kern w:val="0"/>
          <w:sz w:val="22"/>
          <w:szCs w:val="22"/>
          <w:highlight w:val="none"/>
        </w:rPr>
        <w:t>数字教材编辑系统</w:t>
      </w:r>
    </w:p>
    <w:p w14:paraId="78A20866">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①目录管理：支持创建默认目录、模板导入/自定义目录，可导出目录（PDF/Word）；▲支持设置目录标签页的复用模板，供其他章节沿用。</w:t>
      </w:r>
    </w:p>
    <w:p w14:paraId="309713EC">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②教材管理：单个账号可创建多本教材，支持教材列表展示、删除及编写团队管理（成员添加、权限设置、移除）。</w:t>
      </w:r>
    </w:p>
    <w:p w14:paraId="04BC2C20">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③章节编辑：支持章节及文档结构（标题、子标题）管理，可设置章节内容模板、多标签页；支持基本文本/段落格式、各类列表，支持格式刷。</w:t>
      </w:r>
    </w:p>
    <w:p w14:paraId="221074FB">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④素材管理：素材库支持分类、文件夹操作（新建/删除/移动等）；▲支持2G以上超大文件资源上传至素材库，并在教材建设中引用；支持缩略图/列表展示及多维度检索；支持多格式素材（音视频、图文、文档、3D等）上传、查看、引用及跨章节移动。</w:t>
      </w:r>
    </w:p>
    <w:p w14:paraId="2F49736E">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⑤音视频处理：视频支持多格式上传、转码、拖放、倍速，可插入互动元素、字幕及虚拟剪辑；音频支持多格式上传及在线录音播放。</w:t>
      </w:r>
    </w:p>
    <w:p w14:paraId="1B433CA4">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⑥图文处理：图片支持多格式上传、多图同排自适应、组图画廊；支持Word/PDF内容复制粘贴及文档导入并保留格式。</w:t>
      </w:r>
    </w:p>
    <w:p w14:paraId="47AA4D08">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⑦编辑辅助：支持表格编辑、LaTeX公式、代码块上色、超链接多显示模式；支持编辑回退/前进、多终端实时预览排版。</w:t>
      </w:r>
    </w:p>
    <w:p w14:paraId="4F07CA91">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⑧题库建设：支持模板/智能导入（Word/Excel），可创建、管理多题型题库（含程序题），支持试题批量导出。</w:t>
      </w:r>
    </w:p>
    <w:p w14:paraId="29BBD3C1">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⑨其他：▲支持AI多语种智能辅助写作功能；支持编辑统计、资料筛选排序及3D/全景资源嵌入。</w:t>
      </w:r>
    </w:p>
    <w:p w14:paraId="5FD3A854">
      <w:pPr>
        <w:widowControl/>
        <w:numPr>
          <w:ilvl w:val="0"/>
          <w:numId w:val="0"/>
        </w:numPr>
        <w:shd w:val="clear" w:color="auto" w:fill="FFFFFF"/>
        <w:spacing w:line="360" w:lineRule="auto"/>
        <w:ind w:left="0" w:leftChars="0" w:hanging="5" w:firstLineChars="0"/>
        <w:jc w:val="left"/>
        <w:rPr>
          <w:rFonts w:hint="default" w:ascii="Times New Roman" w:hAnsi="Times New Roman" w:eastAsia="方正兰亭黑简体" w:cs="Times New Roman"/>
          <w:b/>
          <w:bCs/>
          <w:color w:val="auto"/>
          <w:kern w:val="0"/>
          <w:sz w:val="22"/>
          <w:szCs w:val="22"/>
          <w:highlight w:val="none"/>
        </w:rPr>
      </w:pPr>
      <w:r>
        <w:rPr>
          <w:rFonts w:hint="default" w:ascii="Times New Roman" w:hAnsi="Times New Roman" w:eastAsia="方正兰亭黑简体" w:cs="Times New Roman"/>
          <w:b/>
          <w:bCs/>
          <w:color w:val="auto"/>
          <w:kern w:val="0"/>
          <w:sz w:val="22"/>
          <w:szCs w:val="22"/>
          <w:highlight w:val="none"/>
          <w:lang w:val="en-US" w:eastAsia="zh-CN" w:bidi="ar-SA"/>
        </w:rPr>
        <w:t>2)</w:t>
      </w:r>
      <w:r>
        <w:rPr>
          <w:rFonts w:hint="default" w:ascii="Times New Roman" w:hAnsi="Times New Roman" w:eastAsia="方正兰亭黑简体" w:cs="Times New Roman"/>
          <w:b/>
          <w:bCs/>
          <w:color w:val="auto"/>
          <w:kern w:val="0"/>
          <w:sz w:val="22"/>
          <w:szCs w:val="22"/>
          <w:highlight w:val="none"/>
        </w:rPr>
        <w:t>数字教材出版与管理</w:t>
      </w:r>
    </w:p>
    <w:p w14:paraId="5219D06E">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①出版服务</w:t>
      </w:r>
    </w:p>
    <w:p w14:paraId="5B4591A3">
      <w:pPr>
        <w:widowControl/>
        <w:numPr>
          <w:ilvl w:val="0"/>
          <w:numId w:val="0"/>
        </w:numPr>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bidi="ar-SA"/>
        </w:rPr>
        <w:t>a.</w:t>
      </w:r>
      <w:r>
        <w:rPr>
          <w:rFonts w:hint="default" w:ascii="Times New Roman" w:hAnsi="Times New Roman" w:eastAsia="方正兰亭黑简体" w:cs="Times New Roman"/>
          <w:color w:val="auto"/>
          <w:kern w:val="0"/>
          <w:sz w:val="22"/>
          <w:szCs w:val="22"/>
          <w:highlight w:val="none"/>
        </w:rPr>
        <w:t>需提供多家合作出版社，满足不同需求、不同学科选题的出版。</w:t>
      </w:r>
    </w:p>
    <w:p w14:paraId="36BD880D">
      <w:pPr>
        <w:widowControl/>
        <w:numPr>
          <w:ilvl w:val="0"/>
          <w:numId w:val="0"/>
        </w:numPr>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bidi="ar-SA"/>
        </w:rPr>
        <w:t>b.</w:t>
      </w:r>
      <w:r>
        <w:rPr>
          <w:rFonts w:hint="default" w:ascii="Times New Roman" w:hAnsi="Times New Roman" w:eastAsia="方正兰亭黑简体" w:cs="Times New Roman"/>
          <w:color w:val="auto"/>
          <w:kern w:val="0"/>
          <w:sz w:val="22"/>
          <w:szCs w:val="22"/>
          <w:highlight w:val="none"/>
        </w:rPr>
        <w:t>▲支持作者通过表单填写教材信息自主申请出版，可通过相应的数据后台查看教师的自主申请出版信息。</w:t>
      </w:r>
    </w:p>
    <w:p w14:paraId="6F062AC1">
      <w:pPr>
        <w:widowControl/>
        <w:numPr>
          <w:ilvl w:val="0"/>
          <w:numId w:val="0"/>
        </w:numPr>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bidi="ar-SA"/>
        </w:rPr>
        <w:t>c.</w:t>
      </w:r>
      <w:r>
        <w:rPr>
          <w:rFonts w:hint="default" w:ascii="Times New Roman" w:hAnsi="Times New Roman" w:eastAsia="方正兰亭黑简体" w:cs="Times New Roman"/>
          <w:color w:val="auto"/>
          <w:kern w:val="0"/>
          <w:sz w:val="22"/>
          <w:szCs w:val="22"/>
          <w:highlight w:val="none"/>
        </w:rPr>
        <w:t>出版社编辑三审三校后出版，确保教材内容不触碰政治、专业知识错误的红线，提供ISBN号。</w:t>
      </w:r>
    </w:p>
    <w:p w14:paraId="43BF4E95">
      <w:pPr>
        <w:widowControl/>
        <w:numPr>
          <w:ilvl w:val="0"/>
          <w:numId w:val="0"/>
        </w:numPr>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bidi="ar-SA"/>
        </w:rPr>
        <w:t>d.</w:t>
      </w:r>
      <w:r>
        <w:rPr>
          <w:rFonts w:hint="default" w:ascii="Times New Roman" w:hAnsi="Times New Roman" w:eastAsia="方正兰亭黑简体" w:cs="Times New Roman"/>
          <w:color w:val="auto"/>
          <w:kern w:val="0"/>
          <w:sz w:val="22"/>
          <w:szCs w:val="22"/>
          <w:highlight w:val="none"/>
        </w:rPr>
        <w:t>支持数字教材的便捷修订，满足数字教材快速迭代更新的需求。</w:t>
      </w:r>
    </w:p>
    <w:p w14:paraId="44739508">
      <w:pPr>
        <w:widowControl/>
        <w:numPr>
          <w:ilvl w:val="0"/>
          <w:numId w:val="0"/>
        </w:numPr>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bidi="ar-SA"/>
        </w:rPr>
        <w:t>e.</w:t>
      </w:r>
      <w:r>
        <w:rPr>
          <w:rFonts w:hint="default" w:ascii="Times New Roman" w:hAnsi="Times New Roman" w:eastAsia="方正兰亭黑简体" w:cs="Times New Roman"/>
          <w:color w:val="auto"/>
          <w:kern w:val="0"/>
          <w:sz w:val="22"/>
          <w:szCs w:val="22"/>
          <w:highlight w:val="none"/>
        </w:rPr>
        <w:t>支持平台使用培训，支持邀请专家进行教材编写、获奖经验分享等专项培训。</w:t>
      </w:r>
    </w:p>
    <w:p w14:paraId="6721D639">
      <w:pPr>
        <w:widowControl/>
        <w:numPr>
          <w:ilvl w:val="0"/>
          <w:numId w:val="0"/>
        </w:numPr>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bidi="ar-SA"/>
        </w:rPr>
        <w:t>f.</w:t>
      </w:r>
      <w:r>
        <w:rPr>
          <w:rFonts w:hint="default" w:ascii="Times New Roman" w:hAnsi="Times New Roman" w:eastAsia="方正兰亭黑简体" w:cs="Times New Roman"/>
          <w:color w:val="auto"/>
          <w:kern w:val="0"/>
          <w:sz w:val="22"/>
          <w:szCs w:val="22"/>
          <w:highlight w:val="none"/>
        </w:rPr>
        <w:t>出版社支持教材类和出版界的奖项申报，包括教材评价、教材出版证明等佐证材料。</w:t>
      </w:r>
    </w:p>
    <w:p w14:paraId="2A315581">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②管理服务</w:t>
      </w:r>
    </w:p>
    <w:p w14:paraId="416F0BE1">
      <w:pPr>
        <w:widowControl/>
        <w:numPr>
          <w:ilvl w:val="0"/>
          <w:numId w:val="0"/>
        </w:numPr>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bidi="ar-SA"/>
        </w:rPr>
        <w:t>a.</w:t>
      </w:r>
      <w:r>
        <w:rPr>
          <w:rFonts w:hint="default" w:ascii="Times New Roman" w:hAnsi="Times New Roman" w:eastAsia="方正兰亭黑简体" w:cs="Times New Roman"/>
          <w:color w:val="auto"/>
          <w:kern w:val="0"/>
          <w:sz w:val="22"/>
          <w:szCs w:val="22"/>
          <w:highlight w:val="none"/>
        </w:rPr>
        <w:t>支持将已出版教材按学科分类发布至数字教材平台，供教师和学生选用。</w:t>
      </w:r>
    </w:p>
    <w:p w14:paraId="5341EFA0">
      <w:pPr>
        <w:widowControl/>
        <w:numPr>
          <w:ilvl w:val="0"/>
          <w:numId w:val="0"/>
        </w:numPr>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bidi="ar-SA"/>
        </w:rPr>
        <w:t>b.</w:t>
      </w:r>
      <w:r>
        <w:rPr>
          <w:rFonts w:hint="default" w:ascii="Times New Roman" w:hAnsi="Times New Roman" w:eastAsia="方正兰亭黑简体" w:cs="Times New Roman"/>
          <w:color w:val="auto"/>
          <w:kern w:val="0"/>
          <w:sz w:val="22"/>
          <w:szCs w:val="22"/>
          <w:highlight w:val="none"/>
        </w:rPr>
        <w:t>数字教材平台支持展示教材的版权信息、内容简介。支持在线查看教材主要内容，如章节目录、配套PPT、题库等资源的预览及配套数字资源的在线观看。</w:t>
      </w:r>
    </w:p>
    <w:p w14:paraId="75881F9C">
      <w:pPr>
        <w:widowControl/>
        <w:numPr>
          <w:ilvl w:val="0"/>
          <w:numId w:val="0"/>
        </w:numPr>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bidi="ar-SA"/>
        </w:rPr>
        <w:t>c.</w:t>
      </w:r>
      <w:r>
        <w:rPr>
          <w:rFonts w:hint="default" w:ascii="Times New Roman" w:hAnsi="Times New Roman" w:eastAsia="方正兰亭黑简体" w:cs="Times New Roman"/>
          <w:color w:val="auto"/>
          <w:kern w:val="0"/>
          <w:sz w:val="22"/>
          <w:szCs w:val="22"/>
          <w:highlight w:val="none"/>
        </w:rPr>
        <w:t>▲支持打造校本数字教材平台，展示单位所有已出版与建设中的数字教材，支持页面美工的个性化定制。</w:t>
      </w:r>
    </w:p>
    <w:p w14:paraId="3221DDE1">
      <w:pPr>
        <w:widowControl/>
        <w:numPr>
          <w:ilvl w:val="0"/>
          <w:numId w:val="0"/>
        </w:numPr>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bidi="ar-SA"/>
        </w:rPr>
        <w:t>d.</w:t>
      </w:r>
      <w:r>
        <w:rPr>
          <w:rFonts w:hint="default" w:ascii="Times New Roman" w:hAnsi="Times New Roman" w:eastAsia="方正兰亭黑简体" w:cs="Times New Roman"/>
          <w:color w:val="auto"/>
          <w:kern w:val="0"/>
          <w:sz w:val="22"/>
          <w:szCs w:val="22"/>
          <w:highlight w:val="none"/>
        </w:rPr>
        <w:t>支持定期更新教材学习人数，支持导出教材引用详情数据，包括教材引用数、开设班级数等。</w:t>
      </w:r>
    </w:p>
    <w:p w14:paraId="22B00C72">
      <w:pPr>
        <w:widowControl/>
        <w:numPr>
          <w:ilvl w:val="0"/>
          <w:numId w:val="0"/>
        </w:numPr>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bidi="ar-SA"/>
        </w:rPr>
        <w:t>e.</w:t>
      </w:r>
      <w:r>
        <w:rPr>
          <w:rFonts w:hint="default" w:ascii="Times New Roman" w:hAnsi="Times New Roman" w:eastAsia="方正兰亭黑简体" w:cs="Times New Roman"/>
          <w:color w:val="auto"/>
          <w:kern w:val="0"/>
          <w:sz w:val="22"/>
          <w:szCs w:val="22"/>
          <w:highlight w:val="none"/>
        </w:rPr>
        <w:t>▲教材付费管理：支持根据实际情况设置付费或免费，付费教材的购买记录可在后台形成数据统计。</w:t>
      </w:r>
    </w:p>
    <w:p w14:paraId="1513B2D9">
      <w:pPr>
        <w:widowControl/>
        <w:numPr>
          <w:ilvl w:val="0"/>
          <w:numId w:val="0"/>
        </w:numPr>
        <w:shd w:val="clear" w:color="auto" w:fill="FFFFFF"/>
        <w:spacing w:line="360" w:lineRule="auto"/>
        <w:ind w:left="0" w:leftChars="0" w:hanging="5" w:firstLineChars="0"/>
        <w:jc w:val="left"/>
        <w:rPr>
          <w:rFonts w:hint="default" w:ascii="Times New Roman" w:hAnsi="Times New Roman" w:eastAsia="方正兰亭黑简体" w:cs="Times New Roman"/>
          <w:b/>
          <w:bCs/>
          <w:color w:val="auto"/>
          <w:kern w:val="0"/>
          <w:sz w:val="22"/>
          <w:szCs w:val="22"/>
          <w:highlight w:val="none"/>
        </w:rPr>
      </w:pPr>
      <w:r>
        <w:rPr>
          <w:rFonts w:hint="default" w:ascii="Times New Roman" w:hAnsi="Times New Roman" w:eastAsia="方正兰亭黑简体" w:cs="Times New Roman"/>
          <w:b/>
          <w:bCs/>
          <w:color w:val="auto"/>
          <w:kern w:val="0"/>
          <w:sz w:val="22"/>
          <w:szCs w:val="22"/>
          <w:highlight w:val="none"/>
          <w:lang w:val="en-US" w:eastAsia="zh-CN" w:bidi="ar-SA"/>
        </w:rPr>
        <w:t>3)</w:t>
      </w:r>
      <w:r>
        <w:rPr>
          <w:rFonts w:hint="default" w:ascii="Times New Roman" w:hAnsi="Times New Roman" w:eastAsia="方正兰亭黑简体" w:cs="Times New Roman"/>
          <w:b/>
          <w:bCs/>
          <w:color w:val="auto"/>
          <w:kern w:val="0"/>
          <w:sz w:val="22"/>
          <w:szCs w:val="22"/>
          <w:highlight w:val="none"/>
        </w:rPr>
        <w:t>数字教材教学应用</w:t>
      </w:r>
    </w:p>
    <w:p w14:paraId="61A619EA">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①多终端适配，支持多种教学模式，提供400种以上已出版教材供选用，支持单位/个人两种采购模式。</w:t>
      </w:r>
    </w:p>
    <w:p w14:paraId="596DCDCC">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②核心要求：</w:t>
      </w:r>
    </w:p>
    <w:p w14:paraId="07EF97C4">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★经过教师身份认证的用户可直接获取教材门户已出版教材的内容，并基于教材创建一门课程；</w:t>
      </w:r>
    </w:p>
    <w:p w14:paraId="7454D074">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★数字教材的运行承载和教学使用必须通过一个APP实现。形成课前、课中、课后各环节闭环；</w:t>
      </w:r>
    </w:p>
    <w:p w14:paraId="4DB0447E">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▲支持自学和跟班学习两种模式。学生获取教材后，可选择自学或跟随任课老师基于教材创建的课程班级进行同步学习。不限教材学习人数。</w:t>
      </w:r>
    </w:p>
    <w:p w14:paraId="3A916FD0">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▲支持学生拍照上传答案，支持智能分析主观题答案与标准答案的相似度，给出推荐得分，辅助主观题批阅；</w:t>
      </w:r>
    </w:p>
    <w:p w14:paraId="34FCBE5D">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▲支持自定义设置导出试卷模板，包括密封线位置、考试承诺书等。</w:t>
      </w:r>
    </w:p>
    <w:p w14:paraId="0C956C76">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③　教师端：支持课表管理、师生管理、资源共享、通知推送、学习监控、日志查询；可生成知识点树、组卷考试、在线阅卷，支持主观题智能分析及查重。</w:t>
      </w:r>
    </w:p>
    <w:p w14:paraId="7D9052E0">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④学生端：支持电子书阅读、沉浸式学习；可添加书签、标注、笔记（多形式），支持全文检索、讨论提问、意见反馈；支持自测、作业作答及生生互评。</w:t>
      </w:r>
    </w:p>
    <w:p w14:paraId="38927B94">
      <w:pPr>
        <w:widowControl/>
        <w:shd w:val="clear" w:color="auto" w:fill="FFFFFF"/>
        <w:spacing w:line="360" w:lineRule="auto"/>
        <w:ind w:left="0" w:leftChars="0" w:hanging="5"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⑤数据管理：支持学习数据同步、进度/活动追踪、学情/成绩统计分析、教学预警及数据可视化。</w:t>
      </w:r>
    </w:p>
    <w:p w14:paraId="44DAD015">
      <w:pPr>
        <w:rPr>
          <w:rFonts w:hint="default" w:ascii="Times New Roman" w:hAnsi="Times New Roman" w:eastAsia="方正兰亭黑简体" w:cs="Times New Roman"/>
          <w:b/>
          <w:bCs/>
          <w:color w:val="auto"/>
          <w:kern w:val="0"/>
          <w:sz w:val="22"/>
          <w:szCs w:val="22"/>
          <w:highlight w:val="none"/>
          <w:lang w:val="en-US" w:eastAsia="zh-CN"/>
        </w:rPr>
      </w:pPr>
      <w:r>
        <w:rPr>
          <w:rFonts w:hint="eastAsia" w:ascii="Times New Roman" w:hAnsi="Times New Roman" w:eastAsia="方正兰亭黑简体" w:cs="Times New Roman"/>
          <w:b/>
          <w:bCs/>
          <w:color w:val="auto"/>
          <w:kern w:val="0"/>
          <w:sz w:val="22"/>
          <w:szCs w:val="22"/>
          <w:highlight w:val="none"/>
          <w:lang w:val="en-US" w:eastAsia="zh-CN"/>
        </w:rPr>
        <w:t>四、指标要求</w:t>
      </w:r>
    </w:p>
    <w:tbl>
      <w:tblPr>
        <w:tblStyle w:val="14"/>
        <w:tblW w:w="499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6"/>
        <w:gridCol w:w="2128"/>
        <w:gridCol w:w="5884"/>
        <w:gridCol w:w="1190"/>
      </w:tblGrid>
      <w:tr w14:paraId="0A5C1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375" w:type="pct"/>
            <w:vAlign w:val="center"/>
          </w:tcPr>
          <w:p w14:paraId="4D172C69">
            <w:pPr>
              <w:spacing w:line="360" w:lineRule="auto"/>
              <w:jc w:val="center"/>
              <w:rPr>
                <w:rFonts w:hint="default" w:ascii="Times New Roman" w:hAnsi="Times New Roman" w:eastAsia="方正兰亭黑简体" w:cs="Times New Roman"/>
                <w:b/>
                <w:color w:val="auto"/>
                <w:sz w:val="22"/>
                <w:szCs w:val="22"/>
                <w:highlight w:val="none"/>
              </w:rPr>
            </w:pPr>
            <w:r>
              <w:rPr>
                <w:rFonts w:hint="default" w:ascii="Times New Roman" w:hAnsi="Times New Roman" w:eastAsia="方正兰亭黑简体" w:cs="Times New Roman"/>
                <w:b/>
                <w:color w:val="auto"/>
                <w:sz w:val="22"/>
                <w:szCs w:val="22"/>
                <w:highlight w:val="none"/>
              </w:rPr>
              <w:t>序号</w:t>
            </w:r>
          </w:p>
        </w:tc>
        <w:tc>
          <w:tcPr>
            <w:tcW w:w="1069" w:type="pct"/>
            <w:vAlign w:val="center"/>
          </w:tcPr>
          <w:p w14:paraId="4D4125BB">
            <w:pPr>
              <w:widowControl/>
              <w:spacing w:line="360" w:lineRule="auto"/>
              <w:jc w:val="center"/>
              <w:rPr>
                <w:rFonts w:hint="default" w:ascii="Times New Roman" w:hAnsi="Times New Roman" w:eastAsia="方正兰亭黑简体" w:cs="Times New Roman"/>
                <w:b/>
                <w:color w:val="auto"/>
                <w:sz w:val="22"/>
                <w:szCs w:val="22"/>
                <w:highlight w:val="none"/>
              </w:rPr>
            </w:pPr>
            <w:r>
              <w:rPr>
                <w:rFonts w:hint="default" w:ascii="Times New Roman" w:hAnsi="Times New Roman" w:eastAsia="方正兰亭黑简体" w:cs="Times New Roman"/>
                <w:b/>
                <w:color w:val="auto"/>
                <w:sz w:val="22"/>
                <w:szCs w:val="22"/>
                <w:highlight w:val="none"/>
              </w:rPr>
              <w:t>指标名称</w:t>
            </w:r>
          </w:p>
        </w:tc>
        <w:tc>
          <w:tcPr>
            <w:tcW w:w="2956" w:type="pct"/>
            <w:vAlign w:val="center"/>
          </w:tcPr>
          <w:p w14:paraId="09E1FA1B">
            <w:pPr>
              <w:widowControl/>
              <w:spacing w:line="360" w:lineRule="auto"/>
              <w:jc w:val="center"/>
              <w:rPr>
                <w:rFonts w:hint="default" w:ascii="Times New Roman" w:hAnsi="Times New Roman" w:eastAsia="方正兰亭黑简体" w:cs="Times New Roman"/>
                <w:b/>
                <w:color w:val="auto"/>
                <w:sz w:val="22"/>
                <w:szCs w:val="22"/>
                <w:highlight w:val="none"/>
              </w:rPr>
            </w:pPr>
            <w:r>
              <w:rPr>
                <w:rFonts w:hint="default" w:ascii="Times New Roman" w:hAnsi="Times New Roman" w:eastAsia="方正兰亭黑简体" w:cs="Times New Roman"/>
                <w:b/>
                <w:color w:val="auto"/>
                <w:sz w:val="22"/>
                <w:szCs w:val="22"/>
                <w:highlight w:val="none"/>
              </w:rPr>
              <w:t>指标要求</w:t>
            </w:r>
          </w:p>
        </w:tc>
        <w:tc>
          <w:tcPr>
            <w:tcW w:w="598" w:type="pct"/>
            <w:vAlign w:val="center"/>
          </w:tcPr>
          <w:p w14:paraId="4C055152">
            <w:pPr>
              <w:widowControl/>
              <w:spacing w:line="360" w:lineRule="auto"/>
              <w:jc w:val="center"/>
              <w:rPr>
                <w:rFonts w:hint="default" w:ascii="Times New Roman" w:hAnsi="Times New Roman" w:eastAsia="方正兰亭黑简体" w:cs="Times New Roman"/>
                <w:b/>
                <w:color w:val="auto"/>
                <w:sz w:val="22"/>
                <w:szCs w:val="22"/>
                <w:highlight w:val="none"/>
              </w:rPr>
            </w:pPr>
            <w:r>
              <w:rPr>
                <w:rFonts w:hint="default" w:ascii="Times New Roman" w:hAnsi="Times New Roman" w:eastAsia="方正兰亭黑简体" w:cs="Times New Roman"/>
                <w:b/>
                <w:color w:val="auto"/>
                <w:sz w:val="22"/>
                <w:szCs w:val="22"/>
                <w:highlight w:val="none"/>
              </w:rPr>
              <w:t>是否需要</w:t>
            </w:r>
          </w:p>
          <w:p w14:paraId="0B11E6BB">
            <w:pPr>
              <w:widowControl/>
              <w:spacing w:line="360" w:lineRule="auto"/>
              <w:jc w:val="center"/>
              <w:rPr>
                <w:rFonts w:hint="default" w:ascii="Times New Roman" w:hAnsi="Times New Roman" w:eastAsia="方正兰亭黑简体" w:cs="Times New Roman"/>
                <w:b/>
                <w:color w:val="auto"/>
                <w:sz w:val="22"/>
                <w:szCs w:val="22"/>
                <w:highlight w:val="none"/>
              </w:rPr>
            </w:pPr>
            <w:r>
              <w:rPr>
                <w:rFonts w:hint="default" w:ascii="Times New Roman" w:hAnsi="Times New Roman" w:eastAsia="方正兰亭黑简体" w:cs="Times New Roman"/>
                <w:b/>
                <w:color w:val="auto"/>
                <w:sz w:val="22"/>
                <w:szCs w:val="22"/>
                <w:highlight w:val="none"/>
              </w:rPr>
              <w:t>证明材料</w:t>
            </w:r>
          </w:p>
        </w:tc>
      </w:tr>
      <w:tr w14:paraId="4CE69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375" w:type="pct"/>
            <w:vAlign w:val="center"/>
          </w:tcPr>
          <w:p w14:paraId="2447FCA3">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w:t>
            </w:r>
          </w:p>
        </w:tc>
        <w:tc>
          <w:tcPr>
            <w:tcW w:w="1069" w:type="pct"/>
            <w:vAlign w:val="center"/>
          </w:tcPr>
          <w:p w14:paraId="20D166AB">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OBE理念专业建设功能</w:t>
            </w:r>
          </w:p>
        </w:tc>
        <w:tc>
          <w:tcPr>
            <w:tcW w:w="2956" w:type="pct"/>
            <w:vAlign w:val="center"/>
          </w:tcPr>
          <w:p w14:paraId="34A4A9AF">
            <w:pPr>
              <w:widowControl/>
              <w:spacing w:line="360" w:lineRule="auto"/>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覆盖专业规划、人培方案、教学大纲、专业图谱、任务引擎、工作台、门户全流程，支持校级—院级—专业三级协同</w:t>
            </w:r>
          </w:p>
        </w:tc>
        <w:tc>
          <w:tcPr>
            <w:tcW w:w="598" w:type="pct"/>
            <w:vAlign w:val="center"/>
          </w:tcPr>
          <w:p w14:paraId="2D05E101">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否</w:t>
            </w:r>
          </w:p>
        </w:tc>
      </w:tr>
      <w:tr w14:paraId="3A266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375" w:type="pct"/>
            <w:vAlign w:val="center"/>
          </w:tcPr>
          <w:p w14:paraId="20428B89">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2</w:t>
            </w:r>
          </w:p>
        </w:tc>
        <w:tc>
          <w:tcPr>
            <w:tcW w:w="1069" w:type="pct"/>
            <w:vAlign w:val="center"/>
          </w:tcPr>
          <w:p w14:paraId="4D212B59">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人培方案多版本对比</w:t>
            </w:r>
          </w:p>
        </w:tc>
        <w:tc>
          <w:tcPr>
            <w:tcW w:w="2956" w:type="pct"/>
            <w:vAlign w:val="center"/>
          </w:tcPr>
          <w:p w14:paraId="060F7019">
            <w:pPr>
              <w:widowControl/>
              <w:spacing w:line="360" w:lineRule="auto"/>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支持多版本差异高亮标注、导出对比结果</w:t>
            </w:r>
          </w:p>
        </w:tc>
        <w:tc>
          <w:tcPr>
            <w:tcW w:w="598" w:type="pct"/>
            <w:vAlign w:val="center"/>
          </w:tcPr>
          <w:p w14:paraId="0067E4EE">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否</w:t>
            </w:r>
          </w:p>
        </w:tc>
      </w:tr>
      <w:tr w14:paraId="634B6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375" w:type="pct"/>
            <w:vAlign w:val="center"/>
          </w:tcPr>
          <w:p w14:paraId="1F70F2B9">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3</w:t>
            </w:r>
          </w:p>
        </w:tc>
        <w:tc>
          <w:tcPr>
            <w:tcW w:w="1069" w:type="pct"/>
            <w:vAlign w:val="center"/>
          </w:tcPr>
          <w:p w14:paraId="697DC5AE">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课程目标与毕业要求支撑配置</w:t>
            </w:r>
          </w:p>
        </w:tc>
        <w:tc>
          <w:tcPr>
            <w:tcW w:w="2956" w:type="pct"/>
            <w:vAlign w:val="center"/>
          </w:tcPr>
          <w:p w14:paraId="111C3798">
            <w:pPr>
              <w:widowControl/>
              <w:spacing w:line="360" w:lineRule="auto"/>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课程目标权重100%、支撑等级H/M/L配置、自动关联章节内容</w:t>
            </w:r>
          </w:p>
        </w:tc>
        <w:tc>
          <w:tcPr>
            <w:tcW w:w="598" w:type="pct"/>
            <w:vAlign w:val="center"/>
          </w:tcPr>
          <w:p w14:paraId="72E4528A">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否</w:t>
            </w:r>
          </w:p>
        </w:tc>
      </w:tr>
      <w:tr w14:paraId="0B5BE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375" w:type="pct"/>
            <w:vAlign w:val="center"/>
          </w:tcPr>
          <w:p w14:paraId="1FCFFD46">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4</w:t>
            </w:r>
          </w:p>
        </w:tc>
        <w:tc>
          <w:tcPr>
            <w:tcW w:w="1069" w:type="pct"/>
            <w:vAlign w:val="center"/>
          </w:tcPr>
          <w:p w14:paraId="504E8AC7">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专业图谱2D/3D可视化</w:t>
            </w:r>
          </w:p>
        </w:tc>
        <w:tc>
          <w:tcPr>
            <w:tcW w:w="2956" w:type="pct"/>
            <w:vAlign w:val="center"/>
          </w:tcPr>
          <w:p w14:paraId="49C4ECEB">
            <w:pPr>
              <w:widowControl/>
              <w:spacing w:line="360" w:lineRule="auto"/>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支持2D/3D切换，展示目标—课程—知识点关联、知识森林、3D图谱</w:t>
            </w:r>
          </w:p>
        </w:tc>
        <w:tc>
          <w:tcPr>
            <w:tcW w:w="598" w:type="pct"/>
            <w:vAlign w:val="center"/>
          </w:tcPr>
          <w:p w14:paraId="685CE492">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否</w:t>
            </w:r>
          </w:p>
        </w:tc>
      </w:tr>
      <w:tr w14:paraId="78E9C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375" w:type="pct"/>
            <w:vAlign w:val="center"/>
          </w:tcPr>
          <w:p w14:paraId="012F0003">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5</w:t>
            </w:r>
          </w:p>
        </w:tc>
        <w:tc>
          <w:tcPr>
            <w:tcW w:w="1069" w:type="pct"/>
            <w:vAlign w:val="center"/>
          </w:tcPr>
          <w:p w14:paraId="5A5C7391">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任务引擎资源类型覆盖</w:t>
            </w:r>
          </w:p>
        </w:tc>
        <w:tc>
          <w:tcPr>
            <w:tcW w:w="2956" w:type="pct"/>
            <w:vAlign w:val="center"/>
          </w:tcPr>
          <w:p w14:paraId="42425749">
            <w:pPr>
              <w:widowControl/>
              <w:spacing w:line="360" w:lineRule="auto"/>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支持视频、文档、测验、课堂、问卷、审批、自定义等资源类型</w:t>
            </w:r>
          </w:p>
        </w:tc>
        <w:tc>
          <w:tcPr>
            <w:tcW w:w="598" w:type="pct"/>
            <w:vAlign w:val="center"/>
          </w:tcPr>
          <w:p w14:paraId="5299B9BC">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否</w:t>
            </w:r>
          </w:p>
        </w:tc>
      </w:tr>
      <w:tr w14:paraId="303F5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375" w:type="pct"/>
            <w:vAlign w:val="center"/>
          </w:tcPr>
          <w:p w14:paraId="1F0288E8">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6</w:t>
            </w:r>
          </w:p>
        </w:tc>
        <w:tc>
          <w:tcPr>
            <w:tcW w:w="1069" w:type="pct"/>
            <w:vAlign w:val="center"/>
          </w:tcPr>
          <w:p w14:paraId="6C36BD46">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与学校教学平台无缝对接</w:t>
            </w:r>
          </w:p>
        </w:tc>
        <w:tc>
          <w:tcPr>
            <w:tcW w:w="2956" w:type="pct"/>
            <w:vAlign w:val="center"/>
          </w:tcPr>
          <w:p w14:paraId="163D6083">
            <w:pPr>
              <w:widowControl/>
              <w:spacing w:line="360" w:lineRule="auto"/>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统一身份认证、用户/课程/教研数据实时同步、一键调取资源</w:t>
            </w:r>
          </w:p>
        </w:tc>
        <w:tc>
          <w:tcPr>
            <w:tcW w:w="598" w:type="pct"/>
            <w:vAlign w:val="center"/>
          </w:tcPr>
          <w:p w14:paraId="4D0C7037">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是</w:t>
            </w:r>
          </w:p>
        </w:tc>
      </w:tr>
      <w:tr w14:paraId="096D2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375" w:type="pct"/>
            <w:vAlign w:val="center"/>
          </w:tcPr>
          <w:p w14:paraId="597F18E0">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7</w:t>
            </w:r>
          </w:p>
        </w:tc>
        <w:tc>
          <w:tcPr>
            <w:tcW w:w="1069" w:type="pct"/>
            <w:vAlign w:val="center"/>
          </w:tcPr>
          <w:p w14:paraId="1DF9037F">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数字教材2G以上文件上传</w:t>
            </w:r>
          </w:p>
        </w:tc>
        <w:tc>
          <w:tcPr>
            <w:tcW w:w="2956" w:type="pct"/>
            <w:vAlign w:val="center"/>
          </w:tcPr>
          <w:p w14:paraId="532AEAF8">
            <w:pPr>
              <w:widowControl/>
              <w:spacing w:line="360" w:lineRule="auto"/>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素材库支持2G以上超大文件上传、跨章节引用</w:t>
            </w:r>
          </w:p>
        </w:tc>
        <w:tc>
          <w:tcPr>
            <w:tcW w:w="598" w:type="pct"/>
            <w:vAlign w:val="center"/>
          </w:tcPr>
          <w:p w14:paraId="624EF63C">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否</w:t>
            </w:r>
          </w:p>
        </w:tc>
      </w:tr>
      <w:tr w14:paraId="195FC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375" w:type="pct"/>
            <w:vAlign w:val="center"/>
          </w:tcPr>
          <w:p w14:paraId="514D2ECD">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8</w:t>
            </w:r>
          </w:p>
        </w:tc>
        <w:tc>
          <w:tcPr>
            <w:tcW w:w="1069" w:type="pct"/>
            <w:vAlign w:val="center"/>
          </w:tcPr>
          <w:p w14:paraId="06F740C3">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数字教材AI辅助写作</w:t>
            </w:r>
          </w:p>
        </w:tc>
        <w:tc>
          <w:tcPr>
            <w:tcW w:w="2956" w:type="pct"/>
            <w:vAlign w:val="center"/>
          </w:tcPr>
          <w:p w14:paraId="1613235B">
            <w:pPr>
              <w:widowControl/>
              <w:spacing w:line="360" w:lineRule="auto"/>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支持AI多语种智能辅助写作、编辑统计、资料筛选排序</w:t>
            </w:r>
          </w:p>
        </w:tc>
        <w:tc>
          <w:tcPr>
            <w:tcW w:w="598" w:type="pct"/>
            <w:vAlign w:val="center"/>
          </w:tcPr>
          <w:p w14:paraId="0253E439">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否</w:t>
            </w:r>
          </w:p>
        </w:tc>
      </w:tr>
      <w:tr w14:paraId="6462A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375" w:type="pct"/>
            <w:vAlign w:val="center"/>
          </w:tcPr>
          <w:p w14:paraId="34C735A1">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9</w:t>
            </w:r>
          </w:p>
        </w:tc>
        <w:tc>
          <w:tcPr>
            <w:tcW w:w="1069" w:type="pct"/>
            <w:vAlign w:val="center"/>
          </w:tcPr>
          <w:p w14:paraId="3298B525">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正规出版社三审三校+ISBN</w:t>
            </w:r>
          </w:p>
        </w:tc>
        <w:tc>
          <w:tcPr>
            <w:tcW w:w="2956" w:type="pct"/>
            <w:vAlign w:val="center"/>
          </w:tcPr>
          <w:p w14:paraId="16E1F327">
            <w:pPr>
              <w:widowControl/>
              <w:spacing w:line="360" w:lineRule="auto"/>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合作出版社具备《出版物经营许可证》，执行三审三校，提供ISBN号</w:t>
            </w:r>
          </w:p>
        </w:tc>
        <w:tc>
          <w:tcPr>
            <w:tcW w:w="598" w:type="pct"/>
            <w:vAlign w:val="center"/>
          </w:tcPr>
          <w:p w14:paraId="2298AF33">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是</w:t>
            </w:r>
          </w:p>
        </w:tc>
      </w:tr>
      <w:tr w14:paraId="40D8C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375" w:type="pct"/>
            <w:vAlign w:val="center"/>
          </w:tcPr>
          <w:p w14:paraId="2FE6A64E">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10</w:t>
            </w:r>
          </w:p>
        </w:tc>
        <w:tc>
          <w:tcPr>
            <w:tcW w:w="1069" w:type="pct"/>
            <w:vAlign w:val="center"/>
          </w:tcPr>
          <w:p w14:paraId="022FB41A">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单一APP承载教学闭环</w:t>
            </w:r>
          </w:p>
        </w:tc>
        <w:tc>
          <w:tcPr>
            <w:tcW w:w="2956" w:type="pct"/>
            <w:vAlign w:val="center"/>
          </w:tcPr>
          <w:p w14:paraId="4C2420CF">
            <w:pPr>
              <w:widowControl/>
              <w:spacing w:line="360" w:lineRule="auto"/>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通过单一APP实现课前/课中/课后闭环、自学/跟班双模式、主观题智能批阅</w:t>
            </w:r>
          </w:p>
        </w:tc>
        <w:tc>
          <w:tcPr>
            <w:tcW w:w="598" w:type="pct"/>
            <w:vAlign w:val="center"/>
          </w:tcPr>
          <w:p w14:paraId="7C987091">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是</w:t>
            </w:r>
          </w:p>
        </w:tc>
      </w:tr>
    </w:tbl>
    <w:p w14:paraId="321CCA7C">
      <w:pPr>
        <w:spacing w:line="360" w:lineRule="auto"/>
        <w:ind w:left="0" w:leftChars="0" w:firstLine="0" w:firstLineChars="0"/>
        <w:rPr>
          <w:rFonts w:hint="eastAsia" w:ascii="Times New Roman" w:hAnsi="Times New Roman" w:eastAsia="方正兰亭黑简体" w:cs="Times New Roman"/>
          <w:color w:val="auto"/>
          <w:sz w:val="22"/>
          <w:szCs w:val="22"/>
          <w:highlight w:val="none"/>
          <w:lang w:val="en-US" w:eastAsia="zh-CN"/>
        </w:rPr>
      </w:pPr>
    </w:p>
    <w:p w14:paraId="6ED13731">
      <w:pPr>
        <w:rPr>
          <w:rFonts w:hint="default" w:ascii="Times New Roman" w:hAnsi="Times New Roman" w:eastAsia="方正兰亭黑简体" w:cs="Times New Roman"/>
          <w:b/>
          <w:bCs/>
          <w:color w:val="auto"/>
          <w:kern w:val="0"/>
          <w:sz w:val="22"/>
          <w:szCs w:val="22"/>
          <w:highlight w:val="none"/>
          <w:lang w:val="en-US" w:eastAsia="zh-CN"/>
        </w:rPr>
      </w:pPr>
      <w:r>
        <w:rPr>
          <w:rFonts w:hint="eastAsia" w:ascii="Times New Roman" w:hAnsi="Times New Roman" w:eastAsia="方正兰亭黑简体" w:cs="Times New Roman"/>
          <w:b/>
          <w:bCs/>
          <w:color w:val="auto"/>
          <w:kern w:val="0"/>
          <w:sz w:val="22"/>
          <w:szCs w:val="22"/>
          <w:highlight w:val="none"/>
          <w:lang w:val="en-US" w:eastAsia="zh-CN"/>
        </w:rPr>
        <w:t>五、其他要求</w:t>
      </w:r>
    </w:p>
    <w:p w14:paraId="2D3F34DC">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rPr>
      </w:pPr>
      <w:r>
        <w:rPr>
          <w:rFonts w:hint="eastAsia" w:ascii="Times New Roman" w:hAnsi="Times New Roman" w:eastAsia="方正兰亭黑简体" w:cs="Times New Roman"/>
          <w:color w:val="auto"/>
          <w:kern w:val="0"/>
          <w:sz w:val="22"/>
          <w:szCs w:val="22"/>
          <w:highlight w:val="none"/>
          <w:lang w:val="en-US" w:eastAsia="zh-CN"/>
        </w:rPr>
        <w:t>1、</w:t>
      </w:r>
      <w:r>
        <w:rPr>
          <w:rFonts w:hint="default" w:ascii="Times New Roman" w:hAnsi="Times New Roman" w:eastAsia="方正兰亭黑简体" w:cs="Times New Roman"/>
          <w:color w:val="auto"/>
          <w:kern w:val="0"/>
          <w:sz w:val="22"/>
          <w:szCs w:val="22"/>
          <w:highlight w:val="none"/>
        </w:rPr>
        <w:t>项目验收合格后提供3年免费质保与运营服务</w:t>
      </w:r>
      <w:r>
        <w:rPr>
          <w:rFonts w:hint="eastAsia" w:ascii="Times New Roman" w:hAnsi="Times New Roman" w:eastAsia="方正兰亭黑简体" w:cs="Times New Roman"/>
          <w:color w:val="auto"/>
          <w:kern w:val="0"/>
          <w:sz w:val="22"/>
          <w:szCs w:val="22"/>
          <w:highlight w:val="none"/>
          <w:lang w:eastAsia="zh-CN"/>
        </w:rPr>
        <w:t>，包</w:t>
      </w:r>
      <w:r>
        <w:rPr>
          <w:rFonts w:hint="default" w:ascii="Times New Roman" w:hAnsi="Times New Roman" w:eastAsia="方正兰亭黑简体" w:cs="Times New Roman"/>
          <w:color w:val="auto"/>
          <w:kern w:val="0"/>
          <w:sz w:val="22"/>
          <w:szCs w:val="22"/>
          <w:highlight w:val="none"/>
        </w:rPr>
        <w:t>含系统功能维护、数据管理、运维保障、业务培训、技术支撑。</w:t>
      </w:r>
    </w:p>
    <w:p w14:paraId="67F20922">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rPr>
      </w:pPr>
      <w:r>
        <w:rPr>
          <w:rFonts w:hint="eastAsia" w:ascii="Times New Roman" w:hAnsi="Times New Roman" w:eastAsia="方正兰亭黑简体" w:cs="Times New Roman"/>
          <w:color w:val="auto"/>
          <w:kern w:val="0"/>
          <w:sz w:val="22"/>
          <w:szCs w:val="22"/>
          <w:highlight w:val="none"/>
          <w:lang w:val="en-US" w:eastAsia="zh-CN"/>
        </w:rPr>
        <w:t>2、</w:t>
      </w:r>
      <w:r>
        <w:rPr>
          <w:rFonts w:hint="default" w:ascii="Times New Roman" w:hAnsi="Times New Roman" w:eastAsia="方正兰亭黑简体" w:cs="Times New Roman"/>
          <w:color w:val="auto"/>
          <w:kern w:val="0"/>
          <w:sz w:val="22"/>
          <w:szCs w:val="22"/>
          <w:highlight w:val="none"/>
        </w:rPr>
        <w:t>质保期内提供7×12小时技术保障，电话、邮件、远程调试快速响应。</w:t>
      </w:r>
    </w:p>
    <w:p w14:paraId="0067F20B">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rPr>
      </w:pPr>
      <w:r>
        <w:rPr>
          <w:rFonts w:hint="eastAsia" w:ascii="Times New Roman" w:hAnsi="Times New Roman" w:eastAsia="方正兰亭黑简体" w:cs="Times New Roman"/>
          <w:color w:val="auto"/>
          <w:kern w:val="0"/>
          <w:sz w:val="22"/>
          <w:szCs w:val="22"/>
          <w:highlight w:val="none"/>
          <w:lang w:val="en-US" w:eastAsia="zh-CN"/>
        </w:rPr>
        <w:t>3、</w:t>
      </w:r>
      <w:r>
        <w:rPr>
          <w:rFonts w:hint="default" w:ascii="Times New Roman" w:hAnsi="Times New Roman" w:eastAsia="方正兰亭黑简体" w:cs="Times New Roman"/>
          <w:color w:val="auto"/>
          <w:kern w:val="0"/>
          <w:sz w:val="22"/>
          <w:szCs w:val="22"/>
          <w:highlight w:val="none"/>
        </w:rPr>
        <w:t>支持系统功能优化、版本升级、数据迁移、接口维护。</w:t>
      </w:r>
    </w:p>
    <w:p w14:paraId="548E0FCC">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rPr>
      </w:pPr>
      <w:r>
        <w:rPr>
          <w:rFonts w:hint="eastAsia" w:ascii="Times New Roman" w:hAnsi="Times New Roman" w:eastAsia="方正兰亭黑简体" w:cs="Times New Roman"/>
          <w:color w:val="auto"/>
          <w:kern w:val="0"/>
          <w:sz w:val="22"/>
          <w:szCs w:val="22"/>
          <w:highlight w:val="none"/>
          <w:lang w:val="en-US" w:eastAsia="zh-CN"/>
        </w:rPr>
        <w:t>4、</w:t>
      </w:r>
      <w:r>
        <w:rPr>
          <w:rFonts w:hint="default" w:ascii="Times New Roman" w:hAnsi="Times New Roman" w:eastAsia="方正兰亭黑简体" w:cs="Times New Roman"/>
          <w:color w:val="auto"/>
          <w:kern w:val="0"/>
          <w:sz w:val="22"/>
          <w:szCs w:val="22"/>
          <w:highlight w:val="none"/>
        </w:rPr>
        <w:t>提供一对一教师编辑指导、出版质量把控、数字教材迭代更新服务。</w:t>
      </w:r>
    </w:p>
    <w:p w14:paraId="46080DBD">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lang w:val="en-US" w:eastAsia="zh-CN"/>
        </w:rPr>
      </w:pPr>
      <w:r>
        <w:rPr>
          <w:rFonts w:hint="eastAsia" w:ascii="Times New Roman" w:hAnsi="Times New Roman" w:eastAsia="方正兰亭黑简体" w:cs="Times New Roman"/>
          <w:color w:val="auto"/>
          <w:kern w:val="0"/>
          <w:sz w:val="22"/>
          <w:szCs w:val="22"/>
          <w:highlight w:val="none"/>
          <w:lang w:val="en-US" w:eastAsia="zh-CN"/>
        </w:rPr>
        <w:t>5、</w:t>
      </w:r>
      <w:r>
        <w:rPr>
          <w:rFonts w:hint="eastAsia" w:ascii="Times New Roman" w:hAnsi="Times New Roman" w:eastAsia="方正兰亭黑简体" w:cs="Times New Roman"/>
          <w:color w:val="auto"/>
          <w:kern w:val="0"/>
          <w:sz w:val="22"/>
          <w:szCs w:val="22"/>
          <w:highlight w:val="none"/>
          <w:lang w:val="zh-CN"/>
        </w:rPr>
        <w:t>线下集中培训</w:t>
      </w:r>
      <w:r>
        <w:rPr>
          <w:rFonts w:hint="eastAsia" w:ascii="Times New Roman" w:hAnsi="Times New Roman" w:eastAsia="方正兰亭黑简体" w:cs="Times New Roman"/>
          <w:color w:val="auto"/>
          <w:kern w:val="0"/>
          <w:sz w:val="22"/>
          <w:szCs w:val="22"/>
          <w:highlight w:val="none"/>
        </w:rPr>
        <w:t>+</w:t>
      </w:r>
      <w:r>
        <w:rPr>
          <w:rFonts w:hint="eastAsia" w:ascii="Times New Roman" w:hAnsi="Times New Roman" w:eastAsia="方正兰亭黑简体" w:cs="Times New Roman"/>
          <w:color w:val="auto"/>
          <w:kern w:val="0"/>
          <w:sz w:val="22"/>
          <w:szCs w:val="22"/>
          <w:highlight w:val="none"/>
          <w:lang w:val="zh-CN"/>
        </w:rPr>
        <w:t>线上答疑；覆盖专业负责人、课程教师、管理员；包含系统操作、图谱制作、AI工具、数据分析；提供标准化培训录屏资料。</w:t>
      </w:r>
    </w:p>
    <w:p w14:paraId="23370E2D">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lang w:val="en-US" w:eastAsia="zh-CN"/>
        </w:rPr>
      </w:pPr>
      <w:r>
        <w:rPr>
          <w:rFonts w:hint="eastAsia" w:ascii="Times New Roman" w:hAnsi="Times New Roman" w:eastAsia="方正兰亭黑简体" w:cs="Times New Roman"/>
          <w:color w:val="auto"/>
          <w:kern w:val="0"/>
          <w:sz w:val="22"/>
          <w:szCs w:val="22"/>
          <w:highlight w:val="none"/>
          <w:lang w:val="en-US" w:eastAsia="zh-CN"/>
        </w:rPr>
        <w:t>6、履约验收：</w:t>
      </w:r>
    </w:p>
    <w:p w14:paraId="27935752">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kern w:val="0"/>
          <w:sz w:val="22"/>
          <w:szCs w:val="22"/>
          <w:highlight w:val="none"/>
          <w:lang w:val="zh-CN"/>
        </w:rPr>
      </w:pPr>
      <w:r>
        <w:rPr>
          <w:rFonts w:hint="eastAsia" w:ascii="Times New Roman" w:hAnsi="Times New Roman" w:eastAsia="方正兰亭黑简体" w:cs="Times New Roman"/>
          <w:color w:val="auto"/>
          <w:kern w:val="0"/>
          <w:sz w:val="22"/>
          <w:szCs w:val="22"/>
          <w:highlight w:val="none"/>
          <w:lang w:val="zh-CN"/>
        </w:rPr>
        <w:t>验收主体：上海海事大学；</w:t>
      </w:r>
    </w:p>
    <w:p w14:paraId="10FB7B59">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kern w:val="0"/>
          <w:sz w:val="22"/>
          <w:szCs w:val="22"/>
          <w:highlight w:val="none"/>
          <w:lang w:val="zh-CN"/>
        </w:rPr>
      </w:pPr>
      <w:r>
        <w:rPr>
          <w:rFonts w:hint="eastAsia" w:ascii="Times New Roman" w:hAnsi="Times New Roman" w:eastAsia="方正兰亭黑简体" w:cs="Times New Roman"/>
          <w:color w:val="auto"/>
          <w:kern w:val="0"/>
          <w:sz w:val="22"/>
          <w:szCs w:val="22"/>
          <w:highlight w:val="none"/>
          <w:lang w:val="zh-CN"/>
        </w:rPr>
        <w:t>验收时间：全部建设内容完成后；</w:t>
      </w:r>
    </w:p>
    <w:p w14:paraId="4A12C728">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lang w:val="en-US" w:eastAsia="zh-CN"/>
        </w:rPr>
      </w:pPr>
      <w:r>
        <w:rPr>
          <w:rFonts w:hint="eastAsia" w:ascii="Times New Roman" w:hAnsi="Times New Roman" w:eastAsia="方正兰亭黑简体" w:cs="Times New Roman"/>
          <w:color w:val="auto"/>
          <w:kern w:val="0"/>
          <w:sz w:val="22"/>
          <w:szCs w:val="22"/>
          <w:highlight w:val="none"/>
          <w:lang w:val="zh-CN"/>
        </w:rPr>
        <w:t>验收方式：功能测试、数据对接验证、文档审核；验收内容：专业建设功能、数字教材开发、系统对接、培训资料、验收报告</w:t>
      </w:r>
    </w:p>
    <w:p w14:paraId="33259E23">
      <w:pPr>
        <w:spacing w:line="360" w:lineRule="auto"/>
        <w:ind w:left="0" w:leftChars="0" w:firstLine="0" w:firstLineChars="0"/>
        <w:rPr>
          <w:rFonts w:hint="eastAsia" w:ascii="Times New Roman" w:hAnsi="Times New Roman" w:eastAsia="方正兰亭黑简体" w:cs="Times New Roman"/>
          <w:color w:val="auto"/>
          <w:sz w:val="22"/>
          <w:szCs w:val="22"/>
          <w:highlight w:val="none"/>
          <w:lang w:val="en-US" w:eastAsia="zh-CN"/>
        </w:rPr>
      </w:pPr>
    </w:p>
    <w:p w14:paraId="6966AFDC">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242B56B3">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第三章 评审办法</w:t>
      </w:r>
    </w:p>
    <w:p w14:paraId="2DA9D43D">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综合本项目的特点，根据相关法律法规的规定，本着保护竞争，维护采购工作公开、公平、公正原则，特制定本评审办法，作为选定本次采购中标人的依据。</w:t>
      </w:r>
    </w:p>
    <w:p w14:paraId="673FFF60">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1、成立比选评审小组</w:t>
      </w:r>
    </w:p>
    <w:p w14:paraId="1D34F033">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采购人将根据货物与服务的特点，依规组建比选小组，比选小组由3人或以上的单数组成。</w:t>
      </w:r>
    </w:p>
    <w:p w14:paraId="12EFA4B4">
      <w:pPr>
        <w:numPr>
          <w:ilvl w:val="0"/>
          <w:numId w:val="1"/>
        </w:num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具体评分细则如下：</w:t>
      </w:r>
    </w:p>
    <w:tbl>
      <w:tblPr>
        <w:tblStyle w:val="14"/>
        <w:tblW w:w="498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56"/>
        <w:gridCol w:w="1330"/>
        <w:gridCol w:w="723"/>
        <w:gridCol w:w="7229"/>
      </w:tblGrid>
      <w:tr w14:paraId="4FA9B33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0" w:hRule="atLeast"/>
          <w:jc w:val="center"/>
        </w:trPr>
        <w:tc>
          <w:tcPr>
            <w:tcW w:w="330" w:type="pct"/>
            <w:vAlign w:val="center"/>
          </w:tcPr>
          <w:p w14:paraId="0E8E4E82">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序号</w:t>
            </w:r>
          </w:p>
        </w:tc>
        <w:tc>
          <w:tcPr>
            <w:tcW w:w="669" w:type="pct"/>
            <w:vAlign w:val="center"/>
          </w:tcPr>
          <w:p w14:paraId="04667EC9">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评审因素</w:t>
            </w:r>
          </w:p>
        </w:tc>
        <w:tc>
          <w:tcPr>
            <w:tcW w:w="364" w:type="pct"/>
            <w:vAlign w:val="center"/>
          </w:tcPr>
          <w:p w14:paraId="6B1AA947">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分值</w:t>
            </w:r>
          </w:p>
        </w:tc>
        <w:tc>
          <w:tcPr>
            <w:tcW w:w="3635" w:type="pct"/>
            <w:vAlign w:val="center"/>
          </w:tcPr>
          <w:p w14:paraId="78DCF4D6">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评分说明</w:t>
            </w:r>
          </w:p>
        </w:tc>
      </w:tr>
      <w:tr w14:paraId="25120DB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5000" w:type="pct"/>
            <w:gridSpan w:val="4"/>
            <w:vAlign w:val="center"/>
          </w:tcPr>
          <w:p w14:paraId="3C4E5B51">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一、价格部分</w:t>
            </w:r>
          </w:p>
        </w:tc>
      </w:tr>
      <w:tr w14:paraId="14B227B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0" w:type="pct"/>
            <w:vAlign w:val="center"/>
          </w:tcPr>
          <w:p w14:paraId="40A3FBEB">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w:t>
            </w:r>
          </w:p>
        </w:tc>
        <w:tc>
          <w:tcPr>
            <w:tcW w:w="669" w:type="pct"/>
            <w:vAlign w:val="center"/>
          </w:tcPr>
          <w:p w14:paraId="6E043E2F">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价格得分</w:t>
            </w:r>
          </w:p>
          <w:p w14:paraId="33D28CC8">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2F6FAA4D">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20</w:t>
            </w:r>
          </w:p>
        </w:tc>
        <w:tc>
          <w:tcPr>
            <w:tcW w:w="3635" w:type="pct"/>
            <w:vAlign w:val="center"/>
          </w:tcPr>
          <w:p w14:paraId="69E5170C">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采用低价优先法计算，即满足比选文件要求且最低的报价为基准价，其价格分为满分20分。其他报价单位的报价得分计算公式如下：报价得分＝20×（评标基准价/投标报价）。</w:t>
            </w:r>
          </w:p>
        </w:tc>
      </w:tr>
      <w:tr w14:paraId="4DE7C0B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5" w:hRule="atLeast"/>
          <w:jc w:val="center"/>
        </w:trPr>
        <w:tc>
          <w:tcPr>
            <w:tcW w:w="5000" w:type="pct"/>
            <w:gridSpan w:val="4"/>
            <w:vAlign w:val="center"/>
          </w:tcPr>
          <w:p w14:paraId="11AA50BB">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二、商务、技术部分</w:t>
            </w:r>
          </w:p>
        </w:tc>
      </w:tr>
      <w:tr w14:paraId="2540F19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330" w:type="pct"/>
            <w:vAlign w:val="center"/>
          </w:tcPr>
          <w:p w14:paraId="4ED921D1">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w:t>
            </w:r>
          </w:p>
        </w:tc>
        <w:tc>
          <w:tcPr>
            <w:tcW w:w="669" w:type="pct"/>
            <w:vAlign w:val="center"/>
          </w:tcPr>
          <w:p w14:paraId="7AF339FF">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经验业绩</w:t>
            </w:r>
          </w:p>
          <w:p w14:paraId="6004DB21">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3557659E">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15</w:t>
            </w:r>
          </w:p>
        </w:tc>
        <w:tc>
          <w:tcPr>
            <w:tcW w:w="3635" w:type="pct"/>
            <w:vAlign w:val="center"/>
          </w:tcPr>
          <w:p w14:paraId="74E23610">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提供近3年（合同签订日期自2023年</w:t>
            </w:r>
            <w:r>
              <w:rPr>
                <w:rFonts w:hint="eastAsia" w:ascii="方正兰亭黑简体" w:hAnsi="方正兰亭黑简体" w:eastAsia="方正兰亭黑简体" w:cs="方正兰亭黑简体"/>
                <w:color w:val="auto"/>
                <w:sz w:val="20"/>
                <w:szCs w:val="20"/>
                <w:highlight w:val="none"/>
                <w:lang w:val="en-US" w:eastAsia="zh-CN"/>
              </w:rPr>
              <w:t>6</w:t>
            </w:r>
            <w:r>
              <w:rPr>
                <w:rFonts w:hint="eastAsia" w:ascii="方正兰亭黑简体" w:hAnsi="方正兰亭黑简体" w:eastAsia="方正兰亭黑简体" w:cs="方正兰亭黑简体"/>
                <w:color w:val="auto"/>
                <w:sz w:val="20"/>
                <w:szCs w:val="20"/>
                <w:highlight w:val="none"/>
              </w:rPr>
              <w:t>月1日起至今）业绩案例。（每提供1个得5分；最高得15分）注：需提供相关业绩的合同复印件，否则将不予认可。</w:t>
            </w:r>
          </w:p>
        </w:tc>
      </w:tr>
      <w:tr w14:paraId="6AF9498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04" w:hRule="atLeast"/>
          <w:jc w:val="center"/>
        </w:trPr>
        <w:tc>
          <w:tcPr>
            <w:tcW w:w="330" w:type="pct"/>
            <w:vAlign w:val="center"/>
          </w:tcPr>
          <w:p w14:paraId="4780BF04">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w:t>
            </w:r>
          </w:p>
        </w:tc>
        <w:tc>
          <w:tcPr>
            <w:tcW w:w="669" w:type="pct"/>
            <w:vAlign w:val="center"/>
          </w:tcPr>
          <w:p w14:paraId="312CC6C9">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服务响应程度</w:t>
            </w:r>
          </w:p>
          <w:p w14:paraId="1DD2C7B1">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3A438D65">
            <w:pPr>
              <w:jc w:val="center"/>
              <w:rPr>
                <w:rFonts w:hint="default"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25</w:t>
            </w:r>
          </w:p>
        </w:tc>
        <w:tc>
          <w:tcPr>
            <w:tcW w:w="3635" w:type="pct"/>
            <w:vAlign w:val="center"/>
          </w:tcPr>
          <w:p w14:paraId="4C942918">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针对第二章中的采购需求：不满足</w:t>
            </w:r>
            <w:r>
              <w:rPr>
                <w:rFonts w:hint="default" w:ascii="方正兰亭黑简体" w:hAnsi="方正兰亭黑简体" w:eastAsia="方正兰亭黑简体" w:cs="方正兰亭黑简体"/>
                <w:color w:val="auto"/>
                <w:sz w:val="20"/>
                <w:szCs w:val="20"/>
                <w:highlight w:val="none"/>
              </w:rPr>
              <w:t>▲</w:t>
            </w:r>
            <w:r>
              <w:rPr>
                <w:rFonts w:hint="eastAsia" w:ascii="方正兰亭黑简体" w:hAnsi="方正兰亭黑简体" w:eastAsia="方正兰亭黑简体" w:cs="方正兰亭黑简体"/>
                <w:color w:val="auto"/>
                <w:sz w:val="20"/>
                <w:szCs w:val="20"/>
                <w:highlight w:val="none"/>
              </w:rPr>
              <w:t>技术条款的，每项扣</w:t>
            </w:r>
            <w:r>
              <w:rPr>
                <w:rFonts w:hint="eastAsia" w:ascii="方正兰亭黑简体" w:hAnsi="方正兰亭黑简体" w:eastAsia="方正兰亭黑简体" w:cs="方正兰亭黑简体"/>
                <w:color w:val="auto"/>
                <w:sz w:val="20"/>
                <w:szCs w:val="20"/>
                <w:highlight w:val="none"/>
                <w:lang w:val="en-US" w:eastAsia="zh-CN"/>
              </w:rPr>
              <w:t>1</w:t>
            </w:r>
            <w:r>
              <w:rPr>
                <w:rFonts w:hint="eastAsia" w:ascii="方正兰亭黑简体" w:hAnsi="方正兰亭黑简体" w:eastAsia="方正兰亭黑简体" w:cs="方正兰亭黑简体"/>
                <w:color w:val="auto"/>
                <w:sz w:val="20"/>
                <w:szCs w:val="20"/>
                <w:highlight w:val="none"/>
              </w:rPr>
              <w:t>分；扣完为止。</w:t>
            </w:r>
          </w:p>
        </w:tc>
      </w:tr>
      <w:tr w14:paraId="4D0BBB9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881" w:hRule="atLeast"/>
          <w:jc w:val="center"/>
        </w:trPr>
        <w:tc>
          <w:tcPr>
            <w:tcW w:w="330" w:type="pct"/>
            <w:vAlign w:val="center"/>
          </w:tcPr>
          <w:p w14:paraId="788752CD">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4</w:t>
            </w:r>
          </w:p>
        </w:tc>
        <w:tc>
          <w:tcPr>
            <w:tcW w:w="669" w:type="pct"/>
            <w:tcBorders>
              <w:top w:val="single" w:color="auto" w:sz="6" w:space="0"/>
              <w:left w:val="single" w:color="auto" w:sz="6" w:space="0"/>
              <w:bottom w:val="single" w:color="auto" w:sz="6" w:space="0"/>
              <w:right w:val="single" w:color="auto" w:sz="6" w:space="0"/>
            </w:tcBorders>
            <w:vAlign w:val="center"/>
          </w:tcPr>
          <w:p w14:paraId="7A8085AB">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zh-CN"/>
              </w:rPr>
              <w:t>服务方案</w:t>
            </w:r>
            <w:r>
              <w:rPr>
                <w:rFonts w:hint="eastAsia" w:ascii="方正兰亭黑简体" w:hAnsi="方正兰亭黑简体" w:eastAsia="方正兰亭黑简体" w:cs="方正兰亭黑简体"/>
                <w:color w:val="auto"/>
                <w:sz w:val="20"/>
                <w:szCs w:val="20"/>
                <w:highlight w:val="none"/>
              </w:rPr>
              <w:t>整体质量</w:t>
            </w:r>
          </w:p>
          <w:p w14:paraId="2F94F36C">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（主观分）</w:t>
            </w:r>
          </w:p>
        </w:tc>
        <w:tc>
          <w:tcPr>
            <w:tcW w:w="364" w:type="pct"/>
            <w:vAlign w:val="center"/>
          </w:tcPr>
          <w:p w14:paraId="004B4B48">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2</w:t>
            </w:r>
            <w:r>
              <w:rPr>
                <w:rFonts w:hint="eastAsia" w:ascii="方正兰亭黑简体" w:hAnsi="方正兰亭黑简体" w:eastAsia="方正兰亭黑简体" w:cs="方正兰亭黑简体"/>
                <w:color w:val="auto"/>
                <w:sz w:val="20"/>
                <w:szCs w:val="20"/>
                <w:highlight w:val="none"/>
              </w:rPr>
              <w:t>0</w:t>
            </w:r>
          </w:p>
        </w:tc>
        <w:tc>
          <w:tcPr>
            <w:tcW w:w="3635" w:type="pct"/>
            <w:vAlign w:val="center"/>
          </w:tcPr>
          <w:p w14:paraId="6393C2D9">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优秀（16～20分）：方案整体质量高，方案合理可行性强，响应措施及时高效，项目进度安排紧凑合理。</w:t>
            </w:r>
          </w:p>
          <w:p w14:paraId="36A6F9CB">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良好（11～15分）：方案整体质量较好，响应措施尚可，方案个别细节有待进一步完善。</w:t>
            </w:r>
          </w:p>
          <w:p w14:paraId="3EC9A561">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一般（6～10分）：方案整体质量一般，合理性与可行性一般，存在风险但总体可控的。</w:t>
            </w:r>
          </w:p>
          <w:p w14:paraId="58DA62C3">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较差（0～5分）：方案整体质量较差，与项目实际契合度低的。</w:t>
            </w:r>
          </w:p>
        </w:tc>
      </w:tr>
      <w:tr w14:paraId="3BB3167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94" w:hRule="atLeast"/>
          <w:jc w:val="center"/>
        </w:trPr>
        <w:tc>
          <w:tcPr>
            <w:tcW w:w="330" w:type="pct"/>
            <w:vAlign w:val="center"/>
          </w:tcPr>
          <w:p w14:paraId="56286725">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5</w:t>
            </w:r>
          </w:p>
        </w:tc>
        <w:tc>
          <w:tcPr>
            <w:tcW w:w="669" w:type="pct"/>
            <w:vAlign w:val="center"/>
          </w:tcPr>
          <w:p w14:paraId="6709E7BB">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服务承诺</w:t>
            </w:r>
          </w:p>
          <w:p w14:paraId="020BE35A">
            <w:pPr>
              <w:pStyle w:val="13"/>
              <w:ind w:firstLine="200"/>
              <w:rPr>
                <w:color w:val="auto"/>
                <w:highlight w:val="none"/>
              </w:rPr>
            </w:pPr>
            <w:r>
              <w:rPr>
                <w:rFonts w:hint="eastAsia" w:ascii="方正兰亭黑简体" w:hAnsi="方正兰亭黑简体" w:eastAsia="方正兰亭黑简体" w:cs="方正兰亭黑简体"/>
                <w:color w:val="auto"/>
                <w:sz w:val="20"/>
                <w:szCs w:val="20"/>
                <w:highlight w:val="none"/>
              </w:rPr>
              <w:t>（主观分）</w:t>
            </w:r>
          </w:p>
        </w:tc>
        <w:tc>
          <w:tcPr>
            <w:tcW w:w="364" w:type="pct"/>
            <w:vAlign w:val="center"/>
          </w:tcPr>
          <w:p w14:paraId="1D1DB52F">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20</w:t>
            </w:r>
          </w:p>
        </w:tc>
        <w:tc>
          <w:tcPr>
            <w:tcW w:w="3635" w:type="pct"/>
          </w:tcPr>
          <w:p w14:paraId="17BC9C7A">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优秀（16～20分）：服务承诺等合理可行。</w:t>
            </w:r>
          </w:p>
          <w:p w14:paraId="39CBBAFA">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良好（11～15分）：服务承诺等比较合理。</w:t>
            </w:r>
          </w:p>
          <w:p w14:paraId="57D0EDAC">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一般（6～10分）：服务承诺等合理性与可行性一般。</w:t>
            </w:r>
          </w:p>
          <w:p w14:paraId="053ACC0F">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较差（0～5分）：服务承诺等合理性与可行性较差。</w:t>
            </w:r>
          </w:p>
        </w:tc>
      </w:tr>
    </w:tbl>
    <w:p w14:paraId="6072BEB5">
      <w:pPr>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br w:type="page"/>
      </w:r>
    </w:p>
    <w:p w14:paraId="2D0B04EA">
      <w:pPr>
        <w:jc w:val="center"/>
        <w:rPr>
          <w:rFonts w:hint="eastAsia" w:ascii="方正兰亭黑简体" w:hAnsi="方正兰亭黑简体" w:eastAsia="方正兰亭黑简体" w:cs="方正兰亭黑简体"/>
          <w:b/>
          <w:bCs/>
          <w:color w:val="auto"/>
          <w:sz w:val="24"/>
          <w:szCs w:val="32"/>
          <w:highlight w:val="none"/>
        </w:rPr>
        <w:sectPr>
          <w:footerReference r:id="rId3" w:type="default"/>
          <w:pgSz w:w="11906" w:h="16838"/>
          <w:pgMar w:top="1440" w:right="1080" w:bottom="1440" w:left="1080" w:header="851" w:footer="992" w:gutter="0"/>
          <w:cols w:space="425" w:num="1"/>
          <w:docGrid w:type="lines" w:linePitch="312" w:charSpace="0"/>
        </w:sectPr>
      </w:pPr>
    </w:p>
    <w:p w14:paraId="1AC852B6">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第四章 格式附件</w:t>
      </w:r>
    </w:p>
    <w:p w14:paraId="1219D175">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附件1：报价单</w:t>
      </w:r>
    </w:p>
    <w:p w14:paraId="038537F8">
      <w:pPr>
        <w:spacing w:line="440" w:lineRule="exact"/>
        <w:jc w:val="center"/>
        <w:rPr>
          <w:rFonts w:hint="eastAsia" w:ascii="宋体" w:hAnsi="宋体" w:eastAsia="宋体"/>
          <w:color w:val="auto"/>
          <w:sz w:val="24"/>
          <w:highlight w:val="none"/>
        </w:rPr>
      </w:pPr>
      <w:r>
        <w:rPr>
          <w:rFonts w:hint="eastAsia" w:ascii="黑体" w:hAnsi="华文楷体" w:eastAsia="黑体"/>
          <w:b/>
          <w:color w:val="auto"/>
          <w:sz w:val="36"/>
          <w:szCs w:val="36"/>
          <w:highlight w:val="none"/>
        </w:rPr>
        <w:t>报   价   单</w:t>
      </w:r>
    </w:p>
    <w:p w14:paraId="28C0DCFE">
      <w:pPr>
        <w:spacing w:line="440" w:lineRule="exact"/>
        <w:jc w:val="left"/>
        <w:rPr>
          <w:rFonts w:hint="eastAsia" w:ascii="黑体" w:hAnsi="华文楷体" w:eastAsia="黑体"/>
          <w:color w:val="auto"/>
          <w:sz w:val="24"/>
          <w:highlight w:val="none"/>
        </w:rPr>
      </w:pPr>
      <w:r>
        <w:rPr>
          <w:rFonts w:hint="eastAsia" w:ascii="黑体" w:hAnsi="华文楷体" w:eastAsia="黑体"/>
          <w:b/>
          <w:color w:val="auto"/>
          <w:sz w:val="24"/>
          <w:highlight w:val="none"/>
        </w:rPr>
        <w:t xml:space="preserve">TO: </w:t>
      </w:r>
      <w:r>
        <w:rPr>
          <w:rFonts w:hint="eastAsia" w:ascii="黑体" w:hAnsi="华文楷体" w:eastAsia="黑体"/>
          <w:color w:val="auto"/>
          <w:sz w:val="24"/>
          <w:highlight w:val="none"/>
        </w:rPr>
        <w:t xml:space="preserve"> 上海海事大学 采购与招投标管理中心</w:t>
      </w:r>
      <w:r>
        <w:rPr>
          <w:rFonts w:hint="eastAsia" w:ascii="黑体" w:hAnsi="华文楷体" w:eastAsia="黑体"/>
          <w:b/>
          <w:color w:val="auto"/>
          <w:sz w:val="36"/>
          <w:szCs w:val="36"/>
          <w:highlight w:val="none"/>
        </w:rPr>
        <w:t xml:space="preserve">             </w:t>
      </w:r>
      <w:r>
        <w:rPr>
          <w:rFonts w:hint="eastAsia" w:ascii="黑体" w:hAnsi="华文楷体" w:eastAsia="黑体"/>
          <w:color w:val="auto"/>
          <w:sz w:val="24"/>
          <w:highlight w:val="none"/>
        </w:rPr>
        <w:t>项目编号：</w:t>
      </w:r>
      <w:r>
        <w:rPr>
          <w:rFonts w:hint="eastAsia" w:ascii="黑体" w:hAnsi="华文楷体" w:eastAsia="黑体"/>
          <w:color w:val="auto"/>
          <w:sz w:val="24"/>
          <w:highlight w:val="none"/>
          <w:lang w:eastAsia="zh-CN"/>
        </w:rPr>
        <w:t>HFBX2026049</w:t>
      </w:r>
      <w:r>
        <w:rPr>
          <w:rFonts w:hint="eastAsia" w:ascii="黑体" w:hAnsi="华文楷体" w:eastAsia="黑体"/>
          <w:b/>
          <w:color w:val="auto"/>
          <w:sz w:val="36"/>
          <w:szCs w:val="36"/>
          <w:highlight w:val="none"/>
        </w:rPr>
        <w:t xml:space="preserve">                     </w:t>
      </w:r>
    </w:p>
    <w:p w14:paraId="09EAC316">
      <w:pPr>
        <w:spacing w:line="440" w:lineRule="exact"/>
        <w:rPr>
          <w:rFonts w:hint="eastAsia" w:ascii="方正仿宋_GB2312" w:hAnsi="方正仿宋_GB2312" w:eastAsia="方正仿宋_GB2312" w:cs="方正仿宋_GB2312"/>
          <w:b/>
          <w:color w:val="auto"/>
          <w:sz w:val="24"/>
          <w:highlight w:val="none"/>
        </w:rPr>
      </w:pPr>
      <w:r>
        <w:rPr>
          <w:rFonts w:hint="eastAsia" w:ascii="黑体" w:hAnsi="华文楷体" w:eastAsia="黑体"/>
          <w:b/>
          <w:color w:val="auto"/>
          <w:sz w:val="24"/>
          <w:highlight w:val="none"/>
        </w:rPr>
        <w:t>电子邮箱：</w:t>
      </w:r>
      <w:r>
        <w:rPr>
          <w:color w:val="auto"/>
          <w:highlight w:val="none"/>
        </w:rPr>
        <w:fldChar w:fldCharType="begin"/>
      </w:r>
      <w:r>
        <w:rPr>
          <w:color w:val="auto"/>
          <w:highlight w:val="none"/>
        </w:rPr>
        <w:instrText xml:space="preserve"> HYPERLINK "mailto:quotation@shmtu.edu.cn" </w:instrText>
      </w:r>
      <w:r>
        <w:rPr>
          <w:color w:val="auto"/>
          <w:highlight w:val="none"/>
        </w:rPr>
        <w:fldChar w:fldCharType="separate"/>
      </w:r>
      <w:r>
        <w:rPr>
          <w:rStyle w:val="18"/>
          <w:rFonts w:ascii="黑体" w:hAnsi="华文楷体" w:eastAsia="黑体"/>
          <w:b/>
          <w:color w:val="auto"/>
          <w:sz w:val="24"/>
          <w:highlight w:val="none"/>
        </w:rPr>
        <w:t>quotation@shmtu.edu.cn</w:t>
      </w:r>
      <w:r>
        <w:rPr>
          <w:rStyle w:val="18"/>
          <w:rFonts w:ascii="黑体" w:hAnsi="华文楷体" w:eastAsia="黑体"/>
          <w:b/>
          <w:color w:val="auto"/>
          <w:sz w:val="24"/>
          <w:highlight w:val="none"/>
        </w:rPr>
        <w:fldChar w:fldCharType="end"/>
      </w:r>
    </w:p>
    <w:p w14:paraId="0E4AC90F">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公司名称：</w:t>
      </w:r>
      <w:r>
        <w:rPr>
          <w:rFonts w:hint="eastAsia" w:ascii="黑体" w:hAnsi="华文楷体" w:eastAsia="黑体"/>
          <w:color w:val="auto"/>
          <w:sz w:val="24"/>
          <w:highlight w:val="none"/>
        </w:rPr>
        <w:t xml:space="preserve">                                                </w:t>
      </w:r>
      <w:r>
        <w:rPr>
          <w:rFonts w:hint="eastAsia" w:ascii="黑体" w:hAnsi="华文楷体" w:eastAsia="黑体"/>
          <w:b/>
          <w:color w:val="auto"/>
          <w:sz w:val="24"/>
          <w:highlight w:val="none"/>
        </w:rPr>
        <w:t>联系人：</w:t>
      </w:r>
    </w:p>
    <w:p w14:paraId="6610026A">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电子邮箱：                                                公司地址：</w:t>
      </w:r>
    </w:p>
    <w:p w14:paraId="0F397EAB">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电话：                                                    联系人手机：</w:t>
      </w:r>
    </w:p>
    <w:p w14:paraId="184D96DB">
      <w:pPr>
        <w:spacing w:line="440" w:lineRule="exact"/>
        <w:rPr>
          <w:rFonts w:hint="eastAsia" w:ascii="黑体" w:hAnsi="华文楷体" w:eastAsia="黑体"/>
          <w:b/>
          <w:color w:val="auto"/>
          <w:sz w:val="24"/>
          <w:highlight w:val="none"/>
        </w:rPr>
      </w:pPr>
    </w:p>
    <w:tbl>
      <w:tblPr>
        <w:tblStyle w:val="14"/>
        <w:tblW w:w="4987"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28" w:type="dxa"/>
          <w:bottom w:w="0" w:type="dxa"/>
          <w:right w:w="28" w:type="dxa"/>
        </w:tblCellMar>
      </w:tblPr>
      <w:tblGrid>
        <w:gridCol w:w="612"/>
        <w:gridCol w:w="4241"/>
        <w:gridCol w:w="2852"/>
        <w:gridCol w:w="2066"/>
      </w:tblGrid>
      <w:tr w14:paraId="164CE4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50" w:hRule="exact"/>
        </w:trPr>
        <w:tc>
          <w:tcPr>
            <w:tcW w:w="313" w:type="pct"/>
            <w:tcBorders>
              <w:top w:val="single" w:color="auto" w:sz="12" w:space="0"/>
              <w:left w:val="single" w:color="auto" w:sz="12" w:space="0"/>
              <w:bottom w:val="double" w:color="auto" w:sz="4" w:space="0"/>
            </w:tcBorders>
            <w:vAlign w:val="center"/>
          </w:tcPr>
          <w:p w14:paraId="2BBD17A6">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序号</w:t>
            </w:r>
          </w:p>
        </w:tc>
        <w:tc>
          <w:tcPr>
            <w:tcW w:w="2170" w:type="pct"/>
            <w:tcBorders>
              <w:top w:val="single" w:color="auto" w:sz="12" w:space="0"/>
              <w:bottom w:val="double" w:color="auto" w:sz="4" w:space="0"/>
            </w:tcBorders>
            <w:vAlign w:val="center"/>
          </w:tcPr>
          <w:p w14:paraId="1041179F">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项目名称</w:t>
            </w:r>
          </w:p>
        </w:tc>
        <w:tc>
          <w:tcPr>
            <w:tcW w:w="1459" w:type="pct"/>
            <w:tcBorders>
              <w:top w:val="single" w:color="auto" w:sz="12" w:space="0"/>
              <w:bottom w:val="double" w:color="auto" w:sz="4" w:space="0"/>
              <w:right w:val="single" w:color="auto" w:sz="4" w:space="0"/>
            </w:tcBorders>
            <w:vAlign w:val="center"/>
          </w:tcPr>
          <w:p w14:paraId="2C33D9D9">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项目报价（元）</w:t>
            </w:r>
          </w:p>
        </w:tc>
        <w:tc>
          <w:tcPr>
            <w:tcW w:w="1056" w:type="pct"/>
            <w:tcBorders>
              <w:top w:val="single" w:color="auto" w:sz="12" w:space="0"/>
              <w:left w:val="single" w:color="auto" w:sz="4" w:space="0"/>
              <w:bottom w:val="double" w:color="auto" w:sz="4" w:space="0"/>
              <w:right w:val="single" w:color="auto" w:sz="12" w:space="0"/>
            </w:tcBorders>
            <w:vAlign w:val="center"/>
          </w:tcPr>
          <w:p w14:paraId="5C391E51">
            <w:pPr>
              <w:tabs>
                <w:tab w:val="left" w:pos="7020"/>
              </w:tabs>
              <w:jc w:val="center"/>
              <w:rPr>
                <w:rFonts w:hint="default" w:ascii="黑体" w:hAnsi="黑体" w:eastAsia="黑体"/>
                <w:b/>
                <w:color w:val="auto"/>
                <w:sz w:val="24"/>
                <w:highlight w:val="none"/>
                <w:lang w:val="en-US" w:eastAsia="zh-CN"/>
              </w:rPr>
            </w:pPr>
            <w:r>
              <w:rPr>
                <w:rFonts w:hint="eastAsia" w:ascii="黑体" w:hAnsi="黑体" w:eastAsia="黑体"/>
                <w:b/>
                <w:color w:val="auto"/>
                <w:sz w:val="24"/>
                <w:highlight w:val="none"/>
                <w:lang w:val="en-US" w:eastAsia="zh-CN"/>
              </w:rPr>
              <w:t>备注</w:t>
            </w:r>
          </w:p>
        </w:tc>
      </w:tr>
      <w:tr w14:paraId="09A6E8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1705" w:hRule="exact"/>
        </w:trPr>
        <w:tc>
          <w:tcPr>
            <w:tcW w:w="313" w:type="pct"/>
            <w:tcBorders>
              <w:top w:val="double" w:color="auto" w:sz="4" w:space="0"/>
              <w:left w:val="single" w:color="auto" w:sz="12" w:space="0"/>
              <w:bottom w:val="double" w:color="auto" w:sz="4" w:space="0"/>
            </w:tcBorders>
            <w:vAlign w:val="center"/>
          </w:tcPr>
          <w:p w14:paraId="1ED43816">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1</w:t>
            </w:r>
          </w:p>
        </w:tc>
        <w:tc>
          <w:tcPr>
            <w:tcW w:w="2170" w:type="pct"/>
            <w:tcBorders>
              <w:top w:val="double" w:color="auto" w:sz="4" w:space="0"/>
              <w:bottom w:val="double" w:color="auto" w:sz="4" w:space="0"/>
            </w:tcBorders>
            <w:vAlign w:val="center"/>
          </w:tcPr>
          <w:p w14:paraId="4E78542C">
            <w:pPr>
              <w:tabs>
                <w:tab w:val="left" w:pos="7020"/>
              </w:tabs>
              <w:jc w:val="center"/>
              <w:rPr>
                <w:rFonts w:hint="eastAsia" w:ascii="黑体" w:hAnsi="黑体" w:eastAsia="黑体" w:cs="Times New Roman"/>
                <w:b/>
                <w:color w:val="auto"/>
                <w:sz w:val="24"/>
                <w:highlight w:val="none"/>
                <w:lang w:eastAsia="zh-CN"/>
              </w:rPr>
            </w:pPr>
            <w:r>
              <w:rPr>
                <w:rFonts w:hint="eastAsia" w:ascii="黑体" w:hAnsi="黑体" w:eastAsia="黑体"/>
                <w:b/>
                <w:color w:val="auto"/>
                <w:sz w:val="24"/>
                <w:highlight w:val="none"/>
                <w:lang w:eastAsia="zh-CN"/>
              </w:rPr>
              <w:t>中本贯通专业图谱及数智资源建设项目</w:t>
            </w:r>
          </w:p>
        </w:tc>
        <w:tc>
          <w:tcPr>
            <w:tcW w:w="1459" w:type="pct"/>
            <w:tcBorders>
              <w:top w:val="double" w:color="auto" w:sz="4" w:space="0"/>
              <w:bottom w:val="double" w:color="auto" w:sz="4" w:space="0"/>
              <w:right w:val="single" w:color="auto" w:sz="4" w:space="0"/>
            </w:tcBorders>
            <w:vAlign w:val="center"/>
          </w:tcPr>
          <w:p w14:paraId="7941EDF4">
            <w:pPr>
              <w:tabs>
                <w:tab w:val="left" w:pos="7020"/>
              </w:tabs>
              <w:jc w:val="center"/>
              <w:rPr>
                <w:color w:val="auto"/>
                <w:highlight w:val="none"/>
              </w:rPr>
            </w:pPr>
          </w:p>
        </w:tc>
        <w:tc>
          <w:tcPr>
            <w:tcW w:w="1056" w:type="pct"/>
            <w:tcBorders>
              <w:top w:val="double" w:color="auto" w:sz="4" w:space="0"/>
              <w:left w:val="single" w:color="auto" w:sz="4" w:space="0"/>
              <w:bottom w:val="double" w:color="auto" w:sz="4" w:space="0"/>
              <w:right w:val="single" w:color="auto" w:sz="12" w:space="0"/>
            </w:tcBorders>
            <w:vAlign w:val="center"/>
          </w:tcPr>
          <w:p w14:paraId="71529EE7">
            <w:pPr>
              <w:tabs>
                <w:tab w:val="left" w:pos="7020"/>
              </w:tabs>
              <w:jc w:val="center"/>
              <w:rPr>
                <w:rFonts w:hint="default" w:eastAsiaTheme="minorEastAsia"/>
                <w:color w:val="auto"/>
                <w:highlight w:val="none"/>
                <w:lang w:val="en-US" w:eastAsia="zh-CN"/>
              </w:rPr>
            </w:pPr>
          </w:p>
        </w:tc>
      </w:tr>
      <w:tr w14:paraId="77FEC6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50" w:hRule="exact"/>
        </w:trPr>
        <w:tc>
          <w:tcPr>
            <w:tcW w:w="2483" w:type="pct"/>
            <w:gridSpan w:val="2"/>
            <w:tcBorders>
              <w:top w:val="double" w:color="auto" w:sz="4" w:space="0"/>
              <w:left w:val="single" w:color="auto" w:sz="12" w:space="0"/>
              <w:bottom w:val="single" w:color="auto" w:sz="12" w:space="0"/>
              <w:right w:val="single" w:color="auto" w:sz="4" w:space="0"/>
            </w:tcBorders>
            <w:vAlign w:val="center"/>
          </w:tcPr>
          <w:p w14:paraId="6322DB60">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合计金额（人民币）</w:t>
            </w:r>
          </w:p>
        </w:tc>
        <w:tc>
          <w:tcPr>
            <w:tcW w:w="2516" w:type="pct"/>
            <w:gridSpan w:val="2"/>
            <w:tcBorders>
              <w:top w:val="double" w:color="auto" w:sz="4" w:space="0"/>
              <w:left w:val="single" w:color="auto" w:sz="4" w:space="0"/>
              <w:bottom w:val="single" w:color="auto" w:sz="12" w:space="0"/>
              <w:right w:val="single" w:color="auto" w:sz="12" w:space="0"/>
            </w:tcBorders>
            <w:vAlign w:val="center"/>
          </w:tcPr>
          <w:p w14:paraId="4B46D8FA">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           （大写）：</w:t>
            </w:r>
          </w:p>
        </w:tc>
      </w:tr>
    </w:tbl>
    <w:p w14:paraId="0408D135">
      <w:pPr>
        <w:spacing w:line="440" w:lineRule="exact"/>
        <w:rPr>
          <w:rFonts w:hint="eastAsia" w:ascii="黑体" w:hAnsi="华文楷体" w:eastAsia="黑体"/>
          <w:color w:val="auto"/>
          <w:sz w:val="24"/>
          <w:highlight w:val="none"/>
        </w:rPr>
      </w:pPr>
    </w:p>
    <w:p w14:paraId="614EA236">
      <w:pPr>
        <w:spacing w:line="440" w:lineRule="exact"/>
        <w:rPr>
          <w:rFonts w:hint="eastAsia" w:ascii="黑体" w:hAnsi="华文楷体" w:eastAsia="黑体"/>
          <w:color w:val="auto"/>
          <w:sz w:val="24"/>
          <w:highlight w:val="none"/>
        </w:rPr>
      </w:pPr>
      <w:r>
        <w:rPr>
          <w:rFonts w:hint="eastAsia" w:ascii="黑体" w:hAnsi="华文楷体" w:eastAsia="黑体"/>
          <w:color w:val="auto"/>
          <w:sz w:val="24"/>
          <w:highlight w:val="none"/>
        </w:rPr>
        <w:t>公司名称（盖章）：           委托代理人（签字）：        报价日期：      年    月   日</w:t>
      </w:r>
    </w:p>
    <w:p w14:paraId="20B1E828">
      <w:pPr>
        <w:spacing w:line="440" w:lineRule="exact"/>
        <w:rPr>
          <w:rFonts w:hint="eastAsia" w:ascii="黑体" w:hAnsi="华文楷体" w:eastAsia="黑体"/>
          <w:color w:val="auto"/>
          <w:sz w:val="24"/>
          <w:highlight w:val="none"/>
        </w:rPr>
      </w:pPr>
    </w:p>
    <w:p w14:paraId="642407A4">
      <w:pPr>
        <w:rPr>
          <w:rFonts w:hint="eastAsia" w:ascii="黑体" w:hAnsi="华文楷体" w:eastAsia="黑体"/>
          <w:color w:val="auto"/>
          <w:szCs w:val="21"/>
          <w:highlight w:val="none"/>
        </w:rPr>
      </w:pPr>
      <w:r>
        <w:rPr>
          <w:rFonts w:hint="eastAsia" w:ascii="黑体" w:hAnsi="华文楷体" w:eastAsia="黑体"/>
          <w:color w:val="auto"/>
          <w:szCs w:val="21"/>
          <w:highlight w:val="none"/>
        </w:rPr>
        <w:t>报价说明：1、报价公司提供的上述产品，应完全满足或者优于我校提出的需求。</w:t>
      </w:r>
    </w:p>
    <w:p w14:paraId="554618DC">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2、如属非标配产品，其技术指标（特别是优于我校需求的部分）请另行附页说明。</w:t>
      </w:r>
    </w:p>
    <w:p w14:paraId="7D349A8B">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3、特殊的售后服务措施、代理证明情况等需要说明的，请另行附页说明。</w:t>
      </w:r>
    </w:p>
    <w:p w14:paraId="6619B28A">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4、报价单附页（如有）共</w:t>
      </w:r>
      <w:r>
        <w:rPr>
          <w:rFonts w:hint="eastAsia" w:ascii="黑体" w:hAnsi="华文楷体" w:eastAsia="黑体"/>
          <w:color w:val="auto"/>
          <w:szCs w:val="21"/>
          <w:highlight w:val="none"/>
          <w:u w:val="single"/>
        </w:rPr>
        <w:t xml:space="preserve">      </w:t>
      </w:r>
      <w:r>
        <w:rPr>
          <w:rFonts w:hint="eastAsia" w:ascii="黑体" w:hAnsi="华文楷体" w:eastAsia="黑体"/>
          <w:color w:val="auto"/>
          <w:szCs w:val="21"/>
          <w:highlight w:val="none"/>
        </w:rPr>
        <w:t>页。</w:t>
      </w:r>
    </w:p>
    <w:p w14:paraId="02E355A4">
      <w:pPr>
        <w:rPr>
          <w:rFonts w:hint="eastAsia"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rPr>
        <w:br w:type="page"/>
      </w:r>
    </w:p>
    <w:p w14:paraId="66593191">
      <w:pPr>
        <w:spacing w:after="157" w:afterLines="50"/>
        <w:jc w:val="center"/>
        <w:rPr>
          <w:rFonts w:hint="eastAsia"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rPr>
        <w:t>报价承诺函</w:t>
      </w:r>
    </w:p>
    <w:p w14:paraId="06CF8257">
      <w:pPr>
        <w:spacing w:after="157" w:afterLines="50"/>
        <w:rPr>
          <w:rFonts w:hint="eastAsia" w:ascii="仿宋" w:hAnsi="仿宋" w:eastAsia="仿宋" w:cs="宋体"/>
          <w:color w:val="auto"/>
          <w:sz w:val="24"/>
          <w:highlight w:val="none"/>
        </w:rPr>
      </w:pPr>
      <w:r>
        <w:rPr>
          <w:rFonts w:hint="eastAsia" w:ascii="仿宋" w:hAnsi="仿宋" w:eastAsia="仿宋" w:cs="宋体"/>
          <w:color w:val="auto"/>
          <w:sz w:val="24"/>
          <w:highlight w:val="none"/>
          <w:lang w:val="zh-CN"/>
        </w:rPr>
        <w:t>致：</w:t>
      </w:r>
      <w:r>
        <w:rPr>
          <w:rFonts w:hint="eastAsia" w:ascii="仿宋" w:hAnsi="仿宋" w:eastAsia="仿宋" w:cs="宋体"/>
          <w:color w:val="auto"/>
          <w:sz w:val="24"/>
          <w:highlight w:val="none"/>
        </w:rPr>
        <w:t>上海海事大学</w:t>
      </w:r>
    </w:p>
    <w:p w14:paraId="61C7F4FB">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lang w:val="zh-CN"/>
        </w:rPr>
        <w:t>我</w:t>
      </w:r>
      <w:r>
        <w:rPr>
          <w:rFonts w:ascii="仿宋" w:hAnsi="仿宋" w:eastAsia="仿宋" w:cs="宋体"/>
          <w:color w:val="auto"/>
          <w:sz w:val="24"/>
          <w:highlight w:val="none"/>
          <w:lang w:val="zh-CN"/>
        </w:rPr>
        <w:t>公司在参加本次</w:t>
      </w:r>
      <w:r>
        <w:rPr>
          <w:rFonts w:hint="eastAsia" w:ascii="仿宋" w:hAnsi="仿宋" w:eastAsia="仿宋" w:cs="宋体"/>
          <w:color w:val="auto"/>
          <w:sz w:val="24"/>
          <w:highlight w:val="none"/>
        </w:rPr>
        <w:t>比选采购</w:t>
      </w:r>
      <w:r>
        <w:rPr>
          <w:rFonts w:ascii="仿宋" w:hAnsi="仿宋" w:eastAsia="仿宋" w:cs="宋体"/>
          <w:color w:val="auto"/>
          <w:sz w:val="24"/>
          <w:highlight w:val="none"/>
          <w:lang w:val="zh-CN"/>
        </w:rPr>
        <w:t>活动中，</w:t>
      </w:r>
      <w:r>
        <w:rPr>
          <w:rFonts w:hint="eastAsia" w:ascii="仿宋" w:hAnsi="仿宋" w:eastAsia="仿宋" w:cs="宋体"/>
          <w:color w:val="auto"/>
          <w:sz w:val="24"/>
          <w:highlight w:val="none"/>
          <w:lang w:val="zh-CN"/>
        </w:rPr>
        <w:t>做出如下</w:t>
      </w:r>
      <w:r>
        <w:rPr>
          <w:rFonts w:ascii="仿宋" w:hAnsi="仿宋" w:eastAsia="仿宋" w:cs="宋体"/>
          <w:color w:val="auto"/>
          <w:sz w:val="24"/>
          <w:highlight w:val="none"/>
          <w:lang w:val="zh-CN"/>
        </w:rPr>
        <w:t>承诺：</w:t>
      </w:r>
    </w:p>
    <w:p w14:paraId="4F0E35EC">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lang w:val="zh-CN"/>
        </w:rPr>
        <w:t>一、</w:t>
      </w:r>
      <w:r>
        <w:rPr>
          <w:rFonts w:hint="eastAsia" w:ascii="仿宋" w:hAnsi="仿宋" w:eastAsia="仿宋" w:cs="宋体"/>
          <w:color w:val="auto"/>
          <w:sz w:val="24"/>
          <w:highlight w:val="none"/>
        </w:rPr>
        <w:t>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具备独立法人资格，能够独立承担民事责任。</w:t>
      </w:r>
    </w:p>
    <w:p w14:paraId="6F37786C">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二、我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财务状况良好，具备履行合同所需资金实力。</w:t>
      </w:r>
    </w:p>
    <w:p w14:paraId="3E13B155">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三、我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拥有履行项目所需的专业技术人员和先进的生产设备。</w:t>
      </w:r>
    </w:p>
    <w:p w14:paraId="1486EB83">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四、我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依法纳税，并按时缴纳社会保险费。</w:t>
      </w:r>
    </w:p>
    <w:p w14:paraId="1705CE12">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五、我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在最近三年内无任何违法违规行为，信誉良好。</w:t>
      </w:r>
    </w:p>
    <w:p w14:paraId="54BF34F8">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六、我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完全符合政府采购法及其他相关法律法规的规定。</w:t>
      </w:r>
    </w:p>
    <w:p w14:paraId="46600348">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七</w:t>
      </w:r>
      <w:r>
        <w:rPr>
          <w:rFonts w:hint="eastAsia" w:ascii="仿宋" w:hAnsi="仿宋" w:eastAsia="仿宋" w:cs="宋体"/>
          <w:color w:val="auto"/>
          <w:sz w:val="24"/>
          <w:highlight w:val="none"/>
          <w:lang w:val="zh-CN"/>
        </w:rPr>
        <w:t>、</w:t>
      </w:r>
      <w:r>
        <w:rPr>
          <w:rFonts w:hint="eastAsia" w:ascii="仿宋" w:hAnsi="仿宋" w:eastAsia="仿宋" w:cs="宋体"/>
          <w:color w:val="auto"/>
          <w:sz w:val="24"/>
          <w:highlight w:val="none"/>
        </w:rPr>
        <w:t>我</w:t>
      </w:r>
      <w:r>
        <w:rPr>
          <w:rFonts w:hint="eastAsia" w:ascii="仿宋" w:hAnsi="仿宋" w:eastAsia="仿宋" w:cs="宋体"/>
          <w:color w:val="auto"/>
          <w:sz w:val="24"/>
          <w:highlight w:val="none"/>
          <w:lang w:val="zh-CN"/>
        </w:rPr>
        <w:t>公司提供的相关文件均真实、有效。</w:t>
      </w:r>
    </w:p>
    <w:p w14:paraId="6C6ABE4A">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八、我</w:t>
      </w:r>
      <w:r>
        <w:rPr>
          <w:rFonts w:hint="eastAsia" w:ascii="仿宋" w:hAnsi="仿宋" w:eastAsia="仿宋" w:cs="宋体"/>
          <w:color w:val="auto"/>
          <w:sz w:val="24"/>
          <w:highlight w:val="none"/>
          <w:lang w:val="zh-CN"/>
        </w:rPr>
        <w:t>公司未挂靠、借用资质进行投标等违法违规行为。</w:t>
      </w:r>
    </w:p>
    <w:p w14:paraId="5613149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九、</w:t>
      </w:r>
      <w:r>
        <w:rPr>
          <w:rFonts w:hint="eastAsia" w:ascii="仿宋" w:hAnsi="仿宋" w:eastAsia="仿宋" w:cs="宋体"/>
          <w:color w:val="auto"/>
          <w:sz w:val="24"/>
          <w:highlight w:val="none"/>
          <w:lang w:val="zh-CN"/>
        </w:rPr>
        <w:t>我公司承诺在参加本</w:t>
      </w:r>
      <w:r>
        <w:rPr>
          <w:rFonts w:hint="eastAsia" w:ascii="仿宋" w:hAnsi="仿宋" w:eastAsia="仿宋" w:cs="宋体"/>
          <w:color w:val="auto"/>
          <w:sz w:val="24"/>
          <w:highlight w:val="none"/>
        </w:rPr>
        <w:t>次</w:t>
      </w:r>
      <w:r>
        <w:rPr>
          <w:rFonts w:hint="eastAsia" w:ascii="仿宋" w:hAnsi="仿宋" w:eastAsia="仿宋" w:cs="宋体"/>
          <w:color w:val="auto"/>
          <w:sz w:val="24"/>
          <w:highlight w:val="none"/>
          <w:lang w:val="zh-CN"/>
        </w:rPr>
        <w:t>采购活动中，</w:t>
      </w:r>
      <w:r>
        <w:rPr>
          <w:rFonts w:hint="eastAsia" w:ascii="仿宋" w:hAnsi="仿宋" w:eastAsia="仿宋" w:cs="宋体"/>
          <w:color w:val="auto"/>
          <w:sz w:val="24"/>
          <w:highlight w:val="none"/>
        </w:rPr>
        <w:t>不存在串标围标行为</w:t>
      </w:r>
      <w:r>
        <w:rPr>
          <w:rFonts w:hint="eastAsia" w:ascii="仿宋" w:hAnsi="仿宋" w:eastAsia="仿宋" w:cs="宋体"/>
          <w:color w:val="auto"/>
          <w:sz w:val="24"/>
          <w:highlight w:val="none"/>
          <w:lang w:val="zh-CN"/>
        </w:rPr>
        <w:t>，</w:t>
      </w:r>
      <w:r>
        <w:rPr>
          <w:rFonts w:hint="eastAsia" w:ascii="仿宋" w:hAnsi="仿宋" w:eastAsia="仿宋" w:cs="宋体"/>
          <w:color w:val="auto"/>
          <w:sz w:val="24"/>
          <w:highlight w:val="none"/>
        </w:rPr>
        <w:t>不存在</w:t>
      </w:r>
      <w:r>
        <w:rPr>
          <w:rFonts w:hint="eastAsia" w:ascii="仿宋" w:hAnsi="仿宋" w:eastAsia="仿宋" w:cs="宋体"/>
          <w:color w:val="auto"/>
          <w:sz w:val="24"/>
          <w:highlight w:val="none"/>
          <w:lang w:val="zh-CN"/>
        </w:rPr>
        <w:t>损害</w:t>
      </w:r>
      <w:r>
        <w:rPr>
          <w:rFonts w:hint="eastAsia" w:ascii="仿宋" w:hAnsi="仿宋" w:eastAsia="仿宋" w:cs="宋体"/>
          <w:color w:val="auto"/>
          <w:sz w:val="24"/>
          <w:highlight w:val="none"/>
        </w:rPr>
        <w:t>校方</w:t>
      </w:r>
      <w:r>
        <w:rPr>
          <w:rFonts w:hint="eastAsia" w:ascii="仿宋" w:hAnsi="仿宋" w:eastAsia="仿宋" w:cs="宋体"/>
          <w:color w:val="auto"/>
          <w:sz w:val="24"/>
          <w:highlight w:val="none"/>
          <w:lang w:val="zh-CN"/>
        </w:rPr>
        <w:t>或者其他</w:t>
      </w:r>
      <w:r>
        <w:rPr>
          <w:rFonts w:hint="eastAsia" w:ascii="仿宋" w:hAnsi="仿宋" w:eastAsia="仿宋" w:cs="宋体"/>
          <w:color w:val="auto"/>
          <w:sz w:val="24"/>
          <w:highlight w:val="none"/>
        </w:rPr>
        <w:t>报价单位</w:t>
      </w:r>
      <w:r>
        <w:rPr>
          <w:rFonts w:hint="eastAsia" w:ascii="仿宋" w:hAnsi="仿宋" w:eastAsia="仿宋" w:cs="宋体"/>
          <w:color w:val="auto"/>
          <w:sz w:val="24"/>
          <w:highlight w:val="none"/>
          <w:lang w:val="zh-CN"/>
        </w:rPr>
        <w:t>利益的行为。</w:t>
      </w:r>
    </w:p>
    <w:p w14:paraId="350AD56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十、</w:t>
      </w:r>
      <w:r>
        <w:rPr>
          <w:rFonts w:hint="eastAsia" w:ascii="仿宋" w:hAnsi="仿宋" w:eastAsia="仿宋" w:cs="宋体"/>
          <w:color w:val="auto"/>
          <w:sz w:val="24"/>
          <w:highlight w:val="none"/>
          <w:lang w:val="zh-CN"/>
        </w:rPr>
        <w:t>我</w:t>
      </w:r>
      <w:r>
        <w:rPr>
          <w:rFonts w:hint="eastAsia" w:ascii="仿宋" w:hAnsi="仿宋" w:eastAsia="仿宋" w:cs="宋体"/>
          <w:color w:val="auto"/>
          <w:sz w:val="24"/>
          <w:highlight w:val="none"/>
        </w:rPr>
        <w:t>公司管理层中</w:t>
      </w:r>
      <w:r>
        <w:rPr>
          <w:rFonts w:hint="eastAsia" w:ascii="仿宋" w:hAnsi="仿宋" w:eastAsia="仿宋" w:cs="宋体"/>
          <w:color w:val="auto"/>
          <w:sz w:val="24"/>
          <w:highlight w:val="none"/>
          <w:lang w:val="zh-CN"/>
        </w:rPr>
        <w:t>没有从</w:t>
      </w:r>
      <w:r>
        <w:rPr>
          <w:rFonts w:hint="eastAsia" w:ascii="仿宋" w:hAnsi="仿宋" w:eastAsia="仿宋" w:cs="宋体"/>
          <w:color w:val="auto"/>
          <w:sz w:val="24"/>
          <w:highlight w:val="none"/>
        </w:rPr>
        <w:t>贵校</w:t>
      </w:r>
      <w:r>
        <w:rPr>
          <w:rFonts w:hint="eastAsia" w:ascii="仿宋" w:hAnsi="仿宋" w:eastAsia="仿宋" w:cs="宋体"/>
          <w:color w:val="auto"/>
          <w:sz w:val="24"/>
          <w:highlight w:val="none"/>
          <w:lang w:val="zh-CN"/>
        </w:rPr>
        <w:t>离职或退休3年以内的人员担任控股股东或实际控股人、董事、监事，也没有聘用从</w:t>
      </w:r>
      <w:r>
        <w:rPr>
          <w:rFonts w:hint="eastAsia" w:ascii="仿宋" w:hAnsi="仿宋" w:eastAsia="仿宋" w:cs="宋体"/>
          <w:color w:val="auto"/>
          <w:sz w:val="24"/>
          <w:highlight w:val="none"/>
        </w:rPr>
        <w:t>贵校</w:t>
      </w:r>
      <w:r>
        <w:rPr>
          <w:rFonts w:hint="eastAsia" w:ascii="仿宋" w:hAnsi="仿宋" w:eastAsia="仿宋" w:cs="宋体"/>
          <w:color w:val="auto"/>
          <w:sz w:val="24"/>
          <w:highlight w:val="none"/>
          <w:lang w:val="zh-CN"/>
        </w:rPr>
        <w:t>离职或退休3年以内的人员。</w:t>
      </w:r>
    </w:p>
    <w:p w14:paraId="7BAAA33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我公司保证上述声明真实无误，如有不实，愿承担相应法律责任。</w:t>
      </w:r>
    </w:p>
    <w:p w14:paraId="5C4569E6">
      <w:pPr>
        <w:spacing w:after="157" w:afterLines="50"/>
        <w:rPr>
          <w:rFonts w:hint="eastAsia" w:ascii="仿宋" w:hAnsi="仿宋" w:eastAsia="仿宋" w:cs="宋体"/>
          <w:color w:val="auto"/>
          <w:sz w:val="24"/>
          <w:highlight w:val="none"/>
          <w:lang w:val="zh-CN"/>
        </w:rPr>
      </w:pPr>
    </w:p>
    <w:p w14:paraId="6DFC7771">
      <w:pPr>
        <w:spacing w:after="157" w:afterLines="50"/>
        <w:rPr>
          <w:rFonts w:hint="eastAsia" w:ascii="黑体" w:hAnsi="华文楷体" w:eastAsia="黑体"/>
          <w:b/>
          <w:bCs/>
          <w:color w:val="auto"/>
          <w:sz w:val="32"/>
          <w:szCs w:val="32"/>
          <w:highlight w:val="none"/>
        </w:rPr>
      </w:pPr>
      <w:r>
        <w:rPr>
          <w:rFonts w:hint="eastAsia" w:ascii="黑体" w:hAnsi="华文楷体" w:eastAsia="黑体"/>
          <w:color w:val="auto"/>
          <w:sz w:val="24"/>
          <w:highlight w:val="none"/>
        </w:rPr>
        <w:t>公司名称（盖章）：                              委托代理人（签字）：</w:t>
      </w:r>
    </w:p>
    <w:p w14:paraId="097F108E">
      <w:pPr>
        <w:pStyle w:val="5"/>
        <w:rPr>
          <w:rFonts w:hint="eastAsia" w:ascii="方正兰亭黑简体" w:hAnsi="方正兰亭黑简体" w:eastAsia="方正兰亭黑简体" w:cs="方正兰亭黑简体"/>
          <w:color w:val="auto"/>
          <w:sz w:val="22"/>
          <w:szCs w:val="28"/>
          <w:highlight w:val="none"/>
        </w:rPr>
      </w:pPr>
    </w:p>
    <w:p w14:paraId="6AAADDA4">
      <w:pPr>
        <w:pStyle w:val="5"/>
        <w:rPr>
          <w:rFonts w:hint="eastAsia" w:ascii="方正兰亭黑简体" w:hAnsi="方正兰亭黑简体" w:eastAsia="方正兰亭黑简体" w:cs="方正兰亭黑简体"/>
          <w:color w:val="auto"/>
          <w:sz w:val="22"/>
          <w:szCs w:val="28"/>
          <w:highlight w:val="none"/>
        </w:rPr>
      </w:pPr>
    </w:p>
    <w:p w14:paraId="3805D66A">
      <w:pPr>
        <w:jc w:val="left"/>
        <w:rPr>
          <w:rFonts w:hint="eastAsia" w:ascii="方正兰亭黑简体" w:hAnsi="方正兰亭黑简体" w:eastAsia="方正兰亭黑简体" w:cs="方正兰亭黑简体"/>
          <w:color w:val="auto"/>
          <w:sz w:val="22"/>
          <w:szCs w:val="28"/>
          <w:highlight w:val="none"/>
        </w:rPr>
        <w:sectPr>
          <w:pgSz w:w="11906" w:h="16838"/>
          <w:pgMar w:top="1440" w:right="1083" w:bottom="1440" w:left="1083" w:header="851" w:footer="992" w:gutter="0"/>
          <w:cols w:space="0" w:num="1"/>
          <w:docGrid w:type="lines" w:linePitch="314" w:charSpace="0"/>
        </w:sectPr>
      </w:pPr>
    </w:p>
    <w:p w14:paraId="52FF6152">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附件2：其他材料</w:t>
      </w:r>
    </w:p>
    <w:p w14:paraId="2A456533">
      <w:pPr>
        <w:pStyle w:val="4"/>
        <w:ind w:left="0" w:leftChars="0"/>
        <w:rPr>
          <w:color w:val="auto"/>
          <w:highlight w:val="none"/>
        </w:rPr>
      </w:pPr>
      <w:r>
        <w:rPr>
          <w:rFonts w:hint="eastAsia" w:ascii="方正兰亭黑简体" w:hAnsi="方正兰亭黑简体" w:eastAsia="方正兰亭黑简体" w:cs="方正兰亭黑简体"/>
          <w:color w:val="auto"/>
          <w:sz w:val="22"/>
          <w:szCs w:val="28"/>
          <w:highlight w:val="none"/>
        </w:rPr>
        <w:t>包括但不限于：</w:t>
      </w:r>
    </w:p>
    <w:p w14:paraId="43482A45">
      <w:pPr>
        <w:pStyle w:val="4"/>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1、营业执照扫描件</w:t>
      </w:r>
    </w:p>
    <w:p w14:paraId="428A839D">
      <w:pPr>
        <w:pStyle w:val="4"/>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2</w:t>
      </w:r>
      <w:r>
        <w:rPr>
          <w:rFonts w:hint="eastAsia" w:ascii="方正兰亭黑简体" w:hAnsi="方正兰亭黑简体" w:eastAsia="方正兰亭黑简体" w:cs="方正兰亭黑简体"/>
          <w:color w:val="auto"/>
          <w:sz w:val="22"/>
          <w:szCs w:val="28"/>
          <w:highlight w:val="none"/>
        </w:rPr>
        <w:t>、项目服务方案（产品介绍）及实施计划</w:t>
      </w:r>
    </w:p>
    <w:p w14:paraId="56E8031D">
      <w:pPr>
        <w:pStyle w:val="4"/>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3、</w:t>
      </w:r>
      <w:r>
        <w:rPr>
          <w:rFonts w:hint="eastAsia" w:ascii="方正兰亭黑简体" w:hAnsi="方正兰亭黑简体" w:eastAsia="方正兰亭黑简体" w:cs="方正兰亭黑简体"/>
          <w:color w:val="auto"/>
          <w:sz w:val="22"/>
          <w:szCs w:val="28"/>
          <w:highlight w:val="none"/>
        </w:rPr>
        <w:t>服务团队介绍</w:t>
      </w:r>
    </w:p>
    <w:p w14:paraId="1DCC4AA6">
      <w:pPr>
        <w:pStyle w:val="4"/>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4</w:t>
      </w:r>
      <w:r>
        <w:rPr>
          <w:rFonts w:hint="eastAsia" w:ascii="方正兰亭黑简体" w:hAnsi="方正兰亭黑简体" w:eastAsia="方正兰亭黑简体" w:cs="方正兰亭黑简体"/>
          <w:color w:val="auto"/>
          <w:sz w:val="22"/>
          <w:szCs w:val="28"/>
          <w:highlight w:val="none"/>
        </w:rPr>
        <w:t>、服务保障承诺</w:t>
      </w:r>
    </w:p>
    <w:p w14:paraId="41589759">
      <w:pPr>
        <w:pStyle w:val="4"/>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5</w:t>
      </w:r>
      <w:r>
        <w:rPr>
          <w:rFonts w:ascii="方正兰亭黑简体" w:hAnsi="方正兰亭黑简体" w:eastAsia="方正兰亭黑简体" w:cs="方正兰亭黑简体"/>
          <w:color w:val="auto"/>
          <w:sz w:val="22"/>
          <w:szCs w:val="28"/>
          <w:highlight w:val="none"/>
        </w:rPr>
        <w:t>、</w:t>
      </w:r>
      <w:r>
        <w:rPr>
          <w:rFonts w:hint="eastAsia" w:ascii="方正兰亭黑简体" w:hAnsi="方正兰亭黑简体" w:eastAsia="方正兰亭黑简体" w:cs="方正兰亭黑简体"/>
          <w:color w:val="auto"/>
          <w:sz w:val="22"/>
          <w:szCs w:val="28"/>
          <w:highlight w:val="none"/>
        </w:rPr>
        <w:t>业绩案例</w:t>
      </w:r>
    </w:p>
    <w:p w14:paraId="7EB31163">
      <w:pPr>
        <w:pStyle w:val="4"/>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6、其他所必需的相关材料</w:t>
      </w:r>
    </w:p>
    <w:sectPr>
      <w:pgSz w:w="11906" w:h="16838"/>
      <w:pgMar w:top="1440" w:right="1083" w:bottom="1440" w:left="1083" w:header="851" w:footer="992" w:gutter="0"/>
      <w:cols w:space="0" w:num="1"/>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5A3A088-650F-4D8E-864D-9B61D7930CC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楷体_GB2312">
    <w:panose1 w:val="02000000000000000000"/>
    <w:charset w:val="86"/>
    <w:family w:val="auto"/>
    <w:pitch w:val="default"/>
    <w:sig w:usb0="A00002BF" w:usb1="184F6CFA" w:usb2="00000012" w:usb3="00000000" w:csb0="00040001" w:csb1="00000000"/>
  </w:font>
  <w:font w:name="方正小标宋简体">
    <w:panose1 w:val="02000000000000000000"/>
    <w:charset w:val="86"/>
    <w:family w:val="auto"/>
    <w:pitch w:val="default"/>
    <w:sig w:usb0="00000001" w:usb1="08000000" w:usb2="00000000" w:usb3="00000000" w:csb0="00040000" w:csb1="00000000"/>
  </w:font>
  <w:font w:name="方正仿宋_GB2312">
    <w:panose1 w:val="02000000000000000000"/>
    <w:charset w:val="86"/>
    <w:family w:val="auto"/>
    <w:pitch w:val="default"/>
    <w:sig w:usb0="A00002BF" w:usb1="184F6CFA" w:usb2="00000012" w:usb3="00000000" w:csb0="00040001" w:csb1="00000000"/>
    <w:embedRegular r:id="rId2" w:fontKey="{D329E815-602C-412C-AE4E-AEE15DCDCF2A}"/>
  </w:font>
  <w:font w:name="仿宋">
    <w:panose1 w:val="02010609060101010101"/>
    <w:charset w:val="86"/>
    <w:family w:val="modern"/>
    <w:pitch w:val="default"/>
    <w:sig w:usb0="800002BF" w:usb1="38CF7CFA" w:usb2="00000016" w:usb3="00000000" w:csb0="00040001" w:csb1="00000000"/>
    <w:embedRegular r:id="rId3" w:fontKey="{D94CC6D2-BCC4-43A9-9B0B-5FE5D208E20F}"/>
  </w:font>
  <w:font w:name="方正兰亭黑简体">
    <w:panose1 w:val="02000000000000000000"/>
    <w:charset w:val="86"/>
    <w:family w:val="auto"/>
    <w:pitch w:val="default"/>
    <w:sig w:usb0="A00002BF" w:usb1="184F6CFA" w:usb2="00000012" w:usb3="00000000" w:csb0="00040001" w:csb1="00000000"/>
    <w:embedRegular r:id="rId4" w:fontKey="{69C29FD2-B33B-4387-94F8-EE0C0CE5B399}"/>
  </w:font>
  <w:font w:name="华文楷体">
    <w:panose1 w:val="02010600040101010101"/>
    <w:charset w:val="86"/>
    <w:family w:val="auto"/>
    <w:pitch w:val="default"/>
    <w:sig w:usb0="A00002BF" w:usb1="78CF7CFB" w:usb2="00000016" w:usb3="00000000" w:csb0="6006009F" w:csb1="DFD70000"/>
    <w:embedRegular r:id="rId5" w:fontKey="{5B09B674-2509-4449-9B1C-5375186F49CE}"/>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C6DE97">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859155" cy="147955"/>
              <wp:effectExtent l="0" t="0" r="0" b="0"/>
              <wp:wrapNone/>
              <wp:docPr id="1" name="文本框 2"/>
              <wp:cNvGraphicFramePr/>
              <a:graphic xmlns:a="http://schemas.openxmlformats.org/drawingml/2006/main">
                <a:graphicData uri="http://schemas.microsoft.com/office/word/2010/wordprocessingShape">
                  <wps:wsp>
                    <wps:cNvSpPr txBox="1"/>
                    <wps:spPr>
                      <a:xfrm>
                        <a:off x="0" y="0"/>
                        <a:ext cx="859155" cy="147955"/>
                      </a:xfrm>
                      <a:prstGeom prst="rect">
                        <a:avLst/>
                      </a:prstGeom>
                      <a:noFill/>
                      <a:ln w="6350">
                        <a:noFill/>
                      </a:ln>
                    </wps:spPr>
                    <wps:txbx>
                      <w:txbxContent>
                        <w:p w14:paraId="1C75E4AA">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1.65pt;width:67.65pt;mso-position-horizontal:center;mso-position-horizontal-relative:margin;mso-wrap-style:none;z-index:251659264;mso-width-relative:page;mso-height-relative:page;" filled="f" stroked="f" coordsize="21600,21600" o:gfxdata="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FS000NMAAAAEAQAADwAAAAAAAAABACAAAAAiAAAAZHJzL2Rvd25yZXYueG1sUEsBAhQA&#10;FAAAAAgAh07iQLIjnDUwAgAAUwQAAA4AAAAAAAAAAQAgAAAAIgEAAGRycy9lMm9Eb2MueG1sUEsF&#10;BgAAAAAGAAYAWQEAAMQFAAAAAA==&#10;">
              <v:fill on="f" focussize="0,0"/>
              <v:stroke on="f" weight="0.5pt"/>
              <v:imagedata o:title=""/>
              <o:lock v:ext="edit" aspectratio="f"/>
              <v:textbox inset="0mm,0mm,0mm,0mm" style="mso-fit-shape-to-text:t;">
                <w:txbxContent>
                  <w:p w14:paraId="1C75E4AA">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D2EBEB"/>
    <w:multiLevelType w:val="singleLevel"/>
    <w:tmpl w:val="E8D2EBE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7"/>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4CA3"/>
    <w:rsid w:val="000E4CA3"/>
    <w:rsid w:val="001B052D"/>
    <w:rsid w:val="001B1952"/>
    <w:rsid w:val="00283B3F"/>
    <w:rsid w:val="00325073"/>
    <w:rsid w:val="00572733"/>
    <w:rsid w:val="00595CBB"/>
    <w:rsid w:val="006030E1"/>
    <w:rsid w:val="007F3014"/>
    <w:rsid w:val="00836506"/>
    <w:rsid w:val="00C97D62"/>
    <w:rsid w:val="00DB0393"/>
    <w:rsid w:val="00DC509B"/>
    <w:rsid w:val="00E754B4"/>
    <w:rsid w:val="00F2174E"/>
    <w:rsid w:val="02675436"/>
    <w:rsid w:val="029C08D4"/>
    <w:rsid w:val="08B545A5"/>
    <w:rsid w:val="092F2754"/>
    <w:rsid w:val="0A546A76"/>
    <w:rsid w:val="0B7D7F96"/>
    <w:rsid w:val="13353790"/>
    <w:rsid w:val="13CA7CE9"/>
    <w:rsid w:val="13CB5B5C"/>
    <w:rsid w:val="157E6317"/>
    <w:rsid w:val="19F06820"/>
    <w:rsid w:val="1C4047A8"/>
    <w:rsid w:val="1E596D71"/>
    <w:rsid w:val="24050543"/>
    <w:rsid w:val="269F2B16"/>
    <w:rsid w:val="2FB07FD7"/>
    <w:rsid w:val="317D7420"/>
    <w:rsid w:val="32582CF8"/>
    <w:rsid w:val="331671BF"/>
    <w:rsid w:val="33B3033B"/>
    <w:rsid w:val="33DD0342"/>
    <w:rsid w:val="34416E25"/>
    <w:rsid w:val="35906085"/>
    <w:rsid w:val="3A9852E0"/>
    <w:rsid w:val="3CFB44C3"/>
    <w:rsid w:val="3D6469F5"/>
    <w:rsid w:val="3EB44731"/>
    <w:rsid w:val="3FCC680A"/>
    <w:rsid w:val="3FDF48A5"/>
    <w:rsid w:val="40115E5B"/>
    <w:rsid w:val="40134FEB"/>
    <w:rsid w:val="41007DAA"/>
    <w:rsid w:val="418A539A"/>
    <w:rsid w:val="438704B0"/>
    <w:rsid w:val="44E73D39"/>
    <w:rsid w:val="480A63EB"/>
    <w:rsid w:val="487158D1"/>
    <w:rsid w:val="488E3B06"/>
    <w:rsid w:val="48F25244"/>
    <w:rsid w:val="4CCA439B"/>
    <w:rsid w:val="4D0D4ED5"/>
    <w:rsid w:val="4EFD134C"/>
    <w:rsid w:val="53F3317F"/>
    <w:rsid w:val="543D6D6A"/>
    <w:rsid w:val="58C4549A"/>
    <w:rsid w:val="5AEA704B"/>
    <w:rsid w:val="5C376D46"/>
    <w:rsid w:val="5DF2219B"/>
    <w:rsid w:val="5E8720EC"/>
    <w:rsid w:val="5EE9209B"/>
    <w:rsid w:val="5F44384A"/>
    <w:rsid w:val="60BF2A71"/>
    <w:rsid w:val="63887FE1"/>
    <w:rsid w:val="63F161B6"/>
    <w:rsid w:val="66E533C4"/>
    <w:rsid w:val="681A51E0"/>
    <w:rsid w:val="695E3370"/>
    <w:rsid w:val="699D5EE7"/>
    <w:rsid w:val="6A660877"/>
    <w:rsid w:val="6B99520C"/>
    <w:rsid w:val="7A92721C"/>
    <w:rsid w:val="7CFA5264"/>
    <w:rsid w:val="7E4E11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99"/>
    <w:pPr>
      <w:jc w:val="left"/>
    </w:pPr>
    <w:rPr>
      <w:kern w:val="0"/>
      <w:sz w:val="20"/>
      <w:szCs w:val="20"/>
    </w:rPr>
  </w:style>
  <w:style w:type="paragraph" w:styleId="3">
    <w:name w:val="Body Text"/>
    <w:basedOn w:val="1"/>
    <w:next w:val="1"/>
    <w:qFormat/>
    <w:uiPriority w:val="0"/>
    <w:pPr>
      <w:spacing w:after="120"/>
    </w:pPr>
  </w:style>
  <w:style w:type="paragraph" w:styleId="4">
    <w:name w:val="Body Text Indent"/>
    <w:basedOn w:val="1"/>
    <w:qFormat/>
    <w:uiPriority w:val="0"/>
    <w:pPr>
      <w:ind w:left="420" w:leftChars="200"/>
    </w:pPr>
  </w:style>
  <w:style w:type="paragraph" w:styleId="5">
    <w:name w:val="Plain Text"/>
    <w:basedOn w:val="1"/>
    <w:qFormat/>
    <w:uiPriority w:val="0"/>
    <w:rPr>
      <w:rFonts w:ascii="宋体" w:hAnsi="Courier New"/>
    </w:rPr>
  </w:style>
  <w:style w:type="paragraph" w:styleId="6">
    <w:name w:val="Body Text Indent 2"/>
    <w:basedOn w:val="1"/>
    <w:unhideWhenUsed/>
    <w:qFormat/>
    <w:uiPriority w:val="0"/>
    <w:pPr>
      <w:ind w:firstLine="540"/>
    </w:pPr>
    <w:rPr>
      <w:rFonts w:ascii="Calibri" w:hAnsi="Calibri"/>
      <w:sz w:val="28"/>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unhideWhenUsed/>
    <w:qFormat/>
    <w:uiPriority w:val="39"/>
    <w:rPr>
      <w:rFonts w:ascii="Calibri" w:hAnsi="Calibri" w:eastAsia="宋体" w:cs="Times New Roman"/>
    </w:rPr>
  </w:style>
  <w:style w:type="paragraph" w:styleId="10">
    <w:name w:val="Body Text Indent 3"/>
    <w:basedOn w:val="1"/>
    <w:qFormat/>
    <w:uiPriority w:val="0"/>
    <w:pPr>
      <w:ind w:firstLine="600" w:firstLineChars="200"/>
    </w:pPr>
    <w:rPr>
      <w:color w:val="FF0000"/>
      <w:sz w:val="30"/>
      <w:szCs w:val="20"/>
    </w:rPr>
  </w:style>
  <w:style w:type="paragraph" w:styleId="11">
    <w:name w:val="Body Text 2"/>
    <w:basedOn w:val="1"/>
    <w:qFormat/>
    <w:uiPriority w:val="0"/>
    <w:pPr>
      <w:spacing w:after="120" w:line="480" w:lineRule="auto"/>
    </w:pPr>
  </w:style>
  <w:style w:type="paragraph" w:styleId="12">
    <w:name w:val="Normal (Web)"/>
    <w:basedOn w:val="1"/>
    <w:qFormat/>
    <w:uiPriority w:val="0"/>
    <w:pPr>
      <w:spacing w:beforeAutospacing="1" w:afterAutospacing="1"/>
      <w:jc w:val="left"/>
    </w:pPr>
    <w:rPr>
      <w:rFonts w:cs="Times New Roman"/>
      <w:kern w:val="0"/>
      <w:sz w:val="24"/>
    </w:rPr>
  </w:style>
  <w:style w:type="paragraph" w:styleId="13">
    <w:name w:val="Body Text First Indent"/>
    <w:basedOn w:val="3"/>
    <w:qFormat/>
    <w:uiPriority w:val="0"/>
    <w:pPr>
      <w:widowControl/>
      <w:ind w:firstLine="420" w:firstLineChars="100"/>
      <w:jc w:val="left"/>
    </w:pPr>
    <w:rPr>
      <w:rFonts w:ascii="Times New Roman"/>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qFormat/>
    <w:uiPriority w:val="22"/>
    <w:rPr>
      <w:b/>
      <w:bCs/>
    </w:rPr>
  </w:style>
  <w:style w:type="character" w:styleId="18">
    <w:name w:val="Hyperlink"/>
    <w:basedOn w:val="16"/>
    <w:unhideWhenUsed/>
    <w:qFormat/>
    <w:uiPriority w:val="99"/>
    <w:rPr>
      <w:color w:val="0000FF"/>
      <w:u w:val="single"/>
    </w:rPr>
  </w:style>
  <w:style w:type="paragraph" w:customStyle="1" w:styleId="19">
    <w:name w:val="列表段落1"/>
    <w:basedOn w:val="1"/>
    <w:qFormat/>
    <w:uiPriority w:val="0"/>
    <w:pPr>
      <w:ind w:firstLine="420" w:firstLineChars="200"/>
    </w:pPr>
  </w:style>
  <w:style w:type="paragraph" w:customStyle="1" w:styleId="20">
    <w:name w:val="Default"/>
    <w:qFormat/>
    <w:uiPriority w:val="0"/>
    <w:pPr>
      <w:widowControl w:val="0"/>
      <w:autoSpaceDE w:val="0"/>
      <w:autoSpaceDN w:val="0"/>
      <w:adjustRightInd w:val="0"/>
    </w:pPr>
    <w:rPr>
      <w:rFonts w:ascii="楷体" w:hAnsi="Times New Roman" w:eastAsia="楷体" w:cs="楷体"/>
      <w:color w:val="000000"/>
      <w:sz w:val="24"/>
      <w:szCs w:val="24"/>
      <w:lang w:val="en-US" w:eastAsia="zh-CN" w:bidi="ar-SA"/>
    </w:rPr>
  </w:style>
  <w:style w:type="character" w:customStyle="1" w:styleId="21">
    <w:name w:val="15"/>
    <w:basedOn w:val="16"/>
    <w:qFormat/>
    <w:uiPriority w:val="0"/>
    <w:rPr>
      <w:rFonts w:hint="default" w:ascii="Calibri" w:hAnsi="Calibri" w:cs="Calibri"/>
      <w:b/>
      <w:bCs/>
    </w:rPr>
  </w:style>
  <w:style w:type="paragraph" w:styleId="22">
    <w:name w:val="List Paragraph"/>
    <w:basedOn w:val="1"/>
    <w:qFormat/>
    <w:uiPriority w:val="34"/>
    <w:pPr>
      <w:ind w:left="720"/>
      <w:contextualSpacing/>
    </w:pPr>
  </w:style>
  <w:style w:type="table" w:customStyle="1" w:styleId="23">
    <w:name w:val="Table Normal"/>
    <w:semiHidden/>
    <w:unhideWhenUsed/>
    <w:qFormat/>
    <w:uiPriority w:val="0"/>
    <w:tblPr>
      <w:tblCellMar>
        <w:top w:w="0" w:type="dxa"/>
        <w:left w:w="0" w:type="dxa"/>
        <w:bottom w:w="0" w:type="dxa"/>
        <w:right w:w="0" w:type="dxa"/>
      </w:tblCellMar>
    </w:tblPr>
  </w:style>
  <w:style w:type="paragraph" w:customStyle="1" w:styleId="24">
    <w:name w:val="表格正文内容"/>
    <w:basedOn w:val="1"/>
    <w:next w:val="1"/>
    <w:autoRedefine/>
    <w:qFormat/>
    <w:uiPriority w:val="0"/>
    <w:pPr>
      <w:widowControl/>
      <w:spacing w:line="360" w:lineRule="exact"/>
      <w:jc w:val="left"/>
    </w:pPr>
    <w:rPr>
      <w:rFonts w:ascii="方正楷体_GB2312" w:hAnsi="方正小标宋简体" w:eastAsia="方正仿宋_GB2312" w:cs="仿宋"/>
      <w:sz w:val="24"/>
      <w:szCs w:val="32"/>
    </w:rPr>
  </w:style>
  <w:style w:type="paragraph" w:customStyle="1" w:styleId="25">
    <w:name w:val="列出段落2"/>
    <w:basedOn w:val="1"/>
    <w:qFormat/>
    <w:uiPriority w:val="0"/>
    <w:pPr>
      <w:ind w:firstLine="420" w:firstLineChars="200"/>
    </w:pPr>
    <w:rPr>
      <w:rFonts w:ascii="Times New Roman" w:hAnsi="Times New Roman" w:eastAsia="宋体" w:cs="Times New Roman"/>
      <w:szCs w:val="21"/>
    </w:rPr>
  </w:style>
  <w:style w:type="paragraph" w:customStyle="1" w:styleId="26">
    <w:name w:val="列出段落1"/>
    <w:basedOn w:val="1"/>
    <w:qFormat/>
    <w:uiPriority w:val="34"/>
    <w:pPr>
      <w:suppressAutoHyphens/>
      <w:ind w:firstLine="420"/>
    </w:pPr>
    <w:rPr>
      <w:rFonts w:ascii="Times New Roman" w:hAnsi="Times New Roman" w:eastAsia="宋体" w:cs="Times New Roman"/>
      <w:kern w:val="1"/>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ontractReview xmlns="http://schemas.wps.cn/vas-ai-hub/contract-review">
  <reviewItems>
    <reviewItem>
      <errorID>dce2e47d-4b61-4fab-a0f3-9b8ffb7ee392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58FFC7E6</paraID>
      <start>0</start>
      <end>2</end>
      <status>unmodified</status>
      <modifiedWord/>
      <trackRevisions>false</trackRevisions>
    </reviewItem>
    <reviewItem>
      <errorID>df7357d2-c28d-4f71-aba3-b845e690bebd</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67A4B0EC</paraID>
      <start>0</start>
      <end>2</end>
      <status>unmodified</status>
      <modifiedWord/>
      <trackRevisions>false</trackRevisions>
    </reviewItem>
    <reviewItem>
      <errorID>c67b34f4-2d0c-431e-9ed3-18d18bbeb2e5</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34243CEE</paraID>
      <start>0</start>
      <end>2</end>
      <status>unmodified</status>
      <modifiedWord/>
      <trackRevisions>false</trackRevisions>
    </reviewItem>
    <reviewItem>
      <errorID>6f502b9b-fb56-46ff-9cee-2261a4f68045</errorID>
      <errorWord>-</errorWord>
      <group>L1_Format</group>
      <groupName>格式问题</groupName>
      <ability>L2_HalfPunc_CN</ability>
      <abilityName>全半角问题</abilityName>
      <candidateList>
        <item>－</item>
      </candidateList>
      <explain>文本全半角错误。</explain>
      <paraID>1D3FC1F5</paraID>
      <start>35</start>
      <end>36</end>
      <status>unmodified</status>
      <modifiedWord/>
      <trackRevisions>false</trackRevisions>
    </reviewItem>
    <reviewItem>
      <errorID>7b9b29e2-168e-489f-8c60-c654f2fa824a</errorID>
      <errorWord>-</errorWord>
      <group>L1_Format</group>
      <groupName>格式问题</groupName>
      <ability>L2_HalfPunc_CN</ability>
      <abilityName>全半角问题</abilityName>
      <candidateList>
        <item>－</item>
      </candidateList>
      <explain>文本全半角错误。</explain>
      <paraID>1D3FC1F5</paraID>
      <start>38</start>
      <end>39</end>
      <status>unmodified</status>
      <modifiedWord/>
      <trackRevisions>false</trackRevisions>
    </reviewItem>
    <reviewItem>
      <errorID>12794529-98d5-427f-bb38-2d2505507c42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647F04E1</paraID>
      <start>0</start>
      <end>2</end>
      <status>unmodified</status>
      <modifiedWord/>
      <trackRevisions>false</trackRevisions>
    </reviewItem>
    <reviewItem>
      <errorID>9028d044-5a32-4b2b-af1c-6898effdf5dd</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653ED931</paraID>
      <start>0</start>
      <end>2</end>
      <status>unmodified</status>
      <modifiedWord/>
      <trackRevisions>false</trackRevisions>
    </reviewItem>
    <reviewItem>
      <errorID>6936b618-d469-4e7c-9016-cb0995089cee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412D9729</paraID>
      <start>0</start>
      <end>2</end>
      <status>unmodified</status>
      <modifiedWord/>
      <trackRevisions>false</trackRevisions>
    </reviewItem>
    <reviewItem>
      <errorID>c2d6dc25-b5fe-46ce-bcf2-2a4b102e9288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60F8C996</paraID>
      <start>0</start>
      <end>3</end>
      <status>unmodified</status>
      <modifiedWord/>
      <trackRevisions>false</trackRevisions>
    </reviewItem>
    <reviewItem>
      <errorID>41f16b86-e6fc-44bb-b10b-3f31b3a4a93a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3FE1E98C</paraID>
      <start>0</start>
      <end>2</end>
      <status>unmodified</status>
      <modifiedWord/>
      <trackRevisions>false</trackRevisions>
    </reviewItem>
    <reviewItem>
      <errorID>edef5219-6c68-46a0-8ac9-bf045292d615</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3A9EC056</paraID>
      <start>0</start>
      <end>2</end>
      <status>unmodified</status>
      <modifiedWord/>
      <trackRevisions>false</trackRevisions>
    </reviewItem>
    <reviewItem>
      <errorID>6e6d68a9-e693-4a5f-81bd-da0c05f3bd7e</errorID>
      <errorWord>、或</errorWord>
      <group>L1_Word</group>
      <groupName>字词问题</groupName>
      <ability>L2_Typo</ability>
      <abilityName>字词错误</abilityName>
      <candidateList>
        <item>或</item>
      </candidateList>
      <explain>❶〈副〉或许；也许：慰问团已经起程，明日上午～可到达。❷〈连〉或者v▲：～多～少｜不解决桥～船的问题，过河就是一句空话｜他生怕我没听清～不注意，所以又嘱咐了一遍。❸〈书〉〈代〉指示代词。某人；有的人：～告之曰。❹〈书〉副稍微：不可～缺｜不可～忽。</explain>
      <paraID> AEEB54C</paraID>
      <start>15</start>
      <end>16</end>
      <status>modified</status>
      <modifiedWord>或</modifiedWord>
      <trackRevisions>false</trackRevisions>
    </reviewItem>
    <reviewItem>
      <errorID>60bd6aa7-acd2-4768-a57c-983408aebbec</errorID>
      <errorWord>。</errorWord>
      <group>L1_Grammar</group>
      <groupName>语法问题</groupName>
      <ability>L2_Order</ability>
      <abilityName>语序不当</abilityName>
      <candidateList>
        <item>等功能。</item>
      </candidateList>
      <explain>句子可能没有遵循时空、逻辑顺序，或者介词、关联词等位置不当。</explain>
      <paraID> AEEB54C</paraID>
      <start>43</start>
      <end>47</end>
      <status>modified</status>
      <modifiedWord>等功能。</modifiedWord>
      <trackRevisions>false</trackRevisions>
    </reviewItem>
    <reviewItem>
      <errorID>2f7a7f44-53e6-45ed-9e5a-ca4447d23952</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2C1E844D</paraID>
      <start>0</start>
      <end>2</end>
      <status>unmodified</status>
      <modifiedWord/>
      <trackRevisions>false</trackRevisions>
    </reviewItem>
    <reviewItem>
      <errorID>30491178-ab63-45d5-974f-975d48d5d60d</errorID>
      <errorWord>、或</errorWord>
      <group>L1_Word</group>
      <groupName>字词问题</groupName>
      <ability>L2_Typo</ability>
      <abilityName>字词错误</abilityName>
      <candidateList>
        <item>或</item>
      </candidateList>
      <explain>❶〈副〉或许；也许：慰问团已经起程，明日上午～可到达。❷〈连〉或者v▲：～多～少｜不解决桥～船的问题，过河就是一句空话｜他生怕我没听清～不注意，所以又嘱咐了一遍。❸〈书〉〈代〉指示代词。某人；有的人：～告之曰。❹〈书〉副稍微：不可～缺｜不可～忽。</explain>
      <paraID> F441346</paraID>
      <start>27</start>
      <end>28</end>
      <status>modified</status>
      <modifiedWord>或</modifiedWord>
      <trackRevisions>false</trackRevisions>
    </reviewItem>
    <reviewItem>
      <errorID>73286972-234e-4a02-9199-6bf417fce924</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20B30B16</paraID>
      <start>0</start>
      <end>2</end>
      <status>unmodified</status>
      <modifiedWord/>
      <trackRevisions>false</trackRevisions>
    </reviewItem>
    <reviewItem>
      <errorID>88b57a61-fa1e-46a3-87b8-3110317b3e53</errorID>
      <errorWord>、以及</errorWord>
      <group>L1_Punc</group>
      <groupName>标点问题</groupName>
      <ability>L2_Punc_CN</ability>
      <abilityName>标点符号问题</abilityName>
      <candidateList>
        <item>，以及</item>
      </candidateList>
      <explain>连接词前后不宜使用顿号，建议使用逗号。</explain>
      <paraID>5BFECE25</paraID>
      <start>63</start>
      <end>66</end>
      <status>modified</status>
      <modifiedWord>，以及</modifiedWord>
      <trackRevisions>false</trackRevisions>
    </reviewItem>
    <reviewItem>
      <errorID>93f88064-51a1-4d97-bbc1-4b1387112c6f</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301A0CB3</paraID>
      <start>0</start>
      <end>2</end>
      <status>unmodified</status>
      <modifiedWord/>
      <trackRevisions>false</trackRevisions>
    </reviewItem>
    <reviewItem>
      <errorID>2c160e56-606c-4796-9df3-f4bcf95cb751</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47504C39</paraID>
      <start>0</start>
      <end>2</end>
      <status>unmodified</status>
      <modifiedWord/>
      <trackRevisions>false</trackRevisions>
    </reviewItem>
    <reviewItem>
      <errorID>3e6176b6-f835-4e5f-afd9-b926904cb88d</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6C1E77C2</paraID>
      <start>0</start>
      <end>2</end>
      <status>unmodified</status>
      <modifiedWord/>
      <trackRevisions>false</trackRevisions>
    </reviewItem>
    <reviewItem>
      <errorID>fbc5aaa5-a1d5-4187-b953-de408dcfd20e</errorID>
      <errorWord>查看到</errorWord>
      <group>L1_Word</group>
      <groupName>字词问题</groupName>
      <ability>L2_Typo</ability>
      <abilityName>字词错误</abilityName>
      <candidateList>
        <item>查看</item>
      </candidateList>
      <explain>〈动〉检查、观察（事物的情况）：～灾情｜亲自到现场～。</explain>
      <paraID> DA25099</paraID>
      <start>14</start>
      <end>16</end>
      <status>modified</status>
      <modifiedWord>查看</modifiedWord>
      <trackRevisions>false</trackRevisions>
    </reviewItem>
    <reviewItem>
      <errorID>11664b5e-6de7-4841-b9e0-e1112ca99d05</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52976526</paraID>
      <start>0</start>
      <end>3</end>
      <status>unmodified</status>
      <modifiedWord/>
      <trackRevisions>false</trackRevisions>
    </reviewItem>
    <reviewItem>
      <errorID>640f7f58-1271-417a-961b-71a97f3cc1bc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5370987A</paraID>
      <start>0</start>
      <end>2</end>
      <status>unmodified</status>
      <modifiedWord/>
      <trackRevisions>false</trackRevisions>
    </reviewItem>
    <reviewItem>
      <errorID>b9960f66-fe03-40cc-8778-30b790838cc0</errorID>
      <errorWord>格式刷</errorWord>
      <group>L1_Word</group>
      <groupName>字词问题</groupName>
      <ability>L2_Typo</ability>
      <abilityName>字词错误</abilityName>
      <candidateList>
        <item>格式化</item>
      </candidateList>
      <explain/>
      <paraID> 4BC2C20</paraID>
      <start>60</start>
      <end>63</end>
      <status>unmodified</status>
      <modifiedWord/>
      <trackRevisions>false</trackRevisions>
    </reviewItem>
    <reviewItem>
      <errorID>492fe8b4-969e-49f6-aa81-5e66f789a616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5FD3A854</paraID>
      <start>0</start>
      <end>2</end>
      <status>unmodified</status>
      <modifiedWord/>
      <trackRevisions>false</trackRevisions>
    </reviewItem>
    <reviewItem>
      <errorID>5203d59c-99c3-41d7-8205-6b936fb6a902</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1513B2D9</paraID>
      <start>0</start>
      <end>2</end>
      <status>unmodified</status>
      <modifiedWord/>
      <trackRevisions>false</trackRevisions>
    </reviewItem>
    <reviewItem>
      <errorID>1d1359ad-da83-4a3c-a9fc-db8b80137437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2D3F34DC</paraID>
      <start>0</start>
      <end>2</end>
      <status>unmodified</status>
      <modifiedWord/>
      <trackRevisions>false</trackRevisions>
    </reviewItem>
    <reviewItem>
      <errorID>54cf3e42-4c9d-4214-9dbf-282feab6c5af</errorID>
      <errorWord>，</errorWord>
      <group>L1_Word</group>
      <groupName>字词问题</groupName>
      <ability>L2_Typo</ability>
      <abilityName>字词错误</abilityName>
      <candidateList>
        <item>，包</item>
      </candidateList>
      <explain/>
      <paraID>2D3F34DC</paraID>
      <start>22</start>
      <end>24</end>
      <status>modified</status>
      <modifiedWord>，包</modifiedWord>
      <trackRevisions>false</trackRevisions>
    </reviewItem>
    <reviewItem>
      <errorID>83a74c04-7d10-4a8c-bf61-c48b912bb665</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67F20922</paraID>
      <start>0</start>
      <end>2</end>
      <status>unmodified</status>
      <modifiedWord/>
      <trackRevisions>false</trackRevisions>
    </reviewItem>
    <reviewItem>
      <errorID>ac9d6766-2e6d-4260-84fa-255506c70374</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67F20B</paraID>
      <start>0</start>
      <end>2</end>
      <status>unmodified</status>
      <modifiedWord/>
      <trackRevisions>false</trackRevisions>
    </reviewItem>
    <reviewItem>
      <errorID>a38f6314-5129-4bff-b0e0-721408c7e05b</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548E0FCC</paraID>
      <start>0</start>
      <end>2</end>
      <status>unmodified</status>
      <modifiedWord/>
      <trackRevisions>false</trackRevisions>
    </reviewItem>
    <reviewItem>
      <errorID>4ca32a92-aa61-4c18-98be-14f07adbd11f</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46080DBD</paraID>
      <start>0</start>
      <end>2</end>
      <status>unmodified</status>
      <modifiedWord/>
      <trackRevisions>false</trackRevisions>
    </reviewItem>
    <reviewItem>
      <errorID>e6a231a4-e048-487b-9d83-eae757e5c3b8</errorID>
      <errorWord>；</errorWord>
      <group>L1_Word</group>
      <groupName>字词问题</groupName>
      <ability>L2_Typo</ability>
      <abilityName>字词错误</abilityName>
      <candidateList>
        <item>；包</item>
      </candidateList>
      <explain/>
      <paraID>46080DBD</paraID>
      <start>30</start>
      <end>32</end>
      <status>modified</status>
      <modifiedWord>；包</modifiedWord>
      <trackRevisions>false</trackRevisions>
    </reviewItem>
    <reviewItem>
      <errorID>98dd5b0a-636f-4454-a4fb-b90f20d317d5</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23370E2D</paraID>
      <start>0</start>
      <end>2</end>
      <status>unmodified</status>
      <modifiedWord/>
      <trackRevisions>false</trackRevisions>
    </reviewItem>
    <reviewItem>
      <errorID>4e546d3e-e58f-4b1d-b2ab-a3e3a7d4e31a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673FFF60</paraID>
      <start>0</start>
      <end>2</end>
      <status>unmodified</status>
      <modifiedWord/>
      <trackRevisions>false</trackRevisions>
    </reviewItem>
    <reviewItem>
      <errorID>2bebd0bf-a169-4662-88b1-04116d9eeca9</errorID>
      <errorWord>等</errorWord>
      <group>L1_Word</group>
      <groupName>字词问题</groupName>
      <ability>L2_Typo</ability>
      <abilityName>字词错误</abilityName>
      <candidateList>
        <item>的</item>
      </candidateList>
      <explain>“的”常用于连接修饰语与名词性中心语，表示属性、所属或描述。</explain>
      <paraID> 53ACC0F</paraID>
      <start>13</start>
      <end>14</end>
      <status>unmodified</status>
      <modifiedWord/>
      <trackRevisions>false</trackRevisions>
    </reviewItem>
    <reviewItem>
      <errorID>aae69e7d-bcc8-48b8-8b59-2d15293e378a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43482A45</paraID>
      <start>0</start>
      <end>2</end>
      <status>unmodified</status>
      <modifiedWord/>
      <trackRevisions>false</trackRevisions>
    </reviewItem>
    <reviewItem>
      <errorID>37dc147d-cab7-4efb-b4d4-28e7edd64673</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428A839D</paraID>
      <start>0</start>
      <end>2</end>
      <status>unmodified</status>
      <modifiedWord/>
      <trackRevisions>false</trackRevisions>
    </reviewItem>
    <reviewItem>
      <errorID>101cf39e-4e20-4e83-b37e-7063c60f0170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56E8031D</paraID>
      <start>0</start>
      <end>2</end>
      <status>unmodified</status>
      <modifiedWord/>
      <trackRevisions>false</trackRevisions>
    </reviewItem>
    <reviewItem>
      <errorID>f4718d1d-933f-43dc-aa82-c86f2c1ed1b6</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1DCC4AA6</paraID>
      <start>0</start>
      <end>2</end>
      <status>unmodified</status>
      <modifiedWord/>
      <trackRevisions>false</trackRevisions>
    </reviewItem>
    <reviewItem>
      <errorID>c5637bc7-0378-4ab2-85a8-6d2969ca024b</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41589759</paraID>
      <start>0</start>
      <end>2</end>
      <status>unmodified</status>
      <modifiedWord/>
      <trackRevisions>false</trackRevisions>
    </reviewItem>
    <reviewItem>
      <errorID>9e6768df-0da4-4df3-af96-a32016c493fa</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7EB31163</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96bf18a-8499-4c75-b6c5-05cc591ce463}">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17</Pages>
  <Words>6355</Words>
  <Characters>6577</Characters>
  <Lines>133</Lines>
  <Paragraphs>161</Paragraphs>
  <TotalTime>1</TotalTime>
  <ScaleCrop>false</ScaleCrop>
  <LinksUpToDate>false</LinksUpToDate>
  <CharactersWithSpaces>6580</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2026-02-05T02:57:00Z</dcterms:created>
  <dc:creator>HP</dc:creator>
  <cp:lastModifiedBy>仲杰</cp:lastModifiedBy>
  <dcterms:modified xsi:type="dcterms:W3CDTF">2026-06-05T06:36:47Z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KSOTemplateDocerSaveRecord">
    <vt:lpwstr>eyJoZGlkIjoiMjQzMjJjYTEzYzEzMjVjOGIxYWQwMTc0ZTUwZGE2YjIiLCJ1c2VySWQiOiIyOTgyOTgyOTEifQ==</vt:lpwstr>
  </property>
  <property fmtid="{D5CDD505-2E9C-101B-9397-08002B2CF9AE}" pid="4" name="ICV">
    <vt:lpwstr>2BFD31D5F3FB4B709DBC969892577809_12</vt:lpwstr>
  </property>
</Properties>
</file>