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5AB87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6CE94D8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41258F9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9A69450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《邮轮旅游学》教材出版服务</w:t>
      </w:r>
    </w:p>
    <w:p w14:paraId="025CA2C2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18BC1A9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bookmarkStart w:id="7" w:name="_GoBack"/>
      <w:bookmarkEnd w:id="7"/>
    </w:p>
    <w:p w14:paraId="1D264B8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13320DD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HFBX2026099</w:t>
      </w:r>
    </w:p>
    <w:p w14:paraId="3DFAB83B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D45DFA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4A7EDC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375D649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336A69E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48DE48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3CEEE44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35195A68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3C8A495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十月</w:t>
      </w:r>
    </w:p>
    <w:p w14:paraId="667DD7A8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21678F2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747E1A93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1516972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08755A57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HFBX2026099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33240B8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《邮轮旅游学》教材出版服务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57DCF6B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4F652B54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人民币12万元；</w:t>
      </w:r>
    </w:p>
    <w:p w14:paraId="380D7E2C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本项目为《邮轮旅游学》教材出版服务采购项目。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拟采取比选方式实施采购。（具体要求详见比选文件—第二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采购需求）。</w:t>
      </w:r>
    </w:p>
    <w:p w14:paraId="12A61AE0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服务期限：教材初稿提交后一年内完成正式出版，配套上线数字资源。</w:t>
      </w:r>
    </w:p>
    <w:p w14:paraId="4F089CE3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付款方式：合同签订后一个月内，甲方向乙方支付合同款项。合同内全部款项均以“银行转账”方式予以支付。</w:t>
      </w:r>
    </w:p>
    <w:p w14:paraId="623C23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二、报价人的资格要求</w:t>
      </w:r>
    </w:p>
    <w:p w14:paraId="3763DE2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542DCBD3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2、供应商未被列入“信用中国”网站（www.creditchina.gov.cn）失信执行人名单、重大税收违法案件当事人名单，和中国政府采购网（www.ccgp.gov.cn）政府严重违法失信行为记录名单的供应商。</w:t>
      </w:r>
    </w:p>
    <w:p w14:paraId="03FE15C8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。</w:t>
      </w:r>
    </w:p>
    <w:p w14:paraId="155DA4FA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2419228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3BEA527F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2CC0FD93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3825FB5F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4627CC4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不组织</w:t>
      </w:r>
    </w:p>
    <w:p w14:paraId="4325F21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71D6101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21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下午12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45D873A4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项目编号+公司名称</w:t>
      </w:r>
    </w:p>
    <w:p w14:paraId="383608CF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42BCFA4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5AF9CAB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565716F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1724A5EC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3BACFE51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李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38282430</w:t>
      </w:r>
    </w:p>
    <w:p w14:paraId="6F1956B3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F8DFEC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60243FDC">
      <w:pPr>
        <w:spacing w:line="480" w:lineRule="auto"/>
        <w:ind w:left="0" w:leftChars="0" w:firstLine="0" w:firstLineChars="0"/>
        <w:rPr>
          <w:rFonts w:hint="default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一、服务要求</w:t>
      </w:r>
    </w:p>
    <w:p w14:paraId="3A1030D2">
      <w:pPr>
        <w:spacing w:line="480" w:lineRule="auto"/>
        <w:ind w:firstLine="440" w:firstLineChars="20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本项目为《邮轮旅游学》教材出版服务采购项目。中标供应商须具备合法有效的图书出版资质，承接本教材全流程出版服务，主要包括教材编写指导、书稿加工审校、设计排版、出版实施，以及配套数字资源上线、运维、学习数据采集与管理等工作。本</w:t>
      </w:r>
      <w:bookmarkStart w:id="4" w:name="OLE_LINK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教材预计字数 300 千字，采用 16 开成书规格（成品尺寸 185×260mm）；正文采用 70g 胶版纸双色印刷，封面采用 250g 铜版纸四色印刷并覆亚光膜。</w:t>
      </w:r>
      <w:bookmarkEnd w:id="4"/>
    </w:p>
    <w:p w14:paraId="70036321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二</w:t>
      </w: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  <w:t>、技术要求</w:t>
      </w:r>
    </w:p>
    <w:p w14:paraId="754979BB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1）教材内容编写指导：提供教材格式规范、体例结构要求，并对数字配套资源内容编写进行培训和指导。</w:t>
      </w:r>
    </w:p>
    <w:p w14:paraId="412A26BE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（2）教材书稿加工审校：完成预审稿件、资源审核、书稿三审三校，确保编校质量符合国家出版规范。</w:t>
      </w:r>
    </w:p>
    <w:p w14:paraId="6D9027A5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（3）教材设计排版：完成正文设计与排版、绘图、封面设计，符合教材出版和教学使用要求。</w:t>
      </w:r>
    </w:p>
    <w:p w14:paraId="7D0D65F3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（4）教材出版：成书为16 开（成品尺寸185×260mm）；正文采用 70g 胶版纸双色印刷，封面采用 250g 铜版纸四色印刷并覆亚光膜。教材正式出版，并公开发行。</w:t>
      </w:r>
    </w:p>
    <w:p w14:paraId="445C65EF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（5）数字资源建设：通过出版机构自有平台或其他第三方平台，提供文字、图片、视频等教材配套数字资源上传及展示，支持二维码配套资源关联。</w:t>
      </w:r>
    </w:p>
    <w:p w14:paraId="69D924CA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）教材正式出版后10年内为质保期。</w:t>
      </w:r>
    </w:p>
    <w:p w14:paraId="02A06A7B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7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）</w:t>
      </w:r>
      <w:bookmarkStart w:id="5" w:name="OLE_LINK5"/>
      <w:bookmarkStart w:id="6" w:name="OLE_LINK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质保期内提供数字配套资源平台运行维护、资源更新、学习数据收集与管理等支持。</w:t>
      </w:r>
    </w:p>
    <w:p w14:paraId="30FC9BC1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8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）教材用户可通过属地服务团队、电话、QQ等方式进行意见反馈和联络，出版服务机构应即时做出响应并解决问题。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br w:type="textWrapping"/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9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</w:rPr>
        <w:t>）如平台升级、资源调整，应保证已上线数字资源可正常使用，并做好数据延续和安全保密。</w:t>
      </w:r>
    </w:p>
    <w:bookmarkEnd w:id="5"/>
    <w:bookmarkEnd w:id="6"/>
    <w:tbl>
      <w:tblPr>
        <w:tblStyle w:val="1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443"/>
        <w:gridCol w:w="1339"/>
        <w:gridCol w:w="4368"/>
        <w:gridCol w:w="1975"/>
      </w:tblGrid>
      <w:tr w14:paraId="7EBDB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18" w:type="pct"/>
            <w:vAlign w:val="center"/>
          </w:tcPr>
          <w:p w14:paraId="6A988CD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724" w:type="pct"/>
            <w:vAlign w:val="center"/>
          </w:tcPr>
          <w:p w14:paraId="1B1E64E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672" w:type="pct"/>
            <w:vAlign w:val="center"/>
          </w:tcPr>
          <w:p w14:paraId="03F3095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是否核心指标</w:t>
            </w:r>
          </w:p>
        </w:tc>
        <w:tc>
          <w:tcPr>
            <w:tcW w:w="2192" w:type="pct"/>
            <w:vAlign w:val="center"/>
          </w:tcPr>
          <w:p w14:paraId="15D42D3D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991" w:type="pct"/>
            <w:vAlign w:val="center"/>
          </w:tcPr>
          <w:p w14:paraId="7A2C3174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是否需要</w:t>
            </w:r>
          </w:p>
          <w:p w14:paraId="0021E9C6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4C022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418" w:type="pct"/>
            <w:vAlign w:val="center"/>
          </w:tcPr>
          <w:p w14:paraId="1F6C8D92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724" w:type="pct"/>
            <w:vAlign w:val="center"/>
          </w:tcPr>
          <w:p w14:paraId="4869E473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出版资质</w:t>
            </w:r>
          </w:p>
        </w:tc>
        <w:tc>
          <w:tcPr>
            <w:tcW w:w="672" w:type="pct"/>
            <w:vAlign w:val="center"/>
          </w:tcPr>
          <w:p w14:paraId="21F00A3A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192" w:type="pct"/>
            <w:vAlign w:val="center"/>
          </w:tcPr>
          <w:p w14:paraId="219D73E2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具备合法有效的图书出版资质</w:t>
            </w:r>
          </w:p>
        </w:tc>
        <w:tc>
          <w:tcPr>
            <w:tcW w:w="991" w:type="pct"/>
            <w:vAlign w:val="center"/>
          </w:tcPr>
          <w:p w14:paraId="66FCBDD0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5FBCA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18" w:type="pct"/>
            <w:vAlign w:val="center"/>
          </w:tcPr>
          <w:p w14:paraId="68F91994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724" w:type="pct"/>
            <w:vAlign w:val="center"/>
          </w:tcPr>
          <w:p w14:paraId="7BDD8786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数字资源建设能力</w:t>
            </w:r>
          </w:p>
        </w:tc>
        <w:tc>
          <w:tcPr>
            <w:tcW w:w="672" w:type="pct"/>
            <w:vAlign w:val="center"/>
          </w:tcPr>
          <w:p w14:paraId="5330D82C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  <w:tc>
          <w:tcPr>
            <w:tcW w:w="2192" w:type="pct"/>
            <w:vAlign w:val="center"/>
          </w:tcPr>
          <w:p w14:paraId="4FBB80F4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平台支持文字、图片、视频等资源上传及展示；支持二维码关联配套资源；支持使用者学习数据收集与管理。</w:t>
            </w:r>
          </w:p>
        </w:tc>
        <w:tc>
          <w:tcPr>
            <w:tcW w:w="991" w:type="pct"/>
            <w:vAlign w:val="center"/>
          </w:tcPr>
          <w:p w14:paraId="22199F6D">
            <w:pPr>
              <w:adjustRightInd w:val="0"/>
              <w:snapToGrid w:val="0"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</w:tbl>
    <w:p w14:paraId="6E4D88D5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</w:pPr>
    </w:p>
    <w:p w14:paraId="3C5353CB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二</w:t>
      </w: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</w:rPr>
        <w:t>、</w:t>
      </w:r>
      <w:r>
        <w:rPr>
          <w:rFonts w:hint="eastAsia" w:ascii="方正兰亭黑简体" w:hAnsi="方正兰亭黑简体" w:eastAsia="方正兰亭黑简体" w:cs="方正兰亭黑简体"/>
          <w:b/>
          <w:color w:val="auto"/>
          <w:sz w:val="22"/>
          <w:szCs w:val="22"/>
          <w:highlight w:val="none"/>
          <w:lang w:val="en-US" w:eastAsia="zh-CN"/>
        </w:rPr>
        <w:t>其他要求</w:t>
      </w:r>
    </w:p>
    <w:p w14:paraId="02FBEE16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1.质保期内提供数字配套资源平台运行维护、资源更新、学习数据收集与管理等支持。</w:t>
      </w:r>
    </w:p>
    <w:p w14:paraId="564ECC3C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2.通过属地服务团队、电话、QQ等方式进行意见反馈和联络，出版服务机构应及时做出响应并解决问题。</w:t>
      </w:r>
    </w:p>
    <w:p w14:paraId="7D9E6FDE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3.如平台升级、资源调整，应保证已上线数字资源可正常使用，并做好数据延续和安全保密。</w:t>
      </w:r>
    </w:p>
    <w:p w14:paraId="59256B12">
      <w:pPr>
        <w:spacing w:line="480" w:lineRule="auto"/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val="en-US" w:eastAsia="zh-CN"/>
        </w:rPr>
        <w:t>4.履约验收：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2"/>
          <w:highlight w:val="none"/>
          <w:lang w:eastAsia="zh-CN"/>
        </w:rPr>
        <w:t>教材正式出版，配套数字资源正式上线。</w:t>
      </w:r>
    </w:p>
    <w:p w14:paraId="28B15506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1C7DD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0937332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278615BC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14BE77B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4E8D2425">
      <w:pPr>
        <w:numPr>
          <w:ilvl w:val="0"/>
          <w:numId w:val="1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330"/>
        <w:gridCol w:w="723"/>
        <w:gridCol w:w="7229"/>
      </w:tblGrid>
      <w:tr w14:paraId="550F2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30" w:type="pct"/>
            <w:noWrap w:val="0"/>
            <w:vAlign w:val="center"/>
          </w:tcPr>
          <w:p w14:paraId="5D3BAD45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669" w:type="pct"/>
            <w:noWrap w:val="0"/>
            <w:vAlign w:val="center"/>
          </w:tcPr>
          <w:p w14:paraId="7286A60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64" w:type="pct"/>
            <w:noWrap w:val="0"/>
            <w:vAlign w:val="center"/>
          </w:tcPr>
          <w:p w14:paraId="3E3C49D2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635" w:type="pct"/>
            <w:noWrap w:val="0"/>
            <w:vAlign w:val="center"/>
          </w:tcPr>
          <w:p w14:paraId="28CBF36C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7E165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02526B4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5FE3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" w:type="pct"/>
            <w:noWrap w:val="0"/>
            <w:vAlign w:val="center"/>
          </w:tcPr>
          <w:p w14:paraId="2D9A3F79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669" w:type="pct"/>
            <w:noWrap w:val="0"/>
            <w:vAlign w:val="center"/>
          </w:tcPr>
          <w:p w14:paraId="1317399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78EB4E8E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69C8EFF9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635" w:type="pct"/>
            <w:noWrap w:val="0"/>
            <w:vAlign w:val="center"/>
          </w:tcPr>
          <w:p w14:paraId="5D22C77E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比选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文件要求且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最低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的报价为基准价，其价格分为满分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分。其他报价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单位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的报价得分计算公式如下：报价得分＝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×（评标基准价/投标报价）。</w:t>
            </w:r>
          </w:p>
        </w:tc>
      </w:tr>
      <w:tr w14:paraId="06D83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648CFC43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技术部分</w:t>
            </w:r>
          </w:p>
        </w:tc>
      </w:tr>
      <w:tr w14:paraId="79F1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330" w:type="pct"/>
            <w:noWrap w:val="0"/>
            <w:vAlign w:val="center"/>
          </w:tcPr>
          <w:p w14:paraId="1444A120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669" w:type="pct"/>
            <w:noWrap w:val="0"/>
            <w:vAlign w:val="center"/>
          </w:tcPr>
          <w:p w14:paraId="52900A31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106948B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08BF2C07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20</w:t>
            </w:r>
          </w:p>
        </w:tc>
        <w:tc>
          <w:tcPr>
            <w:tcW w:w="3635" w:type="pct"/>
            <w:noWrap w:val="0"/>
            <w:vAlign w:val="center"/>
          </w:tcPr>
          <w:p w14:paraId="7DB4A9C1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提供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近3年（合同签订日期自202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年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月1日起至今）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业绩案例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。（每提供1个得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分；最高得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分）注：需提供相关业绩的合同复印件，否则将不予认可。</w:t>
            </w:r>
          </w:p>
        </w:tc>
      </w:tr>
      <w:tr w14:paraId="1654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330" w:type="pct"/>
            <w:noWrap w:val="0"/>
            <w:vAlign w:val="center"/>
          </w:tcPr>
          <w:p w14:paraId="4AFAAC8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669" w:type="pct"/>
            <w:noWrap w:val="0"/>
            <w:vAlign w:val="center"/>
          </w:tcPr>
          <w:p w14:paraId="1F13E8A9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服务响应程度</w:t>
            </w:r>
          </w:p>
          <w:p w14:paraId="4BB4B710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客观分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64256426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3635" w:type="pct"/>
            <w:noWrap w:val="0"/>
            <w:vAlign w:val="center"/>
          </w:tcPr>
          <w:p w14:paraId="4BEC5A1D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章中的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采购需求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：不满足技术条款的，每项扣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分；扣完为止。</w:t>
            </w:r>
          </w:p>
        </w:tc>
      </w:tr>
      <w:tr w14:paraId="785A0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  <w:jc w:val="center"/>
        </w:trPr>
        <w:tc>
          <w:tcPr>
            <w:tcW w:w="330" w:type="pct"/>
            <w:noWrap w:val="0"/>
            <w:vAlign w:val="center"/>
          </w:tcPr>
          <w:p w14:paraId="389700CC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66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302707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zh-CN"/>
              </w:rPr>
              <w:t>服务方案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整体质量</w:t>
            </w:r>
          </w:p>
          <w:p w14:paraId="67739AD6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1B720BCD">
            <w:pPr>
              <w:spacing w:line="240" w:lineRule="auto"/>
              <w:jc w:val="center"/>
              <w:rPr>
                <w:rFonts w:hint="default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3635" w:type="pct"/>
            <w:noWrap w:val="0"/>
            <w:vAlign w:val="center"/>
          </w:tcPr>
          <w:p w14:paraId="269FB724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优秀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21～30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分）：方案整体质量高，方案合理可行性强，响应措施及时高效，项目进度安排紧凑合理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02B92E8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11～20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分）：方案整体质量较好，响应措施尚可，方案个别细节有待进一步完善。</w:t>
            </w:r>
          </w:p>
          <w:p w14:paraId="68DD044B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6～10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分）：方案整体质量一般，合理性与可行性一般，存在风险但总体可控的。</w:t>
            </w:r>
          </w:p>
          <w:p w14:paraId="69BB609E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分）：方案整体质量较差，与项目实际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契合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度低的。</w:t>
            </w:r>
          </w:p>
        </w:tc>
      </w:tr>
      <w:tr w14:paraId="6EF46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330" w:type="pct"/>
            <w:noWrap w:val="0"/>
            <w:vAlign w:val="center"/>
          </w:tcPr>
          <w:p w14:paraId="2E6D0F54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669" w:type="pct"/>
            <w:noWrap w:val="0"/>
            <w:vAlign w:val="center"/>
          </w:tcPr>
          <w:p w14:paraId="3A91E5E8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服务承诺</w:t>
            </w:r>
          </w:p>
          <w:p w14:paraId="4B0D91AE">
            <w:pPr>
              <w:pStyle w:val="13"/>
              <w:jc w:val="lef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主观分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）</w:t>
            </w:r>
          </w:p>
        </w:tc>
        <w:tc>
          <w:tcPr>
            <w:tcW w:w="364" w:type="pct"/>
            <w:noWrap w:val="0"/>
            <w:vAlign w:val="center"/>
          </w:tcPr>
          <w:p w14:paraId="37E0ACED">
            <w:pPr>
              <w:spacing w:line="24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0</w:t>
            </w:r>
          </w:p>
        </w:tc>
        <w:tc>
          <w:tcPr>
            <w:tcW w:w="3635" w:type="pct"/>
            <w:noWrap w:val="0"/>
            <w:vAlign w:val="top"/>
          </w:tcPr>
          <w:p w14:paraId="78DDA27A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16～20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分）：服务承诺等合理可行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。</w:t>
            </w:r>
          </w:p>
          <w:p w14:paraId="20F9E110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11～15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分）：服务承诺等比较合理。</w:t>
            </w:r>
          </w:p>
          <w:p w14:paraId="544678D9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6～10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分）：服务承诺等合理性与可行性一般。</w:t>
            </w:r>
          </w:p>
          <w:p w14:paraId="19345D0F">
            <w:pPr>
              <w:spacing w:line="24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  <w:t>～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分）：服务承诺等合理性与可行性较差。</w:t>
            </w:r>
          </w:p>
        </w:tc>
      </w:tr>
    </w:tbl>
    <w:p w14:paraId="1CA2E981">
      <w:pP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br w:type="page"/>
      </w:r>
    </w:p>
    <w:p w14:paraId="663493F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072BF1C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2D236505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45AEF399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7BB19B04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项目编号：HFBX2026099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5098D96E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BFDF33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680E0AE0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 公司地址：</w:t>
      </w:r>
    </w:p>
    <w:p w14:paraId="7455227A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 联系人手机：</w:t>
      </w:r>
    </w:p>
    <w:tbl>
      <w:tblPr>
        <w:tblStyle w:val="14"/>
        <w:tblW w:w="4987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12"/>
        <w:gridCol w:w="3725"/>
        <w:gridCol w:w="2195"/>
        <w:gridCol w:w="3239"/>
      </w:tblGrid>
      <w:tr w14:paraId="177E81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313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3B0C784F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序号</w:t>
            </w:r>
          </w:p>
        </w:tc>
        <w:tc>
          <w:tcPr>
            <w:tcW w:w="190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20F5A86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项目名称</w:t>
            </w:r>
          </w:p>
        </w:tc>
        <w:tc>
          <w:tcPr>
            <w:tcW w:w="1123" w:type="pct"/>
            <w:tcBorders>
              <w:top w:val="single" w:color="auto" w:sz="12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79AE2DA4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项目报价（元）</w:t>
            </w:r>
          </w:p>
        </w:tc>
        <w:tc>
          <w:tcPr>
            <w:tcW w:w="1656" w:type="pct"/>
            <w:tcBorders>
              <w:top w:val="single" w:color="auto" w:sz="12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548B8277">
            <w:pPr>
              <w:tabs>
                <w:tab w:val="left" w:pos="7020"/>
              </w:tabs>
              <w:jc w:val="center"/>
              <w:rPr>
                <w:rFonts w:hint="default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0425F7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5" w:hRule="exact"/>
        </w:trPr>
        <w:tc>
          <w:tcPr>
            <w:tcW w:w="313" w:type="pct"/>
            <w:tcBorders>
              <w:top w:val="double" w:color="auto" w:sz="4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351B528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1</w:t>
            </w:r>
          </w:p>
        </w:tc>
        <w:tc>
          <w:tcPr>
            <w:tcW w:w="1906" w:type="pct"/>
            <w:tcBorders>
              <w:top w:val="double" w:color="auto" w:sz="4" w:space="0"/>
              <w:bottom w:val="double" w:color="auto" w:sz="4" w:space="0"/>
            </w:tcBorders>
            <w:noWrap w:val="0"/>
            <w:vAlign w:val="center"/>
          </w:tcPr>
          <w:p w14:paraId="1CA25C5D">
            <w:pPr>
              <w:tabs>
                <w:tab w:val="left" w:pos="7020"/>
              </w:tabs>
              <w:jc w:val="center"/>
              <w:rPr>
                <w:rFonts w:hint="eastAsia" w:ascii="黑体" w:hAnsi="黑体" w:eastAsia="黑体" w:cs="Times New Roman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《邮轮旅游学》教材出版服务</w:t>
            </w:r>
          </w:p>
        </w:tc>
        <w:tc>
          <w:tcPr>
            <w:tcW w:w="1123" w:type="pct"/>
            <w:tcBorders>
              <w:top w:val="double" w:color="auto" w:sz="4" w:space="0"/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683B8279">
            <w:pPr>
              <w:tabs>
                <w:tab w:val="left" w:pos="7020"/>
              </w:tabs>
              <w:jc w:val="center"/>
              <w:rPr>
                <w:rFonts w:hint="default"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1656" w:type="pct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59FC2646">
            <w:pPr>
              <w:tabs>
                <w:tab w:val="left" w:pos="7020"/>
              </w:tabs>
              <w:jc w:val="left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  <w:lang w:val="en-US" w:eastAsia="zh-CN"/>
              </w:rPr>
              <w:t>我方承诺教材初稿提交后一年内完成正式出版，配套上线数字资源。</w:t>
            </w:r>
          </w:p>
        </w:tc>
      </w:tr>
      <w:tr w14:paraId="1CA6EA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2219" w:type="pct"/>
            <w:gridSpan w:val="2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6BF97B73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合计金额（人民币）</w:t>
            </w:r>
          </w:p>
        </w:tc>
        <w:tc>
          <w:tcPr>
            <w:tcW w:w="2780" w:type="pct"/>
            <w:gridSpan w:val="2"/>
            <w:tcBorders>
              <w:top w:val="doub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9495D27">
            <w:pPr>
              <w:tabs>
                <w:tab w:val="left" w:pos="7020"/>
              </w:tabs>
              <w:jc w:val="center"/>
              <w:rPr>
                <w:rFonts w:ascii="黑体" w:hAnsi="黑体" w:eastAsia="黑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  <w:highlight w:val="none"/>
              </w:rPr>
              <w:t>￥           （大写）：</w:t>
            </w:r>
          </w:p>
        </w:tc>
      </w:tr>
    </w:tbl>
    <w:p w14:paraId="1C59554B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</w:p>
    <w:p w14:paraId="4E6DEF86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 委托代理人（签字）：        报价日期：      年    月   日</w:t>
      </w:r>
    </w:p>
    <w:p w14:paraId="3521D5F3">
      <w:pPr>
        <w:spacing w:line="440" w:lineRule="exact"/>
        <w:rPr>
          <w:rFonts w:hint="eastAsia" w:ascii="黑体" w:hAnsi="华文楷体" w:eastAsia="黑体"/>
          <w:color w:val="auto"/>
          <w:sz w:val="24"/>
          <w:highlight w:val="none"/>
        </w:rPr>
      </w:pPr>
    </w:p>
    <w:p w14:paraId="2704D247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2288A381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1AFED50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31F38354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27CB306A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70860339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3CD5784B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7762930C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做如下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7DE3ED52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39218CC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0822A94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53C09CC6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3B32B3D2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7AA78471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63B9A2A2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5CB4A1A6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2715914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28996ECE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514F5205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5D058068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CC64665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2AAA9F5B">
      <w:pPr>
        <w:pStyle w:val="5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5000B26D">
      <w:pPr>
        <w:pStyle w:val="5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685F803F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2EAE18FA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69C98E01">
      <w:pPr>
        <w:pStyle w:val="4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4806A05F"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51721E8F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2、出版许可资质证明</w:t>
      </w:r>
    </w:p>
    <w:p w14:paraId="360182C8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3、图书出版方案</w:t>
      </w:r>
    </w:p>
    <w:p w14:paraId="1E1F7F11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</w:t>
      </w: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服务保障承诺</w:t>
      </w:r>
    </w:p>
    <w:p w14:paraId="5B169855"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</w:t>
      </w: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6677AC76"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E5A575-B0B7-4784-B41C-0ABBEC2080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楷体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85FEBB1-C025-4D31-B01A-007FB7FE9A21}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D694CFD-B312-4674-90D4-5E4E0CF5DA19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9425F3C4-8D8D-4D7A-86BF-5568FC6635F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4796F727-8368-454A-82DC-2088B095B4A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1731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0F138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0F138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D2EBEB"/>
    <w:multiLevelType w:val="singleLevel"/>
    <w:tmpl w:val="E8D2EBE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75436"/>
    <w:rsid w:val="029C08D4"/>
    <w:rsid w:val="13353790"/>
    <w:rsid w:val="157E6317"/>
    <w:rsid w:val="19F06820"/>
    <w:rsid w:val="1E596D71"/>
    <w:rsid w:val="21C07B72"/>
    <w:rsid w:val="24050543"/>
    <w:rsid w:val="269F2B16"/>
    <w:rsid w:val="2FB07FD7"/>
    <w:rsid w:val="33B3033B"/>
    <w:rsid w:val="35906085"/>
    <w:rsid w:val="3A9852E0"/>
    <w:rsid w:val="3D6469F5"/>
    <w:rsid w:val="3FCC680A"/>
    <w:rsid w:val="3FDF48A5"/>
    <w:rsid w:val="3FFFB797"/>
    <w:rsid w:val="40115E5B"/>
    <w:rsid w:val="40134FEB"/>
    <w:rsid w:val="41007DAA"/>
    <w:rsid w:val="438704B0"/>
    <w:rsid w:val="480A63EB"/>
    <w:rsid w:val="487158D1"/>
    <w:rsid w:val="488E3B06"/>
    <w:rsid w:val="4CCA439B"/>
    <w:rsid w:val="4EFD134C"/>
    <w:rsid w:val="4F7BABF8"/>
    <w:rsid w:val="543D6D6A"/>
    <w:rsid w:val="56D12025"/>
    <w:rsid w:val="58C4549A"/>
    <w:rsid w:val="59380E3F"/>
    <w:rsid w:val="5AEA704B"/>
    <w:rsid w:val="5B9363AF"/>
    <w:rsid w:val="5DF2219B"/>
    <w:rsid w:val="5E8720EC"/>
    <w:rsid w:val="5EE9209B"/>
    <w:rsid w:val="5F44384A"/>
    <w:rsid w:val="60BF2A71"/>
    <w:rsid w:val="66E533C4"/>
    <w:rsid w:val="681A51E0"/>
    <w:rsid w:val="695E3370"/>
    <w:rsid w:val="699D5EE7"/>
    <w:rsid w:val="6B99520C"/>
    <w:rsid w:val="79311F78"/>
    <w:rsid w:val="7CFA5264"/>
    <w:rsid w:val="7EF812D2"/>
    <w:rsid w:val="8EFF8CDF"/>
    <w:rsid w:val="CFE32CE1"/>
    <w:rsid w:val="E7C33543"/>
    <w:rsid w:val="FFEB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  <w:rPr>
      <w:kern w:val="0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Body Text Indent 2"/>
    <w:basedOn w:val="1"/>
    <w:unhideWhenUsed/>
    <w:qFormat/>
    <w:uiPriority w:val="0"/>
    <w:pPr>
      <w:ind w:firstLine="540"/>
    </w:pPr>
    <w:rPr>
      <w:rFonts w:ascii="Calibri" w:hAnsi="Calibri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0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1">
    <w:name w:val="Body Text 2"/>
    <w:basedOn w:val="1"/>
    <w:qFormat/>
    <w:uiPriority w:val="0"/>
    <w:pPr>
      <w:spacing w:after="120" w:line="480" w:lineRule="auto"/>
    </w:pPr>
    <w:rPr>
      <w:szCs w:val="24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3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table" w:customStyle="1" w:styleId="2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表格正文内容"/>
    <w:basedOn w:val="1"/>
    <w:next w:val="1"/>
    <w:autoRedefine/>
    <w:qFormat/>
    <w:uiPriority w:val="0"/>
    <w:pPr>
      <w:widowControl/>
      <w:spacing w:line="360" w:lineRule="exact"/>
      <w:jc w:val="left"/>
    </w:pPr>
    <w:rPr>
      <w:rFonts w:ascii="楷体_GB2312" w:hAnsi="方正小标宋简体" w:eastAsia="仿宋_GB2312" w:cs="仿宋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3173</Words>
  <Characters>3371</Characters>
  <Lines>0</Lines>
  <Paragraphs>0</Paragraphs>
  <TotalTime>12</TotalTime>
  <ScaleCrop>false</ScaleCrop>
  <LinksUpToDate>false</LinksUpToDate>
  <CharactersWithSpaces>3677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2025-04-03T13:09:00Z</dcterms:created>
  <dc:creator>HP</dc:creator>
  <cp:lastModifiedBy>仲杰</cp:lastModifiedBy>
  <dcterms:modified xsi:type="dcterms:W3CDTF">2026-10-12T13:59:06Z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