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C6A561">
      <w:pPr>
        <w:jc w:val="center"/>
        <w:rPr>
          <w:rFonts w:hint="eastAsia" w:ascii="方正兰亭黑简体" w:hAnsi="方正兰亭黑简体" w:eastAsia="方正兰亭黑简体" w:cs="方正兰亭黑简体"/>
          <w:b/>
          <w:bCs/>
          <w:color w:val="auto"/>
          <w:sz w:val="28"/>
          <w:szCs w:val="36"/>
          <w:highlight w:val="none"/>
          <w:lang w:val="en-US" w:eastAsia="zh-CN"/>
        </w:rPr>
      </w:pPr>
    </w:p>
    <w:p w14:paraId="05F143FD">
      <w:pPr>
        <w:jc w:val="center"/>
        <w:rPr>
          <w:rFonts w:hint="eastAsia" w:ascii="方正兰亭黑简体" w:hAnsi="方正兰亭黑简体" w:eastAsia="方正兰亭黑简体" w:cs="方正兰亭黑简体"/>
          <w:b/>
          <w:bCs/>
          <w:color w:val="auto"/>
          <w:sz w:val="28"/>
          <w:szCs w:val="36"/>
          <w:highlight w:val="none"/>
          <w:lang w:val="en-US" w:eastAsia="zh-CN"/>
        </w:rPr>
      </w:pPr>
    </w:p>
    <w:p w14:paraId="7C29A4C3">
      <w:pPr>
        <w:jc w:val="center"/>
        <w:rPr>
          <w:rFonts w:hint="eastAsia" w:ascii="方正兰亭黑简体" w:hAnsi="方正兰亭黑简体" w:eastAsia="方正兰亭黑简体" w:cs="方正兰亭黑简体"/>
          <w:b/>
          <w:bCs/>
          <w:color w:val="auto"/>
          <w:sz w:val="28"/>
          <w:szCs w:val="36"/>
          <w:highlight w:val="none"/>
          <w:lang w:val="en-US" w:eastAsia="zh-CN"/>
        </w:rPr>
      </w:pPr>
    </w:p>
    <w:p w14:paraId="75D3CC17">
      <w:pPr>
        <w:jc w:val="center"/>
        <w:rPr>
          <w:rFonts w:hint="default" w:ascii="方正兰亭黑简体" w:hAnsi="方正兰亭黑简体" w:eastAsia="方正兰亭黑简体" w:cs="方正兰亭黑简体"/>
          <w:b/>
          <w:bCs/>
          <w:color w:val="auto"/>
          <w:sz w:val="28"/>
          <w:szCs w:val="28"/>
          <w:highlight w:val="none"/>
          <w:lang w:val="en-US" w:eastAsia="zh-CN"/>
        </w:rPr>
      </w:pPr>
      <w:r>
        <w:rPr>
          <w:rFonts w:hint="eastAsia" w:ascii="方正兰亭黑简体" w:hAnsi="方正兰亭黑简体" w:eastAsia="方正兰亭黑简体" w:cs="方正兰亭黑简体"/>
          <w:b/>
          <w:bCs/>
          <w:color w:val="auto"/>
          <w:sz w:val="28"/>
          <w:szCs w:val="28"/>
          <w:highlight w:val="none"/>
          <w:lang w:val="en-US" w:eastAsia="zh-CN"/>
        </w:rPr>
        <w:t>信息工程学院报告厅高清显示系统</w:t>
      </w:r>
      <w:bookmarkStart w:id="6" w:name="_GoBack"/>
      <w:bookmarkEnd w:id="6"/>
    </w:p>
    <w:p w14:paraId="3A6F3C59">
      <w:pPr>
        <w:jc w:val="center"/>
        <w:rPr>
          <w:rFonts w:hint="default" w:ascii="方正兰亭黑简体" w:hAnsi="方正兰亭黑简体" w:eastAsia="方正兰亭黑简体" w:cs="方正兰亭黑简体"/>
          <w:b/>
          <w:bCs/>
          <w:color w:val="auto"/>
          <w:sz w:val="28"/>
          <w:szCs w:val="28"/>
          <w:highlight w:val="none"/>
          <w:lang w:val="en-US" w:eastAsia="zh-CN"/>
        </w:rPr>
      </w:pPr>
      <w:r>
        <w:rPr>
          <w:rFonts w:hint="eastAsia" w:ascii="方正兰亭黑简体" w:hAnsi="方正兰亭黑简体" w:eastAsia="方正兰亭黑简体" w:cs="方正兰亭黑简体"/>
          <w:b/>
          <w:bCs/>
          <w:color w:val="auto"/>
          <w:sz w:val="28"/>
          <w:szCs w:val="28"/>
          <w:highlight w:val="none"/>
          <w:lang w:val="en-US" w:eastAsia="zh-CN"/>
        </w:rPr>
        <w:t>比选文件</w:t>
      </w:r>
    </w:p>
    <w:p w14:paraId="746E0DD5">
      <w:pPr>
        <w:jc w:val="center"/>
        <w:rPr>
          <w:rFonts w:hint="default" w:ascii="方正兰亭黑简体" w:hAnsi="方正兰亭黑简体" w:eastAsia="方正兰亭黑简体" w:cs="方正兰亭黑简体"/>
          <w:b/>
          <w:bCs/>
          <w:color w:val="auto"/>
          <w:sz w:val="28"/>
          <w:szCs w:val="28"/>
          <w:highlight w:val="none"/>
          <w:lang w:val="en-US" w:eastAsia="zh-CN"/>
        </w:rPr>
      </w:pPr>
    </w:p>
    <w:p w14:paraId="7F5B1C2D">
      <w:pPr>
        <w:jc w:val="center"/>
        <w:rPr>
          <w:rFonts w:hint="default" w:ascii="方正兰亭黑简体" w:hAnsi="方正兰亭黑简体" w:eastAsia="方正兰亭黑简体" w:cs="方正兰亭黑简体"/>
          <w:b/>
          <w:bCs/>
          <w:color w:val="auto"/>
          <w:sz w:val="28"/>
          <w:szCs w:val="28"/>
          <w:highlight w:val="none"/>
          <w:lang w:val="en-US" w:eastAsia="zh-CN"/>
        </w:rPr>
      </w:pPr>
    </w:p>
    <w:p w14:paraId="0B84232F">
      <w:pPr>
        <w:jc w:val="center"/>
        <w:rPr>
          <w:rFonts w:hint="default" w:ascii="方正兰亭黑简体" w:hAnsi="方正兰亭黑简体" w:eastAsia="方正兰亭黑简体" w:cs="方正兰亭黑简体"/>
          <w:b/>
          <w:bCs/>
          <w:color w:val="auto"/>
          <w:sz w:val="28"/>
          <w:szCs w:val="28"/>
          <w:highlight w:val="none"/>
          <w:lang w:val="en-US" w:eastAsia="zh-CN"/>
        </w:rPr>
      </w:pPr>
      <w:r>
        <w:rPr>
          <w:rFonts w:hint="eastAsia" w:ascii="方正兰亭黑简体" w:hAnsi="方正兰亭黑简体" w:eastAsia="方正兰亭黑简体" w:cs="方正兰亭黑简体"/>
          <w:b/>
          <w:bCs/>
          <w:color w:val="auto"/>
          <w:sz w:val="28"/>
          <w:szCs w:val="28"/>
          <w:highlight w:val="none"/>
          <w:lang w:val="en-US" w:eastAsia="zh-CN"/>
        </w:rPr>
        <w:t>项目编号：</w:t>
      </w:r>
      <w:r>
        <w:rPr>
          <w:rFonts w:hint="eastAsia" w:ascii="方正兰亭黑简体" w:hAnsi="方正兰亭黑简体" w:eastAsia="方正兰亭黑简体" w:cs="方正兰亭黑简体"/>
          <w:color w:val="auto"/>
          <w:sz w:val="28"/>
          <w:szCs w:val="28"/>
          <w:highlight w:val="none"/>
          <w:lang w:val="en-US" w:eastAsia="zh-CN"/>
        </w:rPr>
        <w:t>HFBX2026108</w:t>
      </w:r>
    </w:p>
    <w:p w14:paraId="43E1A511">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564BAADD">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1CBECD87">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77AEA8DD">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6AFBFE6C">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18A2CE08">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69F671C1">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0E2559B5">
      <w:pPr>
        <w:jc w:val="center"/>
        <w:rPr>
          <w:rFonts w:hint="eastAsia"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采购人：上海海事大学</w:t>
      </w:r>
    </w:p>
    <w:p w14:paraId="64BB9721">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二〇二六年</w:t>
      </w:r>
      <w:r>
        <w:rPr>
          <w:rFonts w:hint="eastAsia" w:ascii="方正兰亭黑简体" w:hAnsi="方正兰亭黑简体" w:eastAsia="方正兰亭黑简体" w:cs="方正兰亭黑简体"/>
          <w:b/>
          <w:bCs/>
          <w:color w:val="auto"/>
          <w:sz w:val="24"/>
          <w:szCs w:val="32"/>
          <w:highlight w:val="none"/>
          <w:lang w:val="en-US" w:eastAsia="zh-CN"/>
        </w:rPr>
        <w:t>十</w:t>
      </w:r>
      <w:r>
        <w:rPr>
          <w:rFonts w:hint="eastAsia" w:ascii="方正兰亭黑简体" w:hAnsi="方正兰亭黑简体" w:eastAsia="方正兰亭黑简体" w:cs="方正兰亭黑简体"/>
          <w:b/>
          <w:bCs/>
          <w:color w:val="auto"/>
          <w:sz w:val="24"/>
          <w:szCs w:val="32"/>
          <w:highlight w:val="none"/>
          <w:lang w:val="en-US" w:eastAsia="zh-CN"/>
        </w:rPr>
        <w:t>月</w:t>
      </w:r>
    </w:p>
    <w:p w14:paraId="4258C5C0">
      <w:pPr>
        <w:rPr>
          <w:rFonts w:hint="eastAsia"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br w:type="page"/>
      </w:r>
    </w:p>
    <w:p w14:paraId="5637B82A">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第一章 比选公告</w:t>
      </w:r>
    </w:p>
    <w:p w14:paraId="54E46ED1">
      <w:pPr>
        <w:ind w:firstLine="440" w:firstLineChars="200"/>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为公开、公正、公平地做好各项货物与服务的采购工作，进一步提高采购过程的透明度，有利于我校选择性价比更高的产品及更优质的服务，欢迎各供应单位本着务实友好的工作态度，积极参与，并做好成本核算，进行一次性报价。我校将本着公开、公正、公平的工作原则，对各供应单位所提供的资料，进行综合评议，择优选购。为确保本次比选采购项目采购工作的顺利开展，请各报价单位按照下述要求提供报价单等相关资料。具体要求及相关注意事项如下：</w:t>
      </w:r>
    </w:p>
    <w:p w14:paraId="5694D68E">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一、项目基本情况</w:t>
      </w:r>
    </w:p>
    <w:p w14:paraId="6ED9240D">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项目编号：</w:t>
      </w:r>
      <w:r>
        <w:rPr>
          <w:rFonts w:hint="eastAsia" w:ascii="方正兰亭黑简体" w:hAnsi="方正兰亭黑简体" w:eastAsia="方正兰亭黑简体" w:cs="方正兰亭黑简体"/>
          <w:color w:val="auto"/>
          <w:sz w:val="22"/>
          <w:szCs w:val="28"/>
          <w:highlight w:val="none"/>
          <w:lang w:val="en-US" w:eastAsia="zh-CN"/>
        </w:rPr>
        <w:t>HFBX2026108</w:t>
      </w:r>
      <w:r>
        <w:rPr>
          <w:rFonts w:hint="eastAsia" w:ascii="方正兰亭黑简体" w:hAnsi="方正兰亭黑简体" w:eastAsia="方正兰亭黑简体" w:cs="方正兰亭黑简体"/>
          <w:color w:val="auto"/>
          <w:sz w:val="22"/>
          <w:szCs w:val="28"/>
          <w:highlight w:val="none"/>
          <w:lang w:val="en-US" w:eastAsia="zh-CN"/>
        </w:rPr>
        <w:t>；</w:t>
      </w:r>
    </w:p>
    <w:p w14:paraId="40680CD9">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项目名称：</w:t>
      </w:r>
      <w:r>
        <w:rPr>
          <w:rFonts w:hint="eastAsia" w:ascii="方正兰亭黑简体" w:hAnsi="方正兰亭黑简体" w:eastAsia="方正兰亭黑简体" w:cs="方正兰亭黑简体"/>
          <w:color w:val="auto"/>
          <w:sz w:val="22"/>
          <w:szCs w:val="28"/>
          <w:highlight w:val="none"/>
          <w:lang w:val="en-US" w:eastAsia="zh-CN"/>
        </w:rPr>
        <w:t>信息工程学院报告厅高清显示系统</w:t>
      </w:r>
      <w:r>
        <w:rPr>
          <w:rFonts w:hint="eastAsia" w:ascii="方正兰亭黑简体" w:hAnsi="方正兰亭黑简体" w:eastAsia="方正兰亭黑简体" w:cs="方正兰亭黑简体"/>
          <w:color w:val="auto"/>
          <w:sz w:val="22"/>
          <w:szCs w:val="28"/>
          <w:highlight w:val="none"/>
          <w:lang w:val="en-US" w:eastAsia="zh-CN"/>
        </w:rPr>
        <w:t>；</w:t>
      </w:r>
    </w:p>
    <w:p w14:paraId="49D3EF92">
      <w:pPr>
        <w:jc w:val="left"/>
        <w:rPr>
          <w:rFonts w:hint="eastAsia" w:ascii="方正兰亭黑简体" w:hAnsi="方正兰亭黑简体" w:eastAsia="方正兰亭黑简体" w:cs="方正兰亭黑简体"/>
          <w:color w:val="auto"/>
          <w:sz w:val="22"/>
          <w:szCs w:val="28"/>
          <w:highlight w:val="none"/>
          <w:lang w:eastAsia="zh-CN"/>
        </w:rPr>
      </w:pPr>
      <w:r>
        <w:rPr>
          <w:rFonts w:hint="eastAsia" w:ascii="方正兰亭黑简体" w:hAnsi="方正兰亭黑简体" w:eastAsia="方正兰亭黑简体" w:cs="方正兰亭黑简体"/>
          <w:color w:val="auto"/>
          <w:sz w:val="22"/>
          <w:szCs w:val="28"/>
          <w:highlight w:val="none"/>
        </w:rPr>
        <w:t>采购方式：</w:t>
      </w:r>
      <w:r>
        <w:rPr>
          <w:rFonts w:hint="eastAsia" w:ascii="方正兰亭黑简体" w:hAnsi="方正兰亭黑简体" w:eastAsia="方正兰亭黑简体" w:cs="方正兰亭黑简体"/>
          <w:color w:val="auto"/>
          <w:sz w:val="22"/>
          <w:szCs w:val="28"/>
          <w:highlight w:val="none"/>
          <w:lang w:val="en-US" w:eastAsia="zh-CN"/>
        </w:rPr>
        <w:t>学校</w:t>
      </w:r>
      <w:r>
        <w:rPr>
          <w:rFonts w:hint="eastAsia" w:ascii="方正兰亭黑简体" w:hAnsi="方正兰亭黑简体" w:eastAsia="方正兰亭黑简体" w:cs="方正兰亭黑简体"/>
          <w:color w:val="auto"/>
          <w:sz w:val="22"/>
          <w:szCs w:val="28"/>
          <w:highlight w:val="none"/>
        </w:rPr>
        <w:t>比选</w:t>
      </w:r>
      <w:r>
        <w:rPr>
          <w:rFonts w:hint="eastAsia" w:ascii="方正兰亭黑简体" w:hAnsi="方正兰亭黑简体" w:eastAsia="方正兰亭黑简体" w:cs="方正兰亭黑简体"/>
          <w:color w:val="auto"/>
          <w:sz w:val="22"/>
          <w:szCs w:val="28"/>
          <w:highlight w:val="none"/>
          <w:lang w:eastAsia="zh-CN"/>
        </w:rPr>
        <w:t>；</w:t>
      </w:r>
    </w:p>
    <w:p w14:paraId="11D14FFE">
      <w:pPr>
        <w:jc w:val="left"/>
        <w:rPr>
          <w:rFonts w:hint="eastAsia" w:ascii="方正兰亭黑简体" w:hAnsi="方正兰亭黑简体" w:eastAsia="方正兰亭黑简体" w:cs="方正兰亭黑简体"/>
          <w:color w:val="auto"/>
          <w:sz w:val="22"/>
          <w:szCs w:val="28"/>
          <w:highlight w:val="none"/>
          <w:lang w:eastAsia="zh-CN"/>
        </w:rPr>
      </w:pPr>
      <w:r>
        <w:rPr>
          <w:rFonts w:hint="eastAsia" w:ascii="方正兰亭黑简体" w:hAnsi="方正兰亭黑简体" w:eastAsia="方正兰亭黑简体" w:cs="方正兰亭黑简体"/>
          <w:color w:val="auto"/>
          <w:sz w:val="22"/>
          <w:szCs w:val="28"/>
          <w:highlight w:val="none"/>
        </w:rPr>
        <w:t>预算金额（亦是最高限价）：</w:t>
      </w:r>
      <w:r>
        <w:rPr>
          <w:rFonts w:hint="eastAsia" w:ascii="方正兰亭黑简体" w:hAnsi="方正兰亭黑简体" w:eastAsia="方正兰亭黑简体" w:cs="方正兰亭黑简体"/>
          <w:color w:val="auto"/>
          <w:sz w:val="22"/>
          <w:szCs w:val="28"/>
          <w:highlight w:val="none"/>
        </w:rPr>
        <w:t>人民币</w:t>
      </w:r>
      <w:r>
        <w:rPr>
          <w:rFonts w:hint="eastAsia" w:ascii="方正兰亭黑简体" w:hAnsi="方正兰亭黑简体" w:eastAsia="方正兰亭黑简体" w:cs="方正兰亭黑简体"/>
          <w:color w:val="auto"/>
          <w:sz w:val="22"/>
          <w:szCs w:val="28"/>
          <w:highlight w:val="none"/>
          <w:lang w:val="en-US" w:eastAsia="zh-CN"/>
        </w:rPr>
        <w:t>12.5</w:t>
      </w:r>
      <w:r>
        <w:rPr>
          <w:rFonts w:hint="eastAsia" w:ascii="方正兰亭黑简体" w:hAnsi="方正兰亭黑简体" w:eastAsia="方正兰亭黑简体" w:cs="方正兰亭黑简体"/>
          <w:color w:val="auto"/>
          <w:sz w:val="22"/>
          <w:szCs w:val="28"/>
          <w:highlight w:val="none"/>
        </w:rPr>
        <w:t>万元</w:t>
      </w:r>
      <w:r>
        <w:rPr>
          <w:rFonts w:hint="eastAsia" w:ascii="方正兰亭黑简体" w:hAnsi="方正兰亭黑简体" w:eastAsia="方正兰亭黑简体" w:cs="方正兰亭黑简体"/>
          <w:color w:val="auto"/>
          <w:sz w:val="22"/>
          <w:szCs w:val="28"/>
          <w:highlight w:val="none"/>
          <w:lang w:eastAsia="zh-CN"/>
        </w:rPr>
        <w:t>；</w:t>
      </w:r>
    </w:p>
    <w:p w14:paraId="192657F0">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采购需求：</w:t>
      </w:r>
      <w:r>
        <w:rPr>
          <w:rFonts w:hint="eastAsia" w:ascii="方正兰亭黑简体" w:hAnsi="方正兰亭黑简体" w:eastAsia="方正兰亭黑简体" w:cs="方正兰亭黑简体"/>
          <w:color w:val="auto"/>
          <w:sz w:val="22"/>
          <w:szCs w:val="28"/>
          <w:highlight w:val="none"/>
          <w:lang w:val="en-US" w:eastAsia="zh-CN"/>
        </w:rPr>
        <w:t>本项目拟采购一套高清显示系统（含显示屏、配套控制系统、结构框架、线缆等），用于替换原有老旧显示设备。项目建成后，系统可稳定、清晰展示PPT、科研图表、视频、远程连线画面，适配全院大会、学术报告、学生活动等多场景应用。</w:t>
      </w:r>
      <w:r>
        <w:rPr>
          <w:rFonts w:hint="eastAsia" w:ascii="方正兰亭黑简体" w:hAnsi="方正兰亭黑简体" w:eastAsia="方正兰亭黑简体" w:cs="方正兰亭黑简体"/>
          <w:color w:val="auto"/>
          <w:sz w:val="22"/>
          <w:szCs w:val="28"/>
          <w:highlight w:val="none"/>
          <w:lang w:val="en-US" w:eastAsia="zh-CN"/>
        </w:rPr>
        <w:t>（具体</w:t>
      </w:r>
      <w:r>
        <w:rPr>
          <w:rFonts w:hint="eastAsia" w:ascii="方正兰亭黑简体" w:hAnsi="方正兰亭黑简体" w:eastAsia="方正兰亭黑简体" w:cs="方正兰亭黑简体"/>
          <w:color w:val="auto"/>
          <w:sz w:val="22"/>
          <w:szCs w:val="28"/>
          <w:highlight w:val="none"/>
        </w:rPr>
        <w:t>要求详见比选文件—第二</w:t>
      </w:r>
      <w:r>
        <w:rPr>
          <w:rFonts w:hint="eastAsia" w:ascii="方正兰亭黑简体" w:hAnsi="方正兰亭黑简体" w:eastAsia="方正兰亭黑简体" w:cs="方正兰亭黑简体"/>
          <w:color w:val="auto"/>
          <w:sz w:val="22"/>
          <w:szCs w:val="28"/>
          <w:highlight w:val="none"/>
          <w:lang w:val="en-US" w:eastAsia="zh-CN"/>
        </w:rPr>
        <w:t>章节</w:t>
      </w:r>
      <w:r>
        <w:rPr>
          <w:rFonts w:hint="eastAsia" w:ascii="方正兰亭黑简体" w:hAnsi="方正兰亭黑简体" w:eastAsia="方正兰亭黑简体" w:cs="方正兰亭黑简体"/>
          <w:color w:val="auto"/>
          <w:sz w:val="22"/>
          <w:szCs w:val="28"/>
          <w:highlight w:val="none"/>
        </w:rPr>
        <w:t>采购需求）</w:t>
      </w:r>
    </w:p>
    <w:p w14:paraId="07A4D9AA">
      <w:pPr>
        <w:jc w:val="left"/>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交付地址：</w:t>
      </w:r>
      <w:r>
        <w:rPr>
          <w:rFonts w:hint="eastAsia" w:ascii="方正兰亭黑简体" w:hAnsi="方正兰亭黑简体" w:eastAsia="方正兰亭黑简体" w:cs="方正兰亭黑简体"/>
          <w:color w:val="auto"/>
          <w:sz w:val="22"/>
          <w:szCs w:val="28"/>
          <w:highlight w:val="none"/>
          <w:lang w:val="en-US" w:eastAsia="zh-CN"/>
        </w:rPr>
        <w:t>上海海事大学信息工程学院235报告厅。</w:t>
      </w:r>
    </w:p>
    <w:p w14:paraId="78083A22">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交付时间：</w:t>
      </w:r>
      <w:r>
        <w:rPr>
          <w:rFonts w:hint="eastAsia" w:ascii="方正兰亭黑简体" w:hAnsi="方正兰亭黑简体" w:eastAsia="方正兰亭黑简体" w:cs="方正兰亭黑简体"/>
          <w:color w:val="auto"/>
          <w:sz w:val="22"/>
          <w:szCs w:val="28"/>
          <w:highlight w:val="none"/>
          <w:lang w:val="en-US" w:eastAsia="zh-CN"/>
        </w:rPr>
        <w:t>合同签订后15个日历天内完成设备送货、安装、整体调试，达到验收条件。</w:t>
      </w:r>
    </w:p>
    <w:p w14:paraId="7C9B2074">
      <w:pPr>
        <w:jc w:val="left"/>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质保期限：</w:t>
      </w:r>
      <w:r>
        <w:rPr>
          <w:rFonts w:hint="eastAsia" w:ascii="方正兰亭黑简体" w:hAnsi="方正兰亭黑简体" w:eastAsia="方正兰亭黑简体" w:cs="方正兰亭黑简体"/>
          <w:color w:val="auto"/>
          <w:sz w:val="22"/>
          <w:szCs w:val="28"/>
          <w:highlight w:val="none"/>
          <w:lang w:val="en-US" w:eastAsia="zh-CN"/>
        </w:rPr>
        <w:t>质保期不少于5年，自项目验收合格之日起计算。</w:t>
      </w:r>
    </w:p>
    <w:p w14:paraId="27BDE804">
      <w:pPr>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付款方式：</w:t>
      </w:r>
      <w:r>
        <w:rPr>
          <w:rFonts w:hint="eastAsia" w:ascii="方正兰亭黑简体" w:hAnsi="方正兰亭黑简体" w:eastAsia="方正兰亭黑简体" w:cs="方正兰亭黑简体"/>
          <w:color w:val="auto"/>
          <w:sz w:val="22"/>
          <w:szCs w:val="28"/>
          <w:highlight w:val="none"/>
          <w:lang w:val="en-US" w:eastAsia="zh-CN"/>
        </w:rPr>
        <w:t>项目整体完成</w:t>
      </w:r>
      <w:r>
        <w:rPr>
          <w:rFonts w:hint="eastAsia" w:ascii="方正兰亭黑简体" w:hAnsi="方正兰亭黑简体" w:eastAsia="方正兰亭黑简体" w:cs="方正兰亭黑简体"/>
          <w:color w:val="auto"/>
          <w:sz w:val="22"/>
          <w:szCs w:val="28"/>
          <w:highlight w:val="none"/>
        </w:rPr>
        <w:t>经甲方验收合格后</w:t>
      </w:r>
      <w:r>
        <w:rPr>
          <w:rFonts w:hint="eastAsia" w:ascii="方正兰亭黑简体" w:hAnsi="方正兰亭黑简体" w:eastAsia="方正兰亭黑简体" w:cs="方正兰亭黑简体"/>
          <w:color w:val="auto"/>
          <w:sz w:val="22"/>
          <w:szCs w:val="28"/>
          <w:highlight w:val="none"/>
          <w:lang w:val="en-US" w:eastAsia="zh-CN"/>
        </w:rPr>
        <w:t>的10个工作日</w:t>
      </w:r>
      <w:r>
        <w:rPr>
          <w:rFonts w:hint="eastAsia" w:ascii="方正兰亭黑简体" w:hAnsi="方正兰亭黑简体" w:eastAsia="方正兰亭黑简体" w:cs="方正兰亭黑简体"/>
          <w:color w:val="auto"/>
          <w:sz w:val="22"/>
          <w:szCs w:val="28"/>
          <w:highlight w:val="none"/>
        </w:rPr>
        <w:t>内，</w:t>
      </w:r>
      <w:r>
        <w:rPr>
          <w:rFonts w:hint="eastAsia" w:ascii="方正兰亭黑简体" w:hAnsi="方正兰亭黑简体" w:eastAsia="方正兰亭黑简体" w:cs="方正兰亭黑简体"/>
          <w:color w:val="auto"/>
          <w:sz w:val="22"/>
          <w:szCs w:val="28"/>
          <w:highlight w:val="none"/>
          <w:lang w:val="en-US" w:eastAsia="zh-CN"/>
        </w:rPr>
        <w:t>甲方支付合同全款</w:t>
      </w:r>
      <w:r>
        <w:rPr>
          <w:rFonts w:hint="eastAsia" w:ascii="方正兰亭黑简体" w:hAnsi="方正兰亭黑简体" w:eastAsia="方正兰亭黑简体" w:cs="方正兰亭黑简体"/>
          <w:color w:val="auto"/>
          <w:sz w:val="22"/>
          <w:szCs w:val="28"/>
          <w:highlight w:val="none"/>
        </w:rPr>
        <w:t>。合同内全部款项均以“银行转账”方式予以支付。</w:t>
      </w:r>
    </w:p>
    <w:p w14:paraId="41BEA8D1">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二、</w:t>
      </w:r>
      <w:r>
        <w:rPr>
          <w:rFonts w:hint="eastAsia" w:ascii="方正兰亭黑简体" w:hAnsi="方正兰亭黑简体" w:eastAsia="方正兰亭黑简体" w:cs="方正兰亭黑简体"/>
          <w:b/>
          <w:bCs/>
          <w:color w:val="auto"/>
          <w:sz w:val="22"/>
          <w:szCs w:val="28"/>
          <w:highlight w:val="none"/>
          <w:lang w:val="en-US" w:eastAsia="zh-CN"/>
        </w:rPr>
        <w:t>报价</w:t>
      </w:r>
      <w:r>
        <w:rPr>
          <w:rFonts w:hint="eastAsia" w:ascii="方正兰亭黑简体" w:hAnsi="方正兰亭黑简体" w:eastAsia="方正兰亭黑简体" w:cs="方正兰亭黑简体"/>
          <w:b/>
          <w:bCs/>
          <w:color w:val="auto"/>
          <w:sz w:val="22"/>
          <w:szCs w:val="28"/>
          <w:highlight w:val="none"/>
        </w:rPr>
        <w:t>人的资格要求</w:t>
      </w:r>
    </w:p>
    <w:p w14:paraId="022E8766">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1、符合</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中华人民共和国</w:t>
      </w:r>
      <w:r>
        <w:rPr>
          <w:rFonts w:hint="eastAsia" w:ascii="方正兰亭黑简体" w:hAnsi="方正兰亭黑简体" w:eastAsia="方正兰亭黑简体" w:cs="方正兰亭黑简体"/>
          <w:color w:val="auto"/>
          <w:sz w:val="22"/>
          <w:szCs w:val="28"/>
          <w:highlight w:val="none"/>
        </w:rPr>
        <w:t>政府采购法</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rPr>
        <w:t>第二十二条之供应商资格规定。</w:t>
      </w:r>
    </w:p>
    <w:p w14:paraId="6441606B">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2、供应商未被列入“信用中国”网站（www.creditchina.gov.cn）失信执行人名单、重大税收违法案件当事人名单和中国政府采购网（www.ccgp.gov.cn）政府严重违法失信行为记录名单的供应商。</w:t>
      </w:r>
    </w:p>
    <w:p w14:paraId="3A3BF07A">
      <w:pPr>
        <w:jc w:val="left"/>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3、</w:t>
      </w:r>
      <w:r>
        <w:rPr>
          <w:rFonts w:hint="eastAsia" w:ascii="方正兰亭黑简体" w:hAnsi="方正兰亭黑简体" w:eastAsia="方正兰亭黑简体" w:cs="方正兰亭黑简体"/>
          <w:color w:val="auto"/>
          <w:sz w:val="22"/>
          <w:szCs w:val="28"/>
          <w:highlight w:val="none"/>
        </w:rPr>
        <w:t>经营范围及拟投标货物（服务）符合本次比选要求，具有与本次投标货物（服务）相应的经营、代理（经销）资质，能全程参与并完成本项目，且具有较强的服务能力，以及畅通的问题响应机制和渠道等；</w:t>
      </w:r>
    </w:p>
    <w:p w14:paraId="3710B34B">
      <w:pPr>
        <w:jc w:val="left"/>
        <w:rPr>
          <w:rFonts w:hint="eastAsia" w:ascii="方正兰亭黑简体" w:hAnsi="方正兰亭黑简体" w:eastAsia="方正兰亭黑简体" w:cs="方正兰亭黑简体"/>
          <w:b/>
          <w:bCs/>
          <w:color w:val="auto"/>
          <w:sz w:val="22"/>
          <w:szCs w:val="28"/>
          <w:highlight w:val="none"/>
          <w:lang w:val="en-US" w:eastAsia="zh-CN"/>
        </w:rPr>
      </w:pPr>
      <w:r>
        <w:rPr>
          <w:rFonts w:hint="eastAsia" w:ascii="方正兰亭黑简体" w:hAnsi="方正兰亭黑简体" w:eastAsia="方正兰亭黑简体" w:cs="方正兰亭黑简体"/>
          <w:b/>
          <w:bCs/>
          <w:color w:val="auto"/>
          <w:sz w:val="22"/>
          <w:szCs w:val="28"/>
          <w:highlight w:val="none"/>
        </w:rPr>
        <w:t>三、报名</w:t>
      </w:r>
      <w:r>
        <w:rPr>
          <w:rFonts w:hint="eastAsia" w:ascii="方正兰亭黑简体" w:hAnsi="方正兰亭黑简体" w:eastAsia="方正兰亭黑简体" w:cs="方正兰亭黑简体"/>
          <w:b/>
          <w:bCs/>
          <w:color w:val="auto"/>
          <w:sz w:val="22"/>
          <w:szCs w:val="28"/>
          <w:highlight w:val="none"/>
          <w:lang w:val="en-US" w:eastAsia="zh-CN"/>
        </w:rPr>
        <w:t>要求</w:t>
      </w:r>
    </w:p>
    <w:p w14:paraId="04917284">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报名邮箱、时间：不单独组织报名，意向单位可在截止日期前递交响应文件。</w:t>
      </w:r>
    </w:p>
    <w:p w14:paraId="24CD6CDE">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四、获取采购文件</w:t>
      </w:r>
    </w:p>
    <w:p w14:paraId="5050A625">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获取方式：公告页面</w:t>
      </w:r>
      <w:r>
        <w:rPr>
          <w:rFonts w:hint="eastAsia" w:ascii="方正兰亭黑简体" w:hAnsi="方正兰亭黑简体" w:eastAsia="方正兰亭黑简体" w:cs="方正兰亭黑简体"/>
          <w:color w:val="auto"/>
          <w:sz w:val="22"/>
          <w:szCs w:val="28"/>
          <w:highlight w:val="none"/>
          <w:lang w:val="en-US" w:eastAsia="zh-CN"/>
        </w:rPr>
        <w:t>下方自行</w:t>
      </w:r>
      <w:r>
        <w:rPr>
          <w:rFonts w:hint="eastAsia" w:ascii="方正兰亭黑简体" w:hAnsi="方正兰亭黑简体" w:eastAsia="方正兰亭黑简体" w:cs="方正兰亭黑简体"/>
          <w:color w:val="auto"/>
          <w:sz w:val="22"/>
          <w:szCs w:val="28"/>
          <w:highlight w:val="none"/>
        </w:rPr>
        <w:t>下载</w:t>
      </w:r>
    </w:p>
    <w:p w14:paraId="4D745344">
      <w:pPr>
        <w:jc w:val="left"/>
        <w:rPr>
          <w:rFonts w:hint="eastAsia" w:ascii="方正兰亭黑简体" w:hAnsi="方正兰亭黑简体" w:eastAsia="方正兰亭黑简体" w:cs="方正兰亭黑简体"/>
          <w:b/>
          <w:bCs/>
          <w:color w:val="auto"/>
          <w:sz w:val="22"/>
          <w:szCs w:val="28"/>
          <w:highlight w:val="none"/>
        </w:rPr>
      </w:pPr>
      <w:bookmarkStart w:id="0" w:name="_Toc28359005"/>
      <w:r>
        <w:rPr>
          <w:rFonts w:hint="eastAsia" w:ascii="方正兰亭黑简体" w:hAnsi="方正兰亭黑简体" w:eastAsia="方正兰亭黑简体" w:cs="方正兰亭黑简体"/>
          <w:b/>
          <w:bCs/>
          <w:color w:val="auto"/>
          <w:sz w:val="22"/>
          <w:szCs w:val="28"/>
          <w:highlight w:val="none"/>
        </w:rPr>
        <w:t>五、现场踏勘</w:t>
      </w:r>
      <w:bookmarkEnd w:id="0"/>
    </w:p>
    <w:p w14:paraId="2C262256">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不组织。</w:t>
      </w:r>
    </w:p>
    <w:p w14:paraId="213C8131">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lang w:val="en-US" w:eastAsia="zh-CN"/>
        </w:rPr>
        <w:t>六</w:t>
      </w:r>
      <w:r>
        <w:rPr>
          <w:rFonts w:hint="eastAsia" w:ascii="方正兰亭黑简体" w:hAnsi="方正兰亭黑简体" w:eastAsia="方正兰亭黑简体" w:cs="方正兰亭黑简体"/>
          <w:b/>
          <w:bCs/>
          <w:color w:val="auto"/>
          <w:sz w:val="22"/>
          <w:szCs w:val="28"/>
          <w:highlight w:val="none"/>
        </w:rPr>
        <w:t>、响应文件提交</w:t>
      </w:r>
    </w:p>
    <w:p w14:paraId="231DF229">
      <w:pPr>
        <w:jc w:val="left"/>
        <w:rPr>
          <w:rFonts w:hint="eastAsia" w:ascii="方正兰亭黑简体" w:hAnsi="方正兰亭黑简体" w:eastAsia="方正兰亭黑简体" w:cs="方正兰亭黑简体"/>
          <w:color w:val="auto"/>
          <w:sz w:val="22"/>
          <w:szCs w:val="28"/>
          <w:highlight w:val="none"/>
          <w:lang w:eastAsia="zh-CN"/>
        </w:rPr>
      </w:pPr>
      <w:bookmarkStart w:id="1" w:name="_Toc35393795"/>
      <w:bookmarkEnd w:id="1"/>
      <w:bookmarkStart w:id="2" w:name="_Toc35393626"/>
      <w:r>
        <w:rPr>
          <w:rFonts w:hint="eastAsia" w:ascii="方正兰亭黑简体" w:hAnsi="方正兰亭黑简体" w:eastAsia="方正兰亭黑简体" w:cs="方正兰亭黑简体"/>
          <w:color w:val="auto"/>
          <w:sz w:val="22"/>
          <w:szCs w:val="28"/>
          <w:highlight w:val="none"/>
        </w:rPr>
        <w:t>截止</w:t>
      </w:r>
      <w:bookmarkEnd w:id="2"/>
      <w:r>
        <w:rPr>
          <w:rFonts w:hint="eastAsia" w:ascii="方正兰亭黑简体" w:hAnsi="方正兰亭黑简体" w:eastAsia="方正兰亭黑简体" w:cs="方正兰亭黑简体"/>
          <w:color w:val="auto"/>
          <w:sz w:val="22"/>
          <w:szCs w:val="28"/>
          <w:highlight w:val="none"/>
        </w:rPr>
        <w:t>时间：202</w:t>
      </w:r>
      <w:r>
        <w:rPr>
          <w:rFonts w:hint="eastAsia" w:ascii="方正兰亭黑简体" w:hAnsi="方正兰亭黑简体" w:eastAsia="方正兰亭黑简体" w:cs="方正兰亭黑简体"/>
          <w:color w:val="auto"/>
          <w:sz w:val="22"/>
          <w:szCs w:val="28"/>
          <w:highlight w:val="none"/>
          <w:lang w:val="en-US" w:eastAsia="zh-CN"/>
        </w:rPr>
        <w:t>6</w:t>
      </w:r>
      <w:r>
        <w:rPr>
          <w:rFonts w:hint="eastAsia" w:ascii="方正兰亭黑简体" w:hAnsi="方正兰亭黑简体" w:eastAsia="方正兰亭黑简体" w:cs="方正兰亭黑简体"/>
          <w:color w:val="auto"/>
          <w:sz w:val="22"/>
          <w:szCs w:val="28"/>
          <w:highlight w:val="none"/>
        </w:rPr>
        <w:t>年</w:t>
      </w:r>
      <w:r>
        <w:rPr>
          <w:rFonts w:hint="eastAsia" w:ascii="方正兰亭黑简体" w:hAnsi="方正兰亭黑简体" w:eastAsia="方正兰亭黑简体" w:cs="方正兰亭黑简体"/>
          <w:color w:val="auto"/>
          <w:sz w:val="22"/>
          <w:szCs w:val="28"/>
          <w:highlight w:val="none"/>
          <w:lang w:val="en-US" w:eastAsia="zh-CN"/>
        </w:rPr>
        <w:t>11</w:t>
      </w:r>
      <w:r>
        <w:rPr>
          <w:rFonts w:hint="eastAsia" w:ascii="方正兰亭黑简体" w:hAnsi="方正兰亭黑简体" w:eastAsia="方正兰亭黑简体" w:cs="方正兰亭黑简体"/>
          <w:color w:val="auto"/>
          <w:sz w:val="22"/>
          <w:szCs w:val="28"/>
          <w:highlight w:val="none"/>
        </w:rPr>
        <w:t>月</w:t>
      </w:r>
      <w:r>
        <w:rPr>
          <w:rFonts w:hint="eastAsia" w:ascii="方正兰亭黑简体" w:hAnsi="方正兰亭黑简体" w:eastAsia="方正兰亭黑简体" w:cs="方正兰亭黑简体"/>
          <w:color w:val="auto"/>
          <w:sz w:val="22"/>
          <w:szCs w:val="28"/>
          <w:highlight w:val="none"/>
          <w:lang w:val="en-US" w:eastAsia="zh-CN"/>
        </w:rPr>
        <w:t>2</w:t>
      </w:r>
      <w:r>
        <w:rPr>
          <w:rFonts w:hint="eastAsia" w:ascii="方正兰亭黑简体" w:hAnsi="方正兰亭黑简体" w:eastAsia="方正兰亭黑简体" w:cs="方正兰亭黑简体"/>
          <w:color w:val="auto"/>
          <w:sz w:val="22"/>
          <w:szCs w:val="28"/>
          <w:highlight w:val="none"/>
        </w:rPr>
        <w:t>日</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周一</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上午11</w:t>
      </w:r>
      <w:r>
        <w:rPr>
          <w:rFonts w:hint="eastAsia" w:ascii="方正兰亭黑简体" w:hAnsi="方正兰亭黑简体" w:eastAsia="方正兰亭黑简体" w:cs="方正兰亭黑简体"/>
          <w:color w:val="auto"/>
          <w:sz w:val="22"/>
          <w:szCs w:val="28"/>
          <w:highlight w:val="none"/>
        </w:rPr>
        <w:t>时</w:t>
      </w:r>
      <w:r>
        <w:rPr>
          <w:rFonts w:hint="eastAsia" w:ascii="方正兰亭黑简体" w:hAnsi="方正兰亭黑简体" w:eastAsia="方正兰亭黑简体" w:cs="方正兰亭黑简体"/>
          <w:color w:val="auto"/>
          <w:sz w:val="22"/>
          <w:szCs w:val="28"/>
          <w:highlight w:val="none"/>
          <w:lang w:val="en-US" w:eastAsia="zh-CN"/>
        </w:rPr>
        <w:t>00</w:t>
      </w:r>
      <w:r>
        <w:rPr>
          <w:rFonts w:hint="eastAsia" w:ascii="方正兰亭黑简体" w:hAnsi="方正兰亭黑简体" w:eastAsia="方正兰亭黑简体" w:cs="方正兰亭黑简体"/>
          <w:color w:val="auto"/>
          <w:sz w:val="22"/>
          <w:szCs w:val="28"/>
          <w:highlight w:val="none"/>
        </w:rPr>
        <w:t>分</w:t>
      </w:r>
    </w:p>
    <w:p w14:paraId="52EA2719">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提交方式：发送盖章扫描版</w:t>
      </w:r>
      <w:r>
        <w:rPr>
          <w:rFonts w:hint="eastAsia" w:ascii="方正兰亭黑简体" w:hAnsi="方正兰亭黑简体" w:eastAsia="方正兰亭黑简体" w:cs="方正兰亭黑简体"/>
          <w:color w:val="auto"/>
          <w:sz w:val="22"/>
          <w:szCs w:val="28"/>
          <w:highlight w:val="none"/>
          <w:lang w:val="en-US" w:eastAsia="zh-CN"/>
        </w:rPr>
        <w:t>PDF</w:t>
      </w:r>
      <w:r>
        <w:rPr>
          <w:rFonts w:hint="eastAsia" w:ascii="方正兰亭黑简体" w:hAnsi="方正兰亭黑简体" w:eastAsia="方正兰亭黑简体" w:cs="方正兰亭黑简体"/>
          <w:color w:val="auto"/>
          <w:sz w:val="22"/>
          <w:szCs w:val="28"/>
          <w:highlight w:val="none"/>
        </w:rPr>
        <w:t>到指定邮箱</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邮件名称：项目编号+公司名称</w:t>
      </w:r>
    </w:p>
    <w:p w14:paraId="45738F2D">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邮箱地址：</w:t>
      </w:r>
      <w:r>
        <w:rPr>
          <w:rFonts w:hint="eastAsia" w:ascii="方正兰亭黑简体" w:hAnsi="方正兰亭黑简体" w:eastAsia="方正兰亭黑简体" w:cs="方正兰亭黑简体"/>
          <w:color w:val="auto"/>
          <w:sz w:val="22"/>
          <w:szCs w:val="28"/>
          <w:highlight w:val="none"/>
          <w:u w:val="none"/>
        </w:rPr>
        <w:t>quotation@shmtu.edu.cn</w:t>
      </w:r>
    </w:p>
    <w:p w14:paraId="7C16205B">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lang w:val="en-US" w:eastAsia="zh-CN"/>
        </w:rPr>
        <w:t>七</w:t>
      </w:r>
      <w:r>
        <w:rPr>
          <w:rFonts w:hint="eastAsia" w:ascii="方正兰亭黑简体" w:hAnsi="方正兰亭黑简体" w:eastAsia="方正兰亭黑简体" w:cs="方正兰亭黑简体"/>
          <w:b/>
          <w:bCs/>
          <w:color w:val="auto"/>
          <w:sz w:val="22"/>
          <w:szCs w:val="28"/>
          <w:highlight w:val="none"/>
        </w:rPr>
        <w:t>、其他补充事宜</w:t>
      </w:r>
    </w:p>
    <w:p w14:paraId="3C9CF2D2">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1.中标结果将通过发布比选公告的媒介进行公示，公示期</w:t>
      </w:r>
      <w:r>
        <w:rPr>
          <w:rFonts w:hint="eastAsia" w:ascii="方正兰亭黑简体" w:hAnsi="方正兰亭黑简体" w:eastAsia="方正兰亭黑简体" w:cs="方正兰亭黑简体"/>
          <w:color w:val="auto"/>
          <w:sz w:val="22"/>
          <w:szCs w:val="28"/>
          <w:highlight w:val="none"/>
          <w:lang w:val="en-US" w:eastAsia="zh-CN"/>
        </w:rPr>
        <w:t>为1个工作日</w:t>
      </w:r>
      <w:r>
        <w:rPr>
          <w:rFonts w:hint="eastAsia" w:ascii="方正兰亭黑简体" w:hAnsi="方正兰亭黑简体" w:eastAsia="方正兰亭黑简体" w:cs="方正兰亭黑简体"/>
          <w:color w:val="auto"/>
          <w:sz w:val="22"/>
          <w:szCs w:val="28"/>
          <w:highlight w:val="none"/>
        </w:rPr>
        <w:t>，公示期内如对中标结果有异议可向校方提出书面质疑。</w:t>
      </w:r>
      <w:bookmarkStart w:id="3" w:name="_Toc35393627"/>
    </w:p>
    <w:p w14:paraId="17FB2B9E">
      <w:pPr>
        <w:jc w:val="left"/>
        <w:rPr>
          <w:rFonts w:hint="eastAsia" w:ascii="方正兰亭黑简体" w:hAnsi="方正兰亭黑简体" w:eastAsia="方正兰亭黑简体" w:cs="方正兰亭黑简体"/>
          <w:color w:val="auto"/>
          <w:sz w:val="22"/>
          <w:szCs w:val="28"/>
          <w:highlight w:val="none"/>
          <w:lang w:eastAsia="zh-CN"/>
        </w:rPr>
      </w:pPr>
      <w:r>
        <w:rPr>
          <w:rFonts w:hint="eastAsia" w:ascii="方正兰亭黑简体" w:hAnsi="方正兰亭黑简体" w:eastAsia="方正兰亭黑简体" w:cs="方正兰亭黑简体"/>
          <w:color w:val="auto"/>
          <w:sz w:val="22"/>
          <w:szCs w:val="28"/>
          <w:highlight w:val="none"/>
        </w:rPr>
        <w:t>2.</w:t>
      </w:r>
      <w:bookmarkEnd w:id="3"/>
      <w:r>
        <w:rPr>
          <w:rFonts w:hint="eastAsia" w:ascii="方正兰亭黑简体" w:hAnsi="方正兰亭黑简体" w:eastAsia="方正兰亭黑简体" w:cs="方正兰亭黑简体"/>
          <w:color w:val="auto"/>
          <w:sz w:val="22"/>
          <w:szCs w:val="28"/>
          <w:highlight w:val="none"/>
        </w:rPr>
        <w:t>凡对本次采购提出询问，请按以下方式联系</w:t>
      </w:r>
      <w:r>
        <w:rPr>
          <w:rFonts w:hint="eastAsia" w:ascii="方正兰亭黑简体" w:hAnsi="方正兰亭黑简体" w:eastAsia="方正兰亭黑简体" w:cs="方正兰亭黑简体"/>
          <w:color w:val="auto"/>
          <w:sz w:val="22"/>
          <w:szCs w:val="28"/>
          <w:highlight w:val="none"/>
          <w:lang w:eastAsia="zh-CN"/>
        </w:rPr>
        <w:t>：</w:t>
      </w:r>
    </w:p>
    <w:p w14:paraId="53930B0F">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商务信息：</w:t>
      </w:r>
      <w:r>
        <w:rPr>
          <w:rFonts w:hint="eastAsia" w:ascii="方正兰亭黑简体" w:hAnsi="方正兰亭黑简体" w:eastAsia="方正兰亭黑简体" w:cs="方正兰亭黑简体"/>
          <w:color w:val="auto"/>
          <w:sz w:val="22"/>
          <w:szCs w:val="28"/>
          <w:highlight w:val="none"/>
          <w:lang w:val="en-US" w:eastAsia="zh-CN"/>
        </w:rPr>
        <w:t>仲</w:t>
      </w:r>
      <w:r>
        <w:rPr>
          <w:rFonts w:hint="eastAsia" w:ascii="方正兰亭黑简体" w:hAnsi="方正兰亭黑简体" w:eastAsia="方正兰亭黑简体" w:cs="方正兰亭黑简体"/>
          <w:color w:val="auto"/>
          <w:sz w:val="22"/>
          <w:szCs w:val="28"/>
          <w:highlight w:val="none"/>
        </w:rPr>
        <w:t>老师021-3828470</w:t>
      </w:r>
      <w:r>
        <w:rPr>
          <w:rFonts w:hint="eastAsia" w:ascii="方正兰亭黑简体" w:hAnsi="方正兰亭黑简体" w:eastAsia="方正兰亭黑简体" w:cs="方正兰亭黑简体"/>
          <w:color w:val="auto"/>
          <w:sz w:val="22"/>
          <w:szCs w:val="28"/>
          <w:highlight w:val="none"/>
          <w:lang w:val="en-US" w:eastAsia="zh-CN"/>
        </w:rPr>
        <w:t>7</w:t>
      </w:r>
    </w:p>
    <w:p w14:paraId="1CEF1F38">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技术信息：</w:t>
      </w:r>
      <w:r>
        <w:rPr>
          <w:rFonts w:hint="eastAsia" w:ascii="方正兰亭黑简体" w:hAnsi="方正兰亭黑简体" w:eastAsia="方正兰亭黑简体" w:cs="方正兰亭黑简体"/>
          <w:color w:val="auto"/>
          <w:sz w:val="22"/>
          <w:szCs w:val="28"/>
          <w:highlight w:val="none"/>
          <w:lang w:val="en-US" w:eastAsia="zh-CN"/>
        </w:rPr>
        <w:t>张老师021-38282800</w:t>
      </w:r>
    </w:p>
    <w:p w14:paraId="52A47FAD">
      <w:pPr>
        <w:rPr>
          <w:rFonts w:hint="eastAsia"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br w:type="page"/>
      </w:r>
    </w:p>
    <w:p w14:paraId="4B9C0EF3">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第二章 采购需求</w:t>
      </w:r>
    </w:p>
    <w:p w14:paraId="1704EEEC">
      <w:pPr>
        <w:spacing w:line="240" w:lineRule="auto"/>
        <w:rPr>
          <w:rFonts w:hint="default" w:ascii="Times New Roman" w:hAnsi="Times New Roman" w:eastAsia="方正兰亭黑简体" w:cs="Times New Roman"/>
          <w:b/>
          <w:bCs/>
          <w:color w:val="auto"/>
          <w:sz w:val="22"/>
          <w:szCs w:val="22"/>
          <w:highlight w:val="none"/>
          <w:lang w:val="en-US" w:eastAsia="zh-CN"/>
        </w:rPr>
      </w:pPr>
      <w:r>
        <w:rPr>
          <w:rFonts w:hint="eastAsia" w:ascii="Times New Roman" w:hAnsi="Times New Roman" w:eastAsia="方正兰亭黑简体" w:cs="Times New Roman"/>
          <w:b/>
          <w:bCs/>
          <w:color w:val="auto"/>
          <w:sz w:val="22"/>
          <w:szCs w:val="22"/>
          <w:highlight w:val="none"/>
          <w:lang w:val="en-US" w:eastAsia="zh-CN"/>
        </w:rPr>
        <w:t>一、项目概况</w:t>
      </w:r>
    </w:p>
    <w:p w14:paraId="0C85E9ED">
      <w:pPr>
        <w:widowControl/>
        <w:shd w:val="clear" w:color="auto" w:fill="FFFFFF"/>
        <w:spacing w:line="360" w:lineRule="auto"/>
        <w:ind w:firstLine="440" w:firstLineChars="200"/>
        <w:jc w:val="left"/>
        <w:rPr>
          <w:rFonts w:hint="default" w:ascii="Times New Roman" w:hAnsi="Times New Roman" w:eastAsia="方正兰亭黑简体" w:cs="Times New Roman"/>
          <w:color w:val="auto"/>
          <w:sz w:val="22"/>
          <w:szCs w:val="22"/>
          <w:highlight w:val="none"/>
          <w:u w:val="none"/>
        </w:rPr>
      </w:pPr>
      <w:r>
        <w:rPr>
          <w:rFonts w:hint="eastAsia" w:ascii="Times New Roman" w:hAnsi="Times New Roman" w:eastAsia="方正兰亭黑简体" w:cs="Times New Roman"/>
          <w:color w:val="auto"/>
          <w:sz w:val="22"/>
          <w:szCs w:val="22"/>
          <w:highlight w:val="none"/>
          <w:u w:val="none"/>
        </w:rPr>
        <w:t>235报告厅为信息工程学院承办学术论坛、青年教师研讨、校企交流、线上线下融合会议的核心场地。场地原有显示设备老化，存在亮度不足、分辨率偏低等问题，在展示高清论文图表、线上直播画面时显示效果不佳，已无法满足学院日常教学科研、各类学术交流活动的使用需求。</w:t>
      </w:r>
    </w:p>
    <w:p w14:paraId="6E09BFE3">
      <w:pPr>
        <w:widowControl/>
        <w:shd w:val="clear" w:color="auto" w:fill="FFFFFF"/>
        <w:spacing w:line="360" w:lineRule="auto"/>
        <w:jc w:val="left"/>
        <w:rPr>
          <w:rFonts w:hint="eastAsia" w:ascii="Times New Roman" w:hAnsi="Times New Roman" w:eastAsia="方正兰亭黑简体" w:cs="Times New Roman"/>
          <w:color w:val="auto"/>
          <w:sz w:val="22"/>
          <w:szCs w:val="22"/>
          <w:highlight w:val="none"/>
          <w:u w:val="none"/>
          <w:lang w:val="en-US" w:eastAsia="zh-CN"/>
        </w:rPr>
      </w:pPr>
      <w:r>
        <w:rPr>
          <w:rFonts w:hint="eastAsia" w:ascii="Times New Roman" w:hAnsi="Times New Roman" w:eastAsia="方正兰亭黑简体" w:cs="Times New Roman"/>
          <w:color w:val="auto"/>
          <w:sz w:val="22"/>
          <w:szCs w:val="22"/>
          <w:highlight w:val="none"/>
          <w:u w:val="none"/>
        </w:rPr>
        <w:t>本项目拟采购一套高清显示系统（含显示屏、配套控制系统、结构框架、线缆等），用于替换原有老旧显示设备。项目建成后，系统可稳定、清晰展示PPT、科研图表、视频、远程连线画面，适配全院大会、学术报告、学生活动等多场景应用。设备选型优先兼顾运行稳定、低功耗、便于运维，配套完善的安装调试服务及售后保障，支撑报告厅长期常态化运行。</w:t>
      </w:r>
    </w:p>
    <w:p w14:paraId="6CB0A212">
      <w:pPr>
        <w:spacing w:line="240" w:lineRule="auto"/>
        <w:rPr>
          <w:rFonts w:hint="eastAsia" w:ascii="Times New Roman" w:hAnsi="Times New Roman" w:eastAsia="方正兰亭黑简体" w:cs="Times New Roman"/>
          <w:b/>
          <w:bCs/>
          <w:color w:val="auto"/>
          <w:sz w:val="22"/>
          <w:szCs w:val="22"/>
          <w:highlight w:val="none"/>
          <w:lang w:val="en-US" w:eastAsia="zh-CN"/>
        </w:rPr>
      </w:pPr>
    </w:p>
    <w:p w14:paraId="7DE6D34A">
      <w:pPr>
        <w:spacing w:line="240" w:lineRule="auto"/>
        <w:rPr>
          <w:rFonts w:hint="eastAsia" w:ascii="Times New Roman" w:hAnsi="Times New Roman" w:eastAsia="方正兰亭黑简体" w:cs="Times New Roman"/>
          <w:b/>
          <w:bCs/>
          <w:color w:val="auto"/>
          <w:sz w:val="22"/>
          <w:szCs w:val="22"/>
          <w:highlight w:val="none"/>
          <w:lang w:val="en-US" w:eastAsia="zh-CN"/>
        </w:rPr>
      </w:pPr>
      <w:r>
        <w:rPr>
          <w:rFonts w:hint="eastAsia" w:ascii="Times New Roman" w:hAnsi="Times New Roman" w:eastAsia="方正兰亭黑简体" w:cs="Times New Roman"/>
          <w:b/>
          <w:bCs/>
          <w:color w:val="auto"/>
          <w:sz w:val="22"/>
          <w:szCs w:val="22"/>
          <w:highlight w:val="none"/>
          <w:lang w:val="en-US" w:eastAsia="zh-CN"/>
        </w:rPr>
        <w:t>二、货物清单</w:t>
      </w:r>
    </w:p>
    <w:tbl>
      <w:tblPr>
        <w:tblStyle w:val="1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5"/>
        <w:gridCol w:w="1624"/>
        <w:gridCol w:w="2146"/>
        <w:gridCol w:w="1216"/>
        <w:gridCol w:w="1216"/>
        <w:gridCol w:w="2541"/>
      </w:tblGrid>
      <w:tr w14:paraId="0EFBE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10" w:type="pct"/>
            <w:vAlign w:val="center"/>
          </w:tcPr>
          <w:p w14:paraId="52D793D5">
            <w:pPr>
              <w:spacing w:line="360" w:lineRule="auto"/>
              <w:jc w:val="center"/>
              <w:rPr>
                <w:rFonts w:hint="default" w:ascii="Times New Roman" w:hAnsi="Times New Roman" w:eastAsia="方正兰亭黑简体" w:cs="Times New Roman"/>
                <w:b w:val="0"/>
                <w:bCs w:val="0"/>
                <w:color w:val="auto"/>
                <w:sz w:val="22"/>
                <w:szCs w:val="22"/>
                <w:highlight w:val="none"/>
              </w:rPr>
            </w:pPr>
            <w:r>
              <w:rPr>
                <w:rFonts w:hint="default" w:ascii="Times New Roman" w:hAnsi="Times New Roman" w:eastAsia="方正兰亭黑简体" w:cs="Times New Roman"/>
                <w:b w:val="0"/>
                <w:bCs w:val="0"/>
                <w:color w:val="auto"/>
                <w:sz w:val="22"/>
                <w:szCs w:val="22"/>
                <w:highlight w:val="none"/>
              </w:rPr>
              <w:t>序号</w:t>
            </w:r>
          </w:p>
        </w:tc>
        <w:tc>
          <w:tcPr>
            <w:tcW w:w="815" w:type="pct"/>
            <w:vAlign w:val="center"/>
          </w:tcPr>
          <w:p w14:paraId="0E40C933">
            <w:pPr>
              <w:widowControl/>
              <w:spacing w:line="360" w:lineRule="auto"/>
              <w:jc w:val="center"/>
              <w:rPr>
                <w:rFonts w:hint="default" w:ascii="Times New Roman" w:hAnsi="Times New Roman" w:eastAsia="方正兰亭黑简体" w:cs="Times New Roman"/>
                <w:b w:val="0"/>
                <w:bCs w:val="0"/>
                <w:color w:val="auto"/>
                <w:sz w:val="22"/>
                <w:szCs w:val="22"/>
                <w:highlight w:val="none"/>
              </w:rPr>
            </w:pPr>
            <w:r>
              <w:rPr>
                <w:rFonts w:hint="default" w:ascii="Times New Roman" w:hAnsi="Times New Roman" w:eastAsia="方正兰亭黑简体" w:cs="Times New Roman"/>
                <w:b w:val="0"/>
                <w:bCs w:val="0"/>
                <w:color w:val="auto"/>
                <w:sz w:val="22"/>
                <w:szCs w:val="22"/>
                <w:highlight w:val="none"/>
              </w:rPr>
              <w:t>名称</w:t>
            </w:r>
          </w:p>
        </w:tc>
        <w:tc>
          <w:tcPr>
            <w:tcW w:w="1077" w:type="pct"/>
            <w:vAlign w:val="center"/>
          </w:tcPr>
          <w:p w14:paraId="4B165F61">
            <w:pPr>
              <w:widowControl/>
              <w:spacing w:line="360" w:lineRule="auto"/>
              <w:jc w:val="center"/>
              <w:rPr>
                <w:rFonts w:hint="default" w:ascii="Times New Roman" w:hAnsi="Times New Roman" w:eastAsia="方正兰亭黑简体" w:cs="Times New Roman"/>
                <w:b w:val="0"/>
                <w:bCs w:val="0"/>
                <w:color w:val="auto"/>
                <w:sz w:val="22"/>
                <w:szCs w:val="22"/>
                <w:highlight w:val="none"/>
              </w:rPr>
            </w:pPr>
            <w:r>
              <w:rPr>
                <w:rFonts w:hint="default" w:ascii="Times New Roman" w:hAnsi="Times New Roman" w:eastAsia="方正兰亭黑简体" w:cs="Times New Roman"/>
                <w:b w:val="0"/>
                <w:bCs w:val="0"/>
                <w:color w:val="auto"/>
                <w:sz w:val="22"/>
                <w:szCs w:val="22"/>
                <w:highlight w:val="none"/>
              </w:rPr>
              <w:t>进口/国产</w:t>
            </w:r>
          </w:p>
        </w:tc>
        <w:tc>
          <w:tcPr>
            <w:tcW w:w="610" w:type="pct"/>
            <w:vAlign w:val="center"/>
          </w:tcPr>
          <w:p w14:paraId="1F80C3A8">
            <w:pPr>
              <w:widowControl/>
              <w:spacing w:line="360" w:lineRule="auto"/>
              <w:jc w:val="center"/>
              <w:rPr>
                <w:rFonts w:hint="default" w:ascii="Times New Roman" w:hAnsi="Times New Roman" w:eastAsia="方正兰亭黑简体" w:cs="Times New Roman"/>
                <w:b w:val="0"/>
                <w:bCs w:val="0"/>
                <w:color w:val="auto"/>
                <w:sz w:val="22"/>
                <w:szCs w:val="22"/>
                <w:highlight w:val="none"/>
              </w:rPr>
            </w:pPr>
            <w:r>
              <w:rPr>
                <w:rFonts w:hint="default" w:ascii="Times New Roman" w:hAnsi="Times New Roman" w:eastAsia="方正兰亭黑简体" w:cs="Times New Roman"/>
                <w:b w:val="0"/>
                <w:bCs w:val="0"/>
                <w:color w:val="auto"/>
                <w:sz w:val="22"/>
                <w:szCs w:val="22"/>
                <w:highlight w:val="none"/>
              </w:rPr>
              <w:t>单位</w:t>
            </w:r>
          </w:p>
        </w:tc>
        <w:tc>
          <w:tcPr>
            <w:tcW w:w="610" w:type="pct"/>
            <w:vAlign w:val="center"/>
          </w:tcPr>
          <w:p w14:paraId="78E35D6E">
            <w:pPr>
              <w:widowControl/>
              <w:spacing w:line="360" w:lineRule="auto"/>
              <w:jc w:val="center"/>
              <w:rPr>
                <w:rFonts w:hint="default" w:ascii="Times New Roman" w:hAnsi="Times New Roman" w:eastAsia="方正兰亭黑简体" w:cs="Times New Roman"/>
                <w:b w:val="0"/>
                <w:bCs w:val="0"/>
                <w:color w:val="auto"/>
                <w:sz w:val="22"/>
                <w:szCs w:val="22"/>
                <w:highlight w:val="none"/>
              </w:rPr>
            </w:pPr>
            <w:r>
              <w:rPr>
                <w:rFonts w:hint="default" w:ascii="Times New Roman" w:hAnsi="Times New Roman" w:eastAsia="方正兰亭黑简体" w:cs="Times New Roman"/>
                <w:b w:val="0"/>
                <w:bCs w:val="0"/>
                <w:color w:val="auto"/>
                <w:sz w:val="22"/>
                <w:szCs w:val="22"/>
                <w:highlight w:val="none"/>
              </w:rPr>
              <w:t>数量</w:t>
            </w:r>
          </w:p>
        </w:tc>
        <w:tc>
          <w:tcPr>
            <w:tcW w:w="1275" w:type="pct"/>
            <w:vAlign w:val="center"/>
          </w:tcPr>
          <w:p w14:paraId="16E55CD3">
            <w:pPr>
              <w:widowControl/>
              <w:spacing w:line="360" w:lineRule="auto"/>
              <w:jc w:val="center"/>
              <w:rPr>
                <w:rFonts w:hint="default" w:ascii="Times New Roman" w:hAnsi="Times New Roman" w:eastAsia="方正兰亭黑简体" w:cs="Times New Roman"/>
                <w:b w:val="0"/>
                <w:bCs w:val="0"/>
                <w:color w:val="auto"/>
                <w:sz w:val="22"/>
                <w:szCs w:val="22"/>
                <w:highlight w:val="none"/>
              </w:rPr>
            </w:pPr>
            <w:r>
              <w:rPr>
                <w:rFonts w:hint="default" w:ascii="Times New Roman" w:hAnsi="Times New Roman" w:eastAsia="方正兰亭黑简体" w:cs="Times New Roman"/>
                <w:b w:val="0"/>
                <w:bCs w:val="0"/>
                <w:color w:val="auto"/>
                <w:sz w:val="22"/>
                <w:szCs w:val="22"/>
                <w:highlight w:val="none"/>
              </w:rPr>
              <w:t>交货期</w:t>
            </w:r>
          </w:p>
        </w:tc>
      </w:tr>
      <w:tr w14:paraId="790EE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10" w:type="pct"/>
            <w:vAlign w:val="center"/>
          </w:tcPr>
          <w:p w14:paraId="26B8A1D2">
            <w:pPr>
              <w:spacing w:line="360" w:lineRule="auto"/>
              <w:jc w:val="center"/>
              <w:rPr>
                <w:rFonts w:hint="default" w:ascii="Times New Roman" w:hAnsi="Times New Roman" w:eastAsia="方正兰亭黑简体" w:cs="Times New Roman"/>
                <w:b w:val="0"/>
                <w:bCs w:val="0"/>
                <w:color w:val="auto"/>
                <w:sz w:val="22"/>
                <w:szCs w:val="22"/>
                <w:highlight w:val="none"/>
              </w:rPr>
            </w:pPr>
            <w:r>
              <w:rPr>
                <w:rFonts w:hint="default" w:ascii="Times New Roman" w:hAnsi="Times New Roman" w:eastAsia="方正兰亭黑简体" w:cs="Times New Roman"/>
                <w:b w:val="0"/>
                <w:bCs w:val="0"/>
                <w:color w:val="auto"/>
                <w:sz w:val="22"/>
                <w:szCs w:val="22"/>
                <w:highlight w:val="none"/>
              </w:rPr>
              <w:t>1</w:t>
            </w:r>
          </w:p>
        </w:tc>
        <w:tc>
          <w:tcPr>
            <w:tcW w:w="815" w:type="pct"/>
            <w:vAlign w:val="center"/>
          </w:tcPr>
          <w:p w14:paraId="427DFB06">
            <w:pPr>
              <w:widowControl/>
              <w:spacing w:line="360" w:lineRule="auto"/>
              <w:jc w:val="center"/>
              <w:rPr>
                <w:rFonts w:hint="default" w:ascii="Times New Roman" w:hAnsi="Times New Roman" w:eastAsia="方正兰亭黑简体" w:cs="Times New Roman"/>
                <w:b w:val="0"/>
                <w:bCs w:val="0"/>
                <w:color w:val="auto"/>
                <w:sz w:val="22"/>
                <w:szCs w:val="22"/>
                <w:highlight w:val="none"/>
              </w:rPr>
            </w:pPr>
            <w:r>
              <w:rPr>
                <w:rFonts w:hint="default" w:ascii="Times New Roman" w:hAnsi="Times New Roman" w:eastAsia="方正兰亭黑简体" w:cs="Times New Roman"/>
                <w:b w:val="0"/>
                <w:bCs w:val="0"/>
                <w:color w:val="auto"/>
                <w:sz w:val="22"/>
                <w:szCs w:val="22"/>
                <w:highlight w:val="none"/>
              </w:rPr>
              <w:t>显示屏</w:t>
            </w:r>
          </w:p>
        </w:tc>
        <w:tc>
          <w:tcPr>
            <w:tcW w:w="1077" w:type="pct"/>
            <w:vAlign w:val="center"/>
          </w:tcPr>
          <w:p w14:paraId="0ECC29C6">
            <w:pPr>
              <w:widowControl/>
              <w:spacing w:line="360" w:lineRule="auto"/>
              <w:jc w:val="center"/>
              <w:rPr>
                <w:rFonts w:hint="default" w:ascii="Times New Roman" w:hAnsi="Times New Roman" w:eastAsia="方正兰亭黑简体" w:cs="Times New Roman"/>
                <w:b w:val="0"/>
                <w:bCs w:val="0"/>
                <w:color w:val="auto"/>
                <w:sz w:val="22"/>
                <w:szCs w:val="22"/>
                <w:highlight w:val="none"/>
              </w:rPr>
            </w:pPr>
            <w:r>
              <w:rPr>
                <w:rFonts w:hint="default" w:ascii="Times New Roman" w:hAnsi="Times New Roman" w:eastAsia="方正兰亭黑简体" w:cs="Times New Roman"/>
                <w:b w:val="0"/>
                <w:bCs w:val="0"/>
                <w:color w:val="auto"/>
                <w:sz w:val="22"/>
                <w:szCs w:val="22"/>
                <w:highlight w:val="none"/>
              </w:rPr>
              <w:t>国产</w:t>
            </w:r>
          </w:p>
        </w:tc>
        <w:tc>
          <w:tcPr>
            <w:tcW w:w="610" w:type="pct"/>
            <w:vAlign w:val="center"/>
          </w:tcPr>
          <w:p w14:paraId="13E3C8FE">
            <w:pPr>
              <w:widowControl/>
              <w:spacing w:line="360" w:lineRule="auto"/>
              <w:jc w:val="center"/>
              <w:rPr>
                <w:rFonts w:hint="default" w:ascii="Times New Roman" w:hAnsi="Times New Roman" w:eastAsia="方正兰亭黑简体" w:cs="Times New Roman"/>
                <w:b w:val="0"/>
                <w:bCs w:val="0"/>
                <w:color w:val="auto"/>
                <w:sz w:val="22"/>
                <w:szCs w:val="22"/>
                <w:highlight w:val="none"/>
              </w:rPr>
            </w:pPr>
            <w:r>
              <w:rPr>
                <w:rFonts w:hint="default" w:ascii="Times New Roman" w:hAnsi="Times New Roman" w:eastAsia="方正兰亭黑简体" w:cs="Times New Roman"/>
                <w:b w:val="0"/>
                <w:bCs w:val="0"/>
                <w:color w:val="auto"/>
                <w:sz w:val="22"/>
                <w:szCs w:val="22"/>
                <w:highlight w:val="none"/>
              </w:rPr>
              <w:t>套</w:t>
            </w:r>
          </w:p>
        </w:tc>
        <w:tc>
          <w:tcPr>
            <w:tcW w:w="610" w:type="pct"/>
            <w:vAlign w:val="center"/>
          </w:tcPr>
          <w:p w14:paraId="6C96F2DF">
            <w:pPr>
              <w:widowControl/>
              <w:spacing w:line="360" w:lineRule="auto"/>
              <w:jc w:val="center"/>
              <w:rPr>
                <w:rFonts w:hint="default" w:ascii="Times New Roman" w:hAnsi="Times New Roman" w:eastAsia="方正兰亭黑简体" w:cs="Times New Roman"/>
                <w:b w:val="0"/>
                <w:bCs w:val="0"/>
                <w:color w:val="auto"/>
                <w:sz w:val="22"/>
                <w:szCs w:val="22"/>
                <w:highlight w:val="none"/>
              </w:rPr>
            </w:pPr>
            <w:r>
              <w:rPr>
                <w:rFonts w:hint="default" w:ascii="Times New Roman" w:hAnsi="Times New Roman" w:eastAsia="方正兰亭黑简体" w:cs="Times New Roman"/>
                <w:b w:val="0"/>
                <w:bCs w:val="0"/>
                <w:color w:val="auto"/>
                <w:sz w:val="22"/>
                <w:szCs w:val="22"/>
                <w:highlight w:val="none"/>
              </w:rPr>
              <w:t>1</w:t>
            </w:r>
          </w:p>
        </w:tc>
        <w:tc>
          <w:tcPr>
            <w:tcW w:w="1275" w:type="pct"/>
          </w:tcPr>
          <w:p w14:paraId="4687985D">
            <w:pPr>
              <w:widowControl/>
              <w:spacing w:line="360" w:lineRule="auto"/>
              <w:jc w:val="center"/>
              <w:rPr>
                <w:rFonts w:hint="default" w:ascii="Times New Roman" w:hAnsi="Times New Roman" w:eastAsia="方正兰亭黑简体" w:cs="Times New Roman"/>
                <w:b w:val="0"/>
                <w:bCs w:val="0"/>
                <w:color w:val="auto"/>
                <w:sz w:val="22"/>
                <w:szCs w:val="22"/>
                <w:highlight w:val="none"/>
              </w:rPr>
            </w:pPr>
            <w:r>
              <w:rPr>
                <w:rFonts w:hint="default" w:ascii="Times New Roman" w:hAnsi="Times New Roman" w:eastAsia="方正兰亭黑简体" w:cs="Times New Roman"/>
                <w:b w:val="0"/>
                <w:bCs w:val="0"/>
                <w:color w:val="auto"/>
                <w:sz w:val="22"/>
                <w:szCs w:val="22"/>
                <w:highlight w:val="none"/>
              </w:rPr>
              <w:t>15个日历天</w:t>
            </w:r>
          </w:p>
        </w:tc>
      </w:tr>
    </w:tbl>
    <w:p w14:paraId="45DD964F">
      <w:pPr>
        <w:spacing w:line="240" w:lineRule="auto"/>
        <w:rPr>
          <w:rFonts w:hint="eastAsia" w:ascii="Times New Roman" w:hAnsi="Times New Roman" w:eastAsia="方正兰亭黑简体" w:cs="Times New Roman"/>
          <w:b/>
          <w:bCs/>
          <w:color w:val="auto"/>
          <w:sz w:val="22"/>
          <w:szCs w:val="22"/>
          <w:highlight w:val="none"/>
          <w:lang w:val="en-US" w:eastAsia="zh-CN"/>
        </w:rPr>
      </w:pPr>
    </w:p>
    <w:p w14:paraId="75A7C11C">
      <w:pPr>
        <w:spacing w:line="240" w:lineRule="auto"/>
        <w:rPr>
          <w:rFonts w:hint="default" w:ascii="Times New Roman" w:hAnsi="Times New Roman" w:eastAsia="方正兰亭黑简体" w:cs="Times New Roman"/>
          <w:b/>
          <w:bCs/>
          <w:color w:val="auto"/>
          <w:sz w:val="22"/>
          <w:szCs w:val="22"/>
          <w:highlight w:val="none"/>
          <w:lang w:val="en-US" w:eastAsia="zh-CN"/>
        </w:rPr>
      </w:pPr>
      <w:r>
        <w:rPr>
          <w:rFonts w:hint="eastAsia" w:ascii="Times New Roman" w:hAnsi="Times New Roman" w:eastAsia="方正兰亭黑简体" w:cs="Times New Roman"/>
          <w:b/>
          <w:bCs/>
          <w:color w:val="auto"/>
          <w:sz w:val="22"/>
          <w:szCs w:val="22"/>
          <w:highlight w:val="none"/>
          <w:lang w:val="en-US" w:eastAsia="zh-CN"/>
        </w:rPr>
        <w:t>三、技术要求</w:t>
      </w:r>
    </w:p>
    <w:p w14:paraId="513886B1">
      <w:pPr>
        <w:widowControl/>
        <w:shd w:val="clear" w:color="auto" w:fill="FFFFFF"/>
        <w:spacing w:line="240" w:lineRule="auto"/>
        <w:jc w:val="left"/>
        <w:rPr>
          <w:rFonts w:hint="eastAsia" w:ascii="方正兰亭黑简体" w:hAnsi="方正兰亭黑简体" w:eastAsia="方正兰亭黑简体" w:cs="方正兰亭黑简体"/>
          <w:color w:val="auto"/>
          <w:sz w:val="22"/>
          <w:szCs w:val="22"/>
          <w:highlight w:val="none"/>
          <w:u w:val="none"/>
          <w:lang w:val="en-US" w:eastAsia="zh-CN"/>
        </w:rPr>
      </w:pPr>
      <w:r>
        <w:rPr>
          <w:rFonts w:hint="eastAsia" w:ascii="方正兰亭黑简体" w:hAnsi="方正兰亭黑简体" w:eastAsia="方正兰亭黑简体" w:cs="方正兰亭黑简体"/>
          <w:color w:val="auto"/>
          <w:sz w:val="22"/>
          <w:szCs w:val="22"/>
          <w:highlight w:val="none"/>
          <w:u w:val="none"/>
          <w:lang w:val="en-US" w:eastAsia="zh-CN"/>
        </w:rPr>
        <w:t>1.功能要求</w:t>
      </w:r>
    </w:p>
    <w:p w14:paraId="14CC8DBC">
      <w:pPr>
        <w:widowControl/>
        <w:shd w:val="clear" w:color="auto" w:fill="FFFFFF"/>
        <w:spacing w:line="240" w:lineRule="auto"/>
        <w:jc w:val="left"/>
        <w:rPr>
          <w:rFonts w:hint="eastAsia" w:ascii="方正兰亭黑简体" w:hAnsi="方正兰亭黑简体" w:eastAsia="方正兰亭黑简体" w:cs="方正兰亭黑简体"/>
          <w:color w:val="auto"/>
          <w:sz w:val="22"/>
          <w:szCs w:val="22"/>
          <w:highlight w:val="none"/>
          <w:u w:val="none"/>
          <w:lang w:val="en-US" w:eastAsia="zh-CN"/>
        </w:rPr>
      </w:pPr>
      <w:r>
        <w:rPr>
          <w:rFonts w:hint="eastAsia" w:ascii="方正兰亭黑简体" w:hAnsi="方正兰亭黑简体" w:eastAsia="方正兰亭黑简体" w:cs="方正兰亭黑简体"/>
          <w:color w:val="auto"/>
          <w:sz w:val="22"/>
          <w:szCs w:val="22"/>
          <w:highlight w:val="none"/>
          <w:u w:val="none"/>
          <w:lang w:val="en-US" w:eastAsia="zh-CN"/>
        </w:rPr>
        <w:t>可清晰显示视频、图片、PPT、科研图表、远程连线画面等各类信号信息；支持画面分割显示，可接入中控系统实现场景切换、后台集中统一控制。其余详细技术参数详见后附设备清单。</w:t>
      </w:r>
    </w:p>
    <w:p w14:paraId="2E40BDEB">
      <w:pPr>
        <w:widowControl/>
        <w:shd w:val="clear" w:color="auto" w:fill="FFFFFF"/>
        <w:spacing w:line="240" w:lineRule="auto"/>
        <w:jc w:val="left"/>
        <w:rPr>
          <w:rFonts w:hint="eastAsia" w:ascii="方正兰亭黑简体" w:hAnsi="方正兰亭黑简体" w:eastAsia="方正兰亭黑简体" w:cs="方正兰亭黑简体"/>
          <w:color w:val="auto"/>
          <w:sz w:val="22"/>
          <w:szCs w:val="22"/>
          <w:highlight w:val="none"/>
          <w:u w:val="none"/>
          <w:lang w:val="en-US" w:eastAsia="zh-CN"/>
        </w:rPr>
      </w:pPr>
      <w:r>
        <w:rPr>
          <w:rFonts w:hint="eastAsia" w:ascii="方正兰亭黑简体" w:hAnsi="方正兰亭黑简体" w:eastAsia="方正兰亭黑简体" w:cs="方正兰亭黑简体"/>
          <w:color w:val="auto"/>
          <w:sz w:val="22"/>
          <w:szCs w:val="22"/>
          <w:highlight w:val="none"/>
          <w:u w:val="none"/>
          <w:lang w:val="en-US" w:eastAsia="zh-CN"/>
        </w:rPr>
        <w:t>2.应遵循的相关国家标准、行业标准、地方标准等标准、规范</w:t>
      </w:r>
    </w:p>
    <w:p w14:paraId="102BA80A">
      <w:pPr>
        <w:widowControl/>
        <w:shd w:val="clear" w:color="auto" w:fill="FFFFFF"/>
        <w:spacing w:line="240" w:lineRule="auto"/>
        <w:jc w:val="left"/>
        <w:rPr>
          <w:rFonts w:hint="eastAsia" w:ascii="方正兰亭黑简体" w:hAnsi="方正兰亭黑简体" w:eastAsia="方正兰亭黑简体" w:cs="方正兰亭黑简体"/>
          <w:color w:val="auto"/>
          <w:sz w:val="22"/>
          <w:szCs w:val="22"/>
          <w:highlight w:val="none"/>
          <w:u w:val="none"/>
          <w:lang w:val="en-US" w:eastAsia="zh-CN"/>
        </w:rPr>
      </w:pPr>
      <w:r>
        <w:rPr>
          <w:rFonts w:hint="eastAsia" w:ascii="方正兰亭黑简体" w:hAnsi="方正兰亭黑简体" w:eastAsia="方正兰亭黑简体" w:cs="方正兰亭黑简体"/>
          <w:color w:val="auto"/>
          <w:sz w:val="22"/>
          <w:szCs w:val="22"/>
          <w:highlight w:val="none"/>
          <w:u w:val="none"/>
          <w:lang w:val="en-US" w:eastAsia="zh-CN"/>
        </w:rPr>
        <w:t>GB/T43770-2024《室内LED显示屏规范》</w:t>
      </w:r>
    </w:p>
    <w:p w14:paraId="727BE272">
      <w:pPr>
        <w:widowControl/>
        <w:shd w:val="clear" w:color="auto" w:fill="FFFFFF"/>
        <w:spacing w:line="240" w:lineRule="auto"/>
        <w:jc w:val="left"/>
        <w:rPr>
          <w:rFonts w:hint="eastAsia" w:ascii="方正兰亭黑简体" w:hAnsi="方正兰亭黑简体" w:eastAsia="方正兰亭黑简体" w:cs="方正兰亭黑简体"/>
          <w:color w:val="auto"/>
          <w:sz w:val="22"/>
          <w:szCs w:val="22"/>
          <w:highlight w:val="none"/>
          <w:u w:val="none"/>
          <w:lang w:val="en-US" w:eastAsia="zh-CN"/>
        </w:rPr>
      </w:pPr>
      <w:r>
        <w:rPr>
          <w:rFonts w:hint="eastAsia" w:ascii="方正兰亭黑简体" w:hAnsi="方正兰亭黑简体" w:eastAsia="方正兰亭黑简体" w:cs="方正兰亭黑简体"/>
          <w:color w:val="auto"/>
          <w:sz w:val="22"/>
          <w:szCs w:val="22"/>
          <w:highlight w:val="none"/>
          <w:u w:val="none"/>
          <w:lang w:val="en-US" w:eastAsia="zh-CN"/>
        </w:rPr>
        <w:t>SJ/T11281-2025《发光二极管(LED)显示屏测试方法》</w:t>
      </w:r>
    </w:p>
    <w:p w14:paraId="264666F6">
      <w:pPr>
        <w:widowControl/>
        <w:shd w:val="clear" w:color="auto" w:fill="FFFFFF"/>
        <w:spacing w:line="240" w:lineRule="auto"/>
        <w:jc w:val="left"/>
        <w:rPr>
          <w:rFonts w:hint="eastAsia" w:ascii="方正兰亭黑简体" w:hAnsi="方正兰亭黑简体" w:eastAsia="方正兰亭黑简体" w:cs="方正兰亭黑简体"/>
          <w:color w:val="auto"/>
          <w:sz w:val="22"/>
          <w:szCs w:val="22"/>
          <w:highlight w:val="none"/>
          <w:u w:val="none"/>
          <w:lang w:val="en-US" w:eastAsia="zh-CN"/>
        </w:rPr>
      </w:pPr>
      <w:r>
        <w:rPr>
          <w:rFonts w:hint="eastAsia" w:ascii="方正兰亭黑简体" w:hAnsi="方正兰亭黑简体" w:eastAsia="方正兰亭黑简体" w:cs="方正兰亭黑简体"/>
          <w:color w:val="auto"/>
          <w:sz w:val="22"/>
          <w:szCs w:val="22"/>
          <w:highlight w:val="none"/>
          <w:u w:val="none"/>
          <w:lang w:val="en-US" w:eastAsia="zh-CN"/>
        </w:rPr>
        <w:t>3.后续运营维护、升级更新、备品备件等要求</w:t>
      </w:r>
    </w:p>
    <w:p w14:paraId="015F41D8">
      <w:pPr>
        <w:widowControl/>
        <w:shd w:val="clear" w:color="auto" w:fill="FFFFFF"/>
        <w:spacing w:line="240" w:lineRule="auto"/>
        <w:jc w:val="left"/>
        <w:rPr>
          <w:rFonts w:hint="eastAsia" w:ascii="方正兰亭黑简体" w:hAnsi="方正兰亭黑简体" w:eastAsia="方正兰亭黑简体" w:cs="方正兰亭黑简体"/>
          <w:color w:val="auto"/>
          <w:sz w:val="22"/>
          <w:szCs w:val="22"/>
          <w:highlight w:val="none"/>
          <w:u w:val="none"/>
          <w:lang w:val="en-US" w:eastAsia="zh-CN"/>
        </w:rPr>
      </w:pPr>
      <w:r>
        <w:rPr>
          <w:rFonts w:hint="eastAsia" w:ascii="方正兰亭黑简体" w:hAnsi="方正兰亭黑简体" w:eastAsia="方正兰亭黑简体" w:cs="方正兰亭黑简体"/>
          <w:color w:val="auto"/>
          <w:sz w:val="22"/>
          <w:szCs w:val="22"/>
          <w:highlight w:val="none"/>
          <w:u w:val="none"/>
          <w:lang w:val="en-US" w:eastAsia="zh-CN"/>
        </w:rPr>
        <w:t>自验收之日起质保5年（供货所有产品均在质保范围）,软件免费升级；质保期内提供免费的维护服务（每年至少两次到场维护，寒暑假各一次）</w:t>
      </w:r>
    </w:p>
    <w:p w14:paraId="72E33785">
      <w:pPr>
        <w:widowControl/>
        <w:shd w:val="clear" w:color="auto" w:fill="FFFFFF"/>
        <w:spacing w:line="240" w:lineRule="auto"/>
        <w:jc w:val="left"/>
        <w:rPr>
          <w:rFonts w:hint="eastAsia" w:ascii="方正兰亭黑简体" w:hAnsi="方正兰亭黑简体" w:eastAsia="方正兰亭黑简体" w:cs="方正兰亭黑简体"/>
          <w:color w:val="auto"/>
          <w:sz w:val="22"/>
          <w:szCs w:val="22"/>
          <w:highlight w:val="none"/>
          <w:u w:val="none"/>
          <w:lang w:val="en-US" w:eastAsia="zh-CN"/>
        </w:rPr>
      </w:pPr>
      <w:r>
        <w:rPr>
          <w:rFonts w:hint="eastAsia" w:ascii="方正兰亭黑简体" w:hAnsi="方正兰亭黑简体" w:eastAsia="方正兰亭黑简体" w:cs="方正兰亭黑简体"/>
          <w:color w:val="auto"/>
          <w:sz w:val="22"/>
          <w:szCs w:val="22"/>
          <w:highlight w:val="none"/>
          <w:u w:val="none"/>
          <w:lang w:val="en-US" w:eastAsia="zh-CN"/>
        </w:rPr>
        <w:t>4.各项指标要求</w:t>
      </w:r>
    </w:p>
    <w:tbl>
      <w:tblPr>
        <w:tblStyle w:val="14"/>
        <w:tblW w:w="47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9"/>
        <w:gridCol w:w="1175"/>
        <w:gridCol w:w="849"/>
        <w:gridCol w:w="1153"/>
        <w:gridCol w:w="5606"/>
      </w:tblGrid>
      <w:tr w14:paraId="0E3C1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4" w:type="pct"/>
            <w:shd w:val="clear" w:color="auto" w:fill="auto"/>
            <w:vAlign w:val="center"/>
          </w:tcPr>
          <w:p w14:paraId="2DDB30DC">
            <w:pPr>
              <w:widowControl/>
              <w:spacing w:line="360" w:lineRule="auto"/>
              <w:jc w:val="center"/>
              <w:textAlignment w:val="center"/>
              <w:rPr>
                <w:rFonts w:hint="default" w:ascii="Times New Roman" w:hAnsi="Times New Roman" w:eastAsia="方正兰亭黑简体" w:cs="Times New Roman"/>
                <w:b/>
                <w:bCs/>
                <w:color w:val="auto"/>
                <w:sz w:val="21"/>
                <w:szCs w:val="21"/>
                <w:highlight w:val="none"/>
              </w:rPr>
            </w:pPr>
            <w:r>
              <w:rPr>
                <w:rFonts w:hint="default" w:ascii="Times New Roman" w:hAnsi="Times New Roman" w:eastAsia="方正兰亭黑简体" w:cs="Times New Roman"/>
                <w:b/>
                <w:bCs/>
                <w:color w:val="auto"/>
                <w:kern w:val="0"/>
                <w:sz w:val="21"/>
                <w:szCs w:val="21"/>
                <w:highlight w:val="none"/>
                <w:lang w:bidi="ar"/>
              </w:rPr>
              <w:t>序号</w:t>
            </w:r>
          </w:p>
        </w:tc>
        <w:tc>
          <w:tcPr>
            <w:tcW w:w="623" w:type="pct"/>
            <w:shd w:val="clear" w:color="auto" w:fill="auto"/>
            <w:vAlign w:val="center"/>
          </w:tcPr>
          <w:p w14:paraId="6C57C4A5">
            <w:pPr>
              <w:widowControl/>
              <w:spacing w:line="360" w:lineRule="auto"/>
              <w:jc w:val="center"/>
              <w:textAlignment w:val="center"/>
              <w:rPr>
                <w:rFonts w:hint="default" w:ascii="Times New Roman" w:hAnsi="Times New Roman" w:eastAsia="方正兰亭黑简体" w:cs="Times New Roman"/>
                <w:b/>
                <w:bCs/>
                <w:color w:val="auto"/>
                <w:sz w:val="21"/>
                <w:szCs w:val="21"/>
                <w:highlight w:val="none"/>
              </w:rPr>
            </w:pPr>
            <w:r>
              <w:rPr>
                <w:rFonts w:hint="default" w:ascii="Times New Roman" w:hAnsi="Times New Roman" w:eastAsia="方正兰亭黑简体" w:cs="Times New Roman"/>
                <w:b/>
                <w:bCs/>
                <w:color w:val="auto"/>
                <w:kern w:val="0"/>
                <w:sz w:val="21"/>
                <w:szCs w:val="21"/>
                <w:highlight w:val="none"/>
                <w:lang w:bidi="ar"/>
              </w:rPr>
              <w:t>名称</w:t>
            </w:r>
          </w:p>
        </w:tc>
        <w:tc>
          <w:tcPr>
            <w:tcW w:w="450" w:type="pct"/>
            <w:shd w:val="clear" w:color="auto" w:fill="auto"/>
            <w:vAlign w:val="center"/>
          </w:tcPr>
          <w:p w14:paraId="623C96E0">
            <w:pPr>
              <w:widowControl/>
              <w:spacing w:line="360" w:lineRule="auto"/>
              <w:jc w:val="center"/>
              <w:textAlignment w:val="center"/>
              <w:rPr>
                <w:rFonts w:hint="default" w:ascii="Times New Roman" w:hAnsi="Times New Roman" w:eastAsia="方正兰亭黑简体" w:cs="Times New Roman"/>
                <w:b/>
                <w:bCs/>
                <w:color w:val="auto"/>
                <w:sz w:val="21"/>
                <w:szCs w:val="21"/>
                <w:highlight w:val="none"/>
              </w:rPr>
            </w:pPr>
            <w:r>
              <w:rPr>
                <w:rFonts w:hint="default" w:ascii="Times New Roman" w:hAnsi="Times New Roman" w:eastAsia="方正兰亭黑简体" w:cs="Times New Roman"/>
                <w:b/>
                <w:bCs/>
                <w:color w:val="auto"/>
                <w:kern w:val="0"/>
                <w:sz w:val="21"/>
                <w:szCs w:val="21"/>
                <w:highlight w:val="none"/>
                <w:lang w:bidi="ar"/>
              </w:rPr>
              <w:t>单位</w:t>
            </w:r>
          </w:p>
        </w:tc>
        <w:tc>
          <w:tcPr>
            <w:tcW w:w="611" w:type="pct"/>
            <w:shd w:val="clear" w:color="auto" w:fill="auto"/>
            <w:vAlign w:val="center"/>
          </w:tcPr>
          <w:p w14:paraId="074CFD11">
            <w:pPr>
              <w:widowControl/>
              <w:spacing w:line="360" w:lineRule="auto"/>
              <w:jc w:val="center"/>
              <w:textAlignment w:val="center"/>
              <w:rPr>
                <w:rFonts w:hint="default" w:ascii="Times New Roman" w:hAnsi="Times New Roman" w:eastAsia="方正兰亭黑简体" w:cs="Times New Roman"/>
                <w:b/>
                <w:bCs/>
                <w:color w:val="auto"/>
                <w:sz w:val="21"/>
                <w:szCs w:val="21"/>
                <w:highlight w:val="none"/>
              </w:rPr>
            </w:pPr>
            <w:r>
              <w:rPr>
                <w:rFonts w:hint="default" w:ascii="Times New Roman" w:hAnsi="Times New Roman" w:eastAsia="方正兰亭黑简体" w:cs="Times New Roman"/>
                <w:b/>
                <w:bCs/>
                <w:color w:val="auto"/>
                <w:kern w:val="0"/>
                <w:sz w:val="21"/>
                <w:szCs w:val="21"/>
                <w:highlight w:val="none"/>
                <w:lang w:bidi="ar"/>
              </w:rPr>
              <w:t>数量</w:t>
            </w:r>
          </w:p>
        </w:tc>
        <w:tc>
          <w:tcPr>
            <w:tcW w:w="2970" w:type="pct"/>
            <w:shd w:val="clear" w:color="auto" w:fill="auto"/>
            <w:vAlign w:val="center"/>
          </w:tcPr>
          <w:p w14:paraId="24B6C4D7">
            <w:pPr>
              <w:widowControl/>
              <w:spacing w:line="360" w:lineRule="auto"/>
              <w:jc w:val="center"/>
              <w:textAlignment w:val="center"/>
              <w:rPr>
                <w:rFonts w:hint="default" w:ascii="Times New Roman" w:hAnsi="Times New Roman" w:eastAsia="方正兰亭黑简体" w:cs="Times New Roman"/>
                <w:b/>
                <w:bCs/>
                <w:color w:val="auto"/>
                <w:sz w:val="21"/>
                <w:szCs w:val="21"/>
                <w:highlight w:val="none"/>
              </w:rPr>
            </w:pPr>
            <w:r>
              <w:rPr>
                <w:rFonts w:hint="default" w:ascii="Times New Roman" w:hAnsi="Times New Roman" w:eastAsia="方正兰亭黑简体" w:cs="Times New Roman"/>
                <w:b/>
                <w:bCs/>
                <w:color w:val="auto"/>
                <w:kern w:val="0"/>
                <w:sz w:val="21"/>
                <w:szCs w:val="21"/>
                <w:highlight w:val="none"/>
                <w:lang w:bidi="ar"/>
              </w:rPr>
              <w:t>主要规格</w:t>
            </w:r>
          </w:p>
        </w:tc>
      </w:tr>
      <w:tr w14:paraId="5112D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5"/>
            <w:shd w:val="clear" w:color="auto" w:fill="auto"/>
            <w:noWrap/>
            <w:vAlign w:val="center"/>
          </w:tcPr>
          <w:p w14:paraId="583208E5">
            <w:pPr>
              <w:widowControl/>
              <w:tabs>
                <w:tab w:val="left" w:pos="4068"/>
              </w:tabs>
              <w:spacing w:line="360" w:lineRule="auto"/>
              <w:jc w:val="left"/>
              <w:textAlignment w:val="center"/>
              <w:rPr>
                <w:rFonts w:hint="default" w:ascii="Times New Roman" w:hAnsi="Times New Roman" w:eastAsia="方正兰亭黑简体" w:cs="Times New Roman"/>
                <w:color w:val="auto"/>
                <w:kern w:val="0"/>
                <w:sz w:val="21"/>
                <w:szCs w:val="21"/>
                <w:highlight w:val="none"/>
                <w:lang w:bidi="ar"/>
              </w:rPr>
            </w:pPr>
            <w:r>
              <w:rPr>
                <w:rFonts w:hint="default" w:ascii="Times New Roman" w:hAnsi="Times New Roman" w:eastAsia="方正兰亭黑简体" w:cs="Times New Roman"/>
                <w:b/>
                <w:bCs/>
                <w:color w:val="auto"/>
                <w:kern w:val="0"/>
                <w:sz w:val="21"/>
                <w:szCs w:val="21"/>
                <w:highlight w:val="none"/>
                <w:lang w:bidi="ar"/>
              </w:rPr>
              <w:t>一、教学楼大厅LED大屏</w:t>
            </w:r>
          </w:p>
        </w:tc>
      </w:tr>
      <w:tr w14:paraId="7F9A8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4" w:type="pct"/>
            <w:shd w:val="clear" w:color="auto" w:fill="auto"/>
            <w:noWrap/>
            <w:vAlign w:val="center"/>
          </w:tcPr>
          <w:p w14:paraId="4C03D60A">
            <w:pPr>
              <w:widowControl/>
              <w:spacing w:line="360" w:lineRule="auto"/>
              <w:jc w:val="center"/>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1</w:t>
            </w:r>
          </w:p>
        </w:tc>
        <w:tc>
          <w:tcPr>
            <w:tcW w:w="623" w:type="pct"/>
            <w:shd w:val="clear" w:color="auto" w:fill="auto"/>
            <w:vAlign w:val="center"/>
          </w:tcPr>
          <w:p w14:paraId="78178EB0">
            <w:pPr>
              <w:widowControl/>
              <w:spacing w:line="360" w:lineRule="auto"/>
              <w:jc w:val="left"/>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室内全彩显示屏</w:t>
            </w:r>
          </w:p>
        </w:tc>
        <w:tc>
          <w:tcPr>
            <w:tcW w:w="450" w:type="pct"/>
            <w:shd w:val="clear" w:color="auto" w:fill="auto"/>
            <w:noWrap/>
            <w:vAlign w:val="center"/>
          </w:tcPr>
          <w:p w14:paraId="4B3F0E85">
            <w:pPr>
              <w:widowControl/>
              <w:spacing w:line="360" w:lineRule="auto"/>
              <w:jc w:val="center"/>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平方</w:t>
            </w:r>
          </w:p>
        </w:tc>
        <w:tc>
          <w:tcPr>
            <w:tcW w:w="611" w:type="pct"/>
            <w:shd w:val="clear" w:color="auto" w:fill="auto"/>
            <w:noWrap/>
            <w:vAlign w:val="center"/>
          </w:tcPr>
          <w:p w14:paraId="46092BCD">
            <w:pPr>
              <w:widowControl/>
              <w:spacing w:line="360" w:lineRule="auto"/>
              <w:jc w:val="center"/>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18.432</w:t>
            </w:r>
          </w:p>
        </w:tc>
        <w:tc>
          <w:tcPr>
            <w:tcW w:w="2970" w:type="pct"/>
            <w:shd w:val="clear" w:color="auto" w:fill="auto"/>
            <w:vAlign w:val="center"/>
          </w:tcPr>
          <w:p w14:paraId="549661DB">
            <w:pPr>
              <w:widowControl/>
              <w:spacing w:line="360" w:lineRule="auto"/>
              <w:jc w:val="left"/>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1.屏幕尺寸：5.44m*3.04m=16.5376㎡，屏体分辨率：2924*1634，铜支架模块320*160mm；</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2. 采用表贴三合一纯黑灯技术，点间距：P1.86，像素密度≥288906点/㎡，</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3. 成像原理：LED主动式发光，像素组成与排列方式：1R1G1B，竖向线性排列。</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4. 平整度≤0.05mm，亮度：≥600cd/㎡，0-100%任意可调。</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5. 刷新率：不低于4800Hz，支持通过配套控制软件调节刷新率设计选项。</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6. 对比度：≥10000：1，防护等级：IP68。</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7. 亮度均匀性（校正后）：≥98.3%，发光点中心距偏：≤0.9%。</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8. 驱动与控制方式：一体化驱动设计，恒流驱动，动态扫描，同步控制，点点对应。</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9. 亮度调节：支持通过配套软件0-100%多级调节，设置亮度定时调节，及通过亮度传感器自动调节（手动/自动/软件任意调节）支持HDR高动态范围图像技术显示。</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10. 低亮高灰：支持软件实现0-100%不同亮度情况下，灰度14-16bits任意设置：100%亮度@16bits，75%亮度@15bits，10%亮度@14bits。</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11. 像素点失控（坏点或盲点）率：≤1/100000，无连续失控点。</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12. 模组智能储存：模组含智能存储电路，可以存储模组生产信息参数、运行参数等等，存储容量≥16kb。</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13. 色温、色域：2000K-9000K连续可调，可设冷色、暖色、标准等多档白场调节。色域≥110%NTSC。</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14. 可以支持HDR，画面延时：≤300ns 。</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15. 显示屏拍照等级：≥10bits。屏体正面为黑色哑光处理，反光率小于2%。</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16.箱体具有上下前后定位功能，采用密封式铝合金压铸铝箱体，表面平整无明显缝隙，屏幕平整度≤0.1mm，整屏无拼缝无亮线。</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17.电流增益调节级别：≥8位。</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18.具有显示模式调节功能，具备一键模式切换功能。</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19.可承受≥6000N拉力，可承受≥45000N压力。</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20. 超过2周时间没有使用产品，可以通过屏体控制系统来实现除湿模式，即使屏体从10%到100%亮度逐步显示，可以满足除湿效果。</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21.坏点监测：具有坏点监测功能，自动告警，方便快速维护。</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22.响应时间：纳秒级，急速响应不拖尾、无鬼影。</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23.箱体间/模组间的相对错位值≤0.1mm，箱体间/模组间拼缝与间隙≤0.1mm。</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24. 灯珠外层具备透明哑光保护层，采用纳米涂覆技术，阻隔灯珠与外部的接触，</w:t>
            </w:r>
            <w:r>
              <w:rPr>
                <w:rFonts w:hint="default" w:ascii="Times New Roman" w:hAnsi="Times New Roman" w:eastAsia="方正兰亭黑简体" w:cs="Times New Roman"/>
                <w:color w:val="auto"/>
                <w:sz w:val="21"/>
                <w:szCs w:val="21"/>
                <w:highlight w:val="none"/>
              </w:rPr>
              <w:t>灯珠表面具备防刮、防氧化保护处理。</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25.平均无故障测试：平均无故障使用时间不低于200000h。</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26. 电源；产品使用无风扇静音设计并带PFC功能的开关电源，功率因素≥0.97。</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27. 工作稳定性试验：支持7x24小时工作：产品在正常工作条件下，连续工作7天*24H（168H），不应出现电、机械或操作系统的故障。</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28. 平均修复时间（</w:t>
            </w:r>
            <w:bookmarkStart w:id="4" w:name="OLE_LINK8"/>
            <w:bookmarkStart w:id="5" w:name="OLE_LINK7"/>
            <w:r>
              <w:rPr>
                <w:rFonts w:hint="default" w:ascii="Times New Roman" w:hAnsi="Times New Roman" w:eastAsia="方正兰亭黑简体" w:cs="Times New Roman"/>
                <w:color w:val="auto"/>
                <w:kern w:val="0"/>
                <w:sz w:val="21"/>
                <w:szCs w:val="21"/>
                <w:highlight w:val="none"/>
                <w:lang w:bidi="ar"/>
              </w:rPr>
              <w:t>MTTR</w:t>
            </w:r>
            <w:bookmarkEnd w:id="4"/>
            <w:bookmarkEnd w:id="5"/>
            <w:r>
              <w:rPr>
                <w:rFonts w:hint="default" w:ascii="Times New Roman" w:hAnsi="Times New Roman" w:eastAsia="方正兰亭黑简体" w:cs="Times New Roman"/>
                <w:color w:val="auto"/>
                <w:kern w:val="0"/>
                <w:sz w:val="21"/>
                <w:szCs w:val="21"/>
                <w:highlight w:val="none"/>
                <w:lang w:bidi="ar"/>
              </w:rPr>
              <w:t>）：3次故障修好时间检测、故障处理后工作正常，产品无任何异常、报错，平均修复时间≤5分钟。</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29. 震动试验：在10Hz-55Hz-10Hz、振幅0.35mm、每一轴向循环扫频5次、每次震动持续时间10min条件下测试后，产品外观、功能都正常。</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30. 绝缘电阻试验：电源插头或电源引入端子与外壳裸露金属部件之间的绝缘电阻在正常大气条件下应≥100MΩ，湿热条件下应≥2MΩ。</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31. 耐压试验：电源插头或电源引入端与外壳裸露金属部件之间，应承受1.5KV交流电压/历时1min的抗电强度试验，应无击穿和飞弧现象。</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32. 接地电阻测试：根据行业标准信息技术设备安全标准对设备进行接地电阻测试试验 输入地线-接地远端 测试限制≤100mΩ。</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33. 着火危险试验（UL94标准）：PCB板、线材、电源、连接件、面罩：V-0级。</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34. 噪声：静音工作：设备静音运行，常规室内温湿度环境下，LED显示屏工作状态下要求距离产品四周的1m处最大噪声声压＜40db。</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35. 盐雾测试：按照行业标准的试验方法做盐雾试验，产品在温度35℃、盐雾为浓度5%的NaCl溶液、PH值7.0、连续喷雾2小时后静置22小时为1个循环周期/总共3个循环周期的条件下试验后，产品外观无生锈现象，可以无故障运行。</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36.符合行业标准的光生物安全及蓝光危害评估检测的无危害类要求（豁免级），具备防蓝光护眼模式。蓝光安全：蓝光对皮肤和眼睛紫外线危害、宽波段的光源对视网膜危害、蓝光对皮肤表面及角膜和视网膜的曝辐射值检测均达到无危害等级要求。</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37. 抗干扰：运行稳定，不收外界各射频电磁场的干扰。</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38. 坏点监测：具有坏点监测功能，自动告警，方便快速维护。</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39. 防磕灯保护：产品具有防磕灯保护设计；</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40. UV紫外线：辐照强度：0.76W/㎡.nm@340nm 温度：60℃。冷凝温度：50℃、24循环、288h判定标准：试验后，样品外观无异常，符合5级。</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41.跌落：符合行业标准信息技术设备安全标准对设备进行跌落试验的要求。</w:t>
            </w:r>
          </w:p>
        </w:tc>
      </w:tr>
      <w:tr w14:paraId="4B795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4" w:type="pct"/>
            <w:shd w:val="clear" w:color="auto" w:fill="auto"/>
            <w:noWrap/>
            <w:vAlign w:val="center"/>
          </w:tcPr>
          <w:p w14:paraId="51036207">
            <w:pPr>
              <w:widowControl/>
              <w:spacing w:line="360" w:lineRule="auto"/>
              <w:jc w:val="center"/>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2</w:t>
            </w:r>
          </w:p>
        </w:tc>
        <w:tc>
          <w:tcPr>
            <w:tcW w:w="623" w:type="pct"/>
            <w:shd w:val="clear" w:color="auto" w:fill="auto"/>
            <w:vAlign w:val="center"/>
          </w:tcPr>
          <w:p w14:paraId="634118C0">
            <w:pPr>
              <w:widowControl/>
              <w:spacing w:line="360" w:lineRule="auto"/>
              <w:jc w:val="left"/>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信号接收卡</w:t>
            </w:r>
          </w:p>
        </w:tc>
        <w:tc>
          <w:tcPr>
            <w:tcW w:w="450" w:type="pct"/>
            <w:shd w:val="clear" w:color="auto" w:fill="auto"/>
            <w:noWrap/>
            <w:vAlign w:val="center"/>
          </w:tcPr>
          <w:p w14:paraId="63514F52">
            <w:pPr>
              <w:widowControl/>
              <w:spacing w:line="360" w:lineRule="auto"/>
              <w:jc w:val="center"/>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套</w:t>
            </w:r>
          </w:p>
        </w:tc>
        <w:tc>
          <w:tcPr>
            <w:tcW w:w="611" w:type="pct"/>
            <w:shd w:val="clear" w:color="auto" w:fill="auto"/>
            <w:noWrap/>
            <w:vAlign w:val="center"/>
          </w:tcPr>
          <w:p w14:paraId="54D5A252">
            <w:pPr>
              <w:widowControl/>
              <w:spacing w:line="360" w:lineRule="auto"/>
              <w:jc w:val="center"/>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1</w:t>
            </w:r>
          </w:p>
        </w:tc>
        <w:tc>
          <w:tcPr>
            <w:tcW w:w="2970" w:type="pct"/>
            <w:shd w:val="clear" w:color="auto" w:fill="auto"/>
            <w:vAlign w:val="center"/>
          </w:tcPr>
          <w:p w14:paraId="00ECB294">
            <w:pPr>
              <w:widowControl/>
              <w:spacing w:line="360" w:lineRule="auto"/>
              <w:jc w:val="left"/>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1.单卡最大带载不低于512×384像素，最多支持32组RGB并行数据；</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2.</w:t>
            </w:r>
            <w:r>
              <w:rPr>
                <w:rFonts w:hint="default" w:ascii="Times New Roman" w:hAnsi="Times New Roman" w:eastAsia="方正兰亭黑简体" w:cs="Times New Roman"/>
                <w:color w:val="auto"/>
                <w:sz w:val="21"/>
                <w:szCs w:val="21"/>
                <w:highlight w:val="none"/>
              </w:rPr>
              <w:t>具备不少于16路标准 HUB75 接口</w:t>
            </w:r>
            <w:r>
              <w:rPr>
                <w:rFonts w:hint="default" w:ascii="Times New Roman" w:hAnsi="Times New Roman" w:eastAsia="方正兰亭黑简体" w:cs="Times New Roman"/>
                <w:color w:val="auto"/>
                <w:kern w:val="0"/>
                <w:sz w:val="21"/>
                <w:szCs w:val="21"/>
                <w:highlight w:val="none"/>
                <w:lang w:bidi="ar"/>
              </w:rPr>
              <w:t>，具有高稳定性和高可靠性，适用于多种环境的搭建；</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3.支持逐点亮色度校正，可以对每个灯点的亮度和色度进行校正，有效消除色差，使整屏的亮度和色度达到高度均匀一致，提高显示屏的画质</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4.快速亮暗线调节在调试软件上进行快速亮暗线调节，快速解决因箱体及模组拼接造成的显示屏亮暗线，调节过程中即时生效，简单易用。</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5.</w:t>
            </w:r>
            <w:r>
              <w:rPr>
                <w:rFonts w:hint="default" w:ascii="Times New Roman" w:hAnsi="Times New Roman" w:eastAsia="方正兰亭黑简体" w:cs="Times New Roman"/>
                <w:color w:val="auto"/>
                <w:sz w:val="21"/>
                <w:szCs w:val="21"/>
                <w:highlight w:val="none"/>
              </w:rPr>
              <w:t xml:space="preserve"> 支持 32 扫，具备不低于 18bit 灰度处理能力；支持配置参数双备份、双固件备份，支持固件版本读取。</w:t>
            </w:r>
          </w:p>
        </w:tc>
      </w:tr>
      <w:tr w14:paraId="515D8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4" w:type="pct"/>
            <w:shd w:val="clear" w:color="auto" w:fill="auto"/>
            <w:noWrap/>
            <w:vAlign w:val="center"/>
          </w:tcPr>
          <w:p w14:paraId="3C25136F">
            <w:pPr>
              <w:widowControl/>
              <w:spacing w:line="360" w:lineRule="auto"/>
              <w:jc w:val="center"/>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3</w:t>
            </w:r>
          </w:p>
        </w:tc>
        <w:tc>
          <w:tcPr>
            <w:tcW w:w="623" w:type="pct"/>
            <w:shd w:val="clear" w:color="auto" w:fill="auto"/>
            <w:vAlign w:val="center"/>
          </w:tcPr>
          <w:p w14:paraId="6AC0D112">
            <w:pPr>
              <w:widowControl/>
              <w:spacing w:line="360" w:lineRule="auto"/>
              <w:jc w:val="left"/>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LED大屏电源</w:t>
            </w:r>
          </w:p>
        </w:tc>
        <w:tc>
          <w:tcPr>
            <w:tcW w:w="450" w:type="pct"/>
            <w:shd w:val="clear" w:color="auto" w:fill="auto"/>
            <w:noWrap/>
            <w:vAlign w:val="center"/>
          </w:tcPr>
          <w:p w14:paraId="5F76D146">
            <w:pPr>
              <w:widowControl/>
              <w:spacing w:line="360" w:lineRule="auto"/>
              <w:jc w:val="center"/>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套</w:t>
            </w:r>
          </w:p>
        </w:tc>
        <w:tc>
          <w:tcPr>
            <w:tcW w:w="611" w:type="pct"/>
            <w:shd w:val="clear" w:color="auto" w:fill="auto"/>
            <w:noWrap/>
            <w:vAlign w:val="center"/>
          </w:tcPr>
          <w:p w14:paraId="18DD5CF3">
            <w:pPr>
              <w:widowControl/>
              <w:spacing w:line="360" w:lineRule="auto"/>
              <w:jc w:val="center"/>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1</w:t>
            </w:r>
          </w:p>
        </w:tc>
        <w:tc>
          <w:tcPr>
            <w:tcW w:w="2970" w:type="pct"/>
            <w:shd w:val="clear" w:color="auto" w:fill="auto"/>
            <w:vAlign w:val="center"/>
          </w:tcPr>
          <w:p w14:paraId="26EA621D">
            <w:pPr>
              <w:widowControl/>
              <w:spacing w:line="360" w:lineRule="auto"/>
              <w:jc w:val="left"/>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DC 5V40A</w:t>
            </w:r>
          </w:p>
        </w:tc>
      </w:tr>
      <w:tr w14:paraId="3521A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4" w:type="pct"/>
            <w:shd w:val="clear" w:color="auto" w:fill="auto"/>
            <w:noWrap/>
            <w:vAlign w:val="center"/>
          </w:tcPr>
          <w:p w14:paraId="50CB24B4">
            <w:pPr>
              <w:widowControl/>
              <w:spacing w:line="360" w:lineRule="auto"/>
              <w:jc w:val="center"/>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4</w:t>
            </w:r>
          </w:p>
        </w:tc>
        <w:tc>
          <w:tcPr>
            <w:tcW w:w="623" w:type="pct"/>
            <w:shd w:val="clear" w:color="auto" w:fill="auto"/>
            <w:vAlign w:val="center"/>
          </w:tcPr>
          <w:p w14:paraId="038D3983">
            <w:pPr>
              <w:widowControl/>
              <w:spacing w:line="360" w:lineRule="auto"/>
              <w:jc w:val="left"/>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拼接处理器</w:t>
            </w:r>
          </w:p>
        </w:tc>
        <w:tc>
          <w:tcPr>
            <w:tcW w:w="450" w:type="pct"/>
            <w:shd w:val="clear" w:color="auto" w:fill="auto"/>
            <w:noWrap/>
            <w:vAlign w:val="center"/>
          </w:tcPr>
          <w:p w14:paraId="70AC1864">
            <w:pPr>
              <w:widowControl/>
              <w:spacing w:line="360" w:lineRule="auto"/>
              <w:jc w:val="center"/>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套</w:t>
            </w:r>
          </w:p>
        </w:tc>
        <w:tc>
          <w:tcPr>
            <w:tcW w:w="611" w:type="pct"/>
            <w:shd w:val="clear" w:color="auto" w:fill="auto"/>
            <w:noWrap/>
            <w:vAlign w:val="center"/>
          </w:tcPr>
          <w:p w14:paraId="4584CB13">
            <w:pPr>
              <w:widowControl/>
              <w:spacing w:line="360" w:lineRule="auto"/>
              <w:jc w:val="center"/>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1</w:t>
            </w:r>
          </w:p>
        </w:tc>
        <w:tc>
          <w:tcPr>
            <w:tcW w:w="2970" w:type="pct"/>
            <w:shd w:val="clear" w:color="auto" w:fill="auto"/>
            <w:vAlign w:val="center"/>
          </w:tcPr>
          <w:p w14:paraId="7AFDC968">
            <w:pPr>
              <w:widowControl/>
              <w:spacing w:line="360" w:lineRule="auto"/>
              <w:jc w:val="left"/>
              <w:textAlignment w:val="center"/>
              <w:rPr>
                <w:rFonts w:hint="default" w:ascii="Times New Roman" w:hAnsi="Times New Roman" w:eastAsia="方正兰亭黑简体" w:cs="Times New Roman"/>
                <w:color w:val="auto"/>
                <w:kern w:val="0"/>
                <w:sz w:val="21"/>
                <w:szCs w:val="21"/>
                <w:highlight w:val="none"/>
                <w:lang w:bidi="ar"/>
              </w:rPr>
            </w:pPr>
            <w:r>
              <w:rPr>
                <w:rFonts w:hint="default" w:ascii="Times New Roman" w:hAnsi="Times New Roman" w:eastAsia="方正兰亭黑简体" w:cs="Times New Roman"/>
                <w:color w:val="auto"/>
                <w:kern w:val="0"/>
                <w:sz w:val="21"/>
                <w:szCs w:val="21"/>
                <w:highlight w:val="none"/>
                <w:lang w:bidi="ar"/>
              </w:rPr>
              <w:t>1.</w:t>
            </w:r>
            <w:r>
              <w:rPr>
                <w:rFonts w:hint="default" w:ascii="Times New Roman" w:hAnsi="Times New Roman" w:eastAsia="方正兰亭黑简体" w:cs="Times New Roman"/>
                <w:color w:val="auto"/>
                <w:sz w:val="21"/>
                <w:szCs w:val="21"/>
                <w:highlight w:val="none"/>
              </w:rPr>
              <w:t xml:space="preserve"> 支持不低于6画面分割显示；</w:t>
            </w:r>
          </w:p>
          <w:p w14:paraId="70A86223">
            <w:pPr>
              <w:widowControl/>
              <w:spacing w:line="360" w:lineRule="auto"/>
              <w:jc w:val="left"/>
              <w:textAlignment w:val="center"/>
              <w:rPr>
                <w:rFonts w:hint="default" w:ascii="Times New Roman" w:hAnsi="Times New Roman" w:eastAsia="方正兰亭黑简体" w:cs="Times New Roman"/>
                <w:color w:val="auto"/>
                <w:kern w:val="0"/>
                <w:sz w:val="21"/>
                <w:szCs w:val="21"/>
                <w:highlight w:val="none"/>
                <w:lang w:bidi="ar"/>
              </w:rPr>
            </w:pPr>
            <w:r>
              <w:rPr>
                <w:rFonts w:hint="default" w:ascii="Times New Roman" w:hAnsi="Times New Roman" w:eastAsia="方正兰亭黑简体" w:cs="Times New Roman"/>
                <w:color w:val="auto"/>
                <w:kern w:val="0"/>
                <w:sz w:val="21"/>
                <w:szCs w:val="21"/>
                <w:highlight w:val="none"/>
                <w:lang w:bidi="ar"/>
              </w:rPr>
              <w:t>2.</w:t>
            </w:r>
            <w:r>
              <w:rPr>
                <w:rFonts w:hint="default" w:ascii="Times New Roman" w:hAnsi="Times New Roman" w:eastAsia="方正兰亭黑简体" w:cs="Times New Roman"/>
                <w:color w:val="auto"/>
                <w:sz w:val="21"/>
                <w:szCs w:val="21"/>
                <w:highlight w:val="none"/>
              </w:rPr>
              <w:t xml:space="preserve"> 最大带载像素不低于 780 万，横向最大分辨率≥10240，纵向最大分辨率≥8192；支持 U 盘脱机播放；配置 2 路 HDMI1.3、1 路 HDMI2.0（输入 + 环出），支持 3G-SDI（输入 + 环出，可选配），1 路 USB3.0（可读取 U 盘图片、视频）</w:t>
            </w:r>
            <w:r>
              <w:rPr>
                <w:rFonts w:hint="default" w:ascii="Times New Roman" w:hAnsi="Times New Roman" w:eastAsia="方正兰亭黑简体" w:cs="Times New Roman"/>
                <w:color w:val="auto"/>
                <w:kern w:val="0"/>
                <w:sz w:val="21"/>
                <w:szCs w:val="21"/>
                <w:highlight w:val="none"/>
                <w:lang w:bidi="ar"/>
              </w:rPr>
              <w:t>；</w:t>
            </w:r>
          </w:p>
          <w:p w14:paraId="72E98E5E">
            <w:pPr>
              <w:widowControl/>
              <w:spacing w:line="360" w:lineRule="auto"/>
              <w:jc w:val="left"/>
              <w:textAlignment w:val="center"/>
              <w:rPr>
                <w:rFonts w:hint="default" w:ascii="Times New Roman" w:hAnsi="Times New Roman" w:eastAsia="方正兰亭黑简体" w:cs="Times New Roman"/>
                <w:color w:val="auto"/>
                <w:kern w:val="0"/>
                <w:sz w:val="21"/>
                <w:szCs w:val="21"/>
                <w:highlight w:val="none"/>
                <w:lang w:bidi="ar"/>
              </w:rPr>
            </w:pPr>
            <w:r>
              <w:rPr>
                <w:rFonts w:hint="default" w:ascii="Times New Roman" w:hAnsi="Times New Roman" w:eastAsia="方正兰亭黑简体" w:cs="Times New Roman"/>
                <w:color w:val="auto"/>
                <w:kern w:val="0"/>
                <w:sz w:val="21"/>
                <w:szCs w:val="21"/>
                <w:highlight w:val="none"/>
                <w:lang w:bidi="ar"/>
              </w:rPr>
              <w:t>3.</w:t>
            </w:r>
            <w:r>
              <w:rPr>
                <w:rFonts w:hint="default" w:ascii="Times New Roman" w:hAnsi="Times New Roman" w:eastAsia="方正兰亭黑简体" w:cs="Times New Roman"/>
                <w:color w:val="auto"/>
                <w:sz w:val="21"/>
                <w:szCs w:val="21"/>
                <w:highlight w:val="none"/>
              </w:rPr>
              <w:t xml:space="preserve"> </w:t>
            </w:r>
            <w:r>
              <w:rPr>
                <w:rFonts w:hint="default" w:ascii="Times New Roman" w:hAnsi="Times New Roman" w:eastAsia="方正兰亭黑简体" w:cs="Times New Roman"/>
                <w:color w:val="auto"/>
                <w:kern w:val="0"/>
                <w:sz w:val="21"/>
                <w:szCs w:val="21"/>
                <w:highlight w:val="none"/>
                <w:lang w:bidi="ar"/>
              </w:rPr>
              <w:t>输出 12 路网口、1 路音频；支持一键缩放、光电转换、画面预监；</w:t>
            </w:r>
          </w:p>
          <w:p w14:paraId="3F3635AA">
            <w:pPr>
              <w:widowControl/>
              <w:spacing w:line="360" w:lineRule="auto"/>
              <w:jc w:val="left"/>
              <w:textAlignment w:val="center"/>
              <w:rPr>
                <w:rFonts w:hint="default" w:ascii="Times New Roman" w:hAnsi="Times New Roman" w:eastAsia="方正兰亭黑简体" w:cs="Times New Roman"/>
                <w:color w:val="auto"/>
                <w:kern w:val="0"/>
                <w:sz w:val="21"/>
                <w:szCs w:val="21"/>
                <w:highlight w:val="none"/>
                <w:lang w:bidi="ar"/>
              </w:rPr>
            </w:pPr>
            <w:r>
              <w:rPr>
                <w:rFonts w:hint="default" w:ascii="Times New Roman" w:hAnsi="Times New Roman" w:eastAsia="方正兰亭黑简体" w:cs="Times New Roman"/>
                <w:color w:val="auto"/>
                <w:kern w:val="0"/>
                <w:sz w:val="21"/>
                <w:szCs w:val="21"/>
                <w:highlight w:val="none"/>
                <w:lang w:bidi="ar"/>
              </w:rPr>
              <w:t>4.多场景保存和调用：支持不少于256个自定义场景，一键即可载入；支持场景保存、覆盖、删除；支持预览场景内的图层布局。</w:t>
            </w:r>
          </w:p>
          <w:p w14:paraId="54CD8CC0">
            <w:pPr>
              <w:widowControl/>
              <w:spacing w:line="360" w:lineRule="auto"/>
              <w:jc w:val="left"/>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5.多图层显示:最大支持12个2K×1K图层资源,可灵活创建4K×2K、4K×1K 和 2K×1K 三种规格的图层，根据开图层使用的输入源接口容量，分别占用 4 个、2 个、1 个 2K 图层资源。图层大小和位置可单独调节；图层优先级可调整；图层纵横比可调整。</w:t>
            </w:r>
          </w:p>
        </w:tc>
      </w:tr>
      <w:tr w14:paraId="16238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4" w:type="pct"/>
            <w:shd w:val="clear" w:color="auto" w:fill="auto"/>
            <w:noWrap/>
            <w:vAlign w:val="center"/>
          </w:tcPr>
          <w:p w14:paraId="48AB7DBC">
            <w:pPr>
              <w:widowControl/>
              <w:spacing w:line="360" w:lineRule="auto"/>
              <w:jc w:val="center"/>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5</w:t>
            </w:r>
          </w:p>
        </w:tc>
        <w:tc>
          <w:tcPr>
            <w:tcW w:w="623" w:type="pct"/>
            <w:shd w:val="clear" w:color="auto" w:fill="auto"/>
            <w:vAlign w:val="center"/>
          </w:tcPr>
          <w:p w14:paraId="45EC5C76">
            <w:pPr>
              <w:widowControl/>
              <w:spacing w:line="360" w:lineRule="auto"/>
              <w:jc w:val="left"/>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控制软件</w:t>
            </w:r>
          </w:p>
        </w:tc>
        <w:tc>
          <w:tcPr>
            <w:tcW w:w="450" w:type="pct"/>
            <w:shd w:val="clear" w:color="auto" w:fill="auto"/>
            <w:noWrap/>
            <w:vAlign w:val="center"/>
          </w:tcPr>
          <w:p w14:paraId="7F4C4B49">
            <w:pPr>
              <w:widowControl/>
              <w:spacing w:line="360" w:lineRule="auto"/>
              <w:jc w:val="center"/>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套</w:t>
            </w:r>
          </w:p>
        </w:tc>
        <w:tc>
          <w:tcPr>
            <w:tcW w:w="611" w:type="pct"/>
            <w:shd w:val="clear" w:color="auto" w:fill="auto"/>
            <w:noWrap/>
            <w:vAlign w:val="center"/>
          </w:tcPr>
          <w:p w14:paraId="580BEB8B">
            <w:pPr>
              <w:widowControl/>
              <w:spacing w:line="360" w:lineRule="auto"/>
              <w:jc w:val="center"/>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1</w:t>
            </w:r>
          </w:p>
        </w:tc>
        <w:tc>
          <w:tcPr>
            <w:tcW w:w="2970" w:type="pct"/>
            <w:shd w:val="clear" w:color="auto" w:fill="auto"/>
            <w:vAlign w:val="center"/>
          </w:tcPr>
          <w:p w14:paraId="2853A1AB">
            <w:pPr>
              <w:widowControl/>
              <w:spacing w:line="360" w:lineRule="auto"/>
              <w:jc w:val="left"/>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1.能实时监控LED显示屏的各种运行状态，主要包括每个显示模组的运行状态、每个发送盒（发送卡）的运行状态等。能够通过计算机的显示界面实时监测当前LED显示屏的主要运行参数；</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2.支持白平衡亮度调节，单点亮度校正，亮度、湿度、温度、烟雾检测与参数调节，定时参数调节与开关机；</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3.支持显示屏单元布局自定义，显示屏单元应用底层互联方式多点间距同一系统设置；</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4.PC端支持windows、银河麒麟(Kylin)、统信（银河麒麟与统信系统至少支持1种）等操作系统访问设备及交互操作；</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5.可随时对LED大屏系统中的箱体状态进行检测，故障报警提醒运维人员，界面可视化实时告警；</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6.可随时对LED大屏系统中的发送盒状态进行检测；故障报警提醒运维人员，界面弹窗警告；</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7.支持日志统计管理功能，系统可以对关键操作和运维数据进行存储统计，并输出操作日志；</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8.显示屏具备亮度校正调整软件功能；</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9.显示屏具备逐点校正及消除隐亮系统软件功能；</w:t>
            </w:r>
            <w:r>
              <w:rPr>
                <w:rFonts w:hint="default" w:ascii="Times New Roman" w:hAnsi="Times New Roman" w:eastAsia="方正兰亭黑简体" w:cs="Times New Roman"/>
                <w:color w:val="auto"/>
                <w:kern w:val="0"/>
                <w:sz w:val="21"/>
                <w:szCs w:val="21"/>
                <w:highlight w:val="none"/>
                <w:lang w:bidi="ar"/>
              </w:rPr>
              <w:br w:type="textWrapping"/>
            </w:r>
            <w:r>
              <w:rPr>
                <w:rFonts w:hint="default" w:ascii="Times New Roman" w:hAnsi="Times New Roman" w:eastAsia="方正兰亭黑简体" w:cs="Times New Roman"/>
                <w:color w:val="auto"/>
                <w:kern w:val="0"/>
                <w:sz w:val="21"/>
                <w:szCs w:val="21"/>
                <w:highlight w:val="none"/>
                <w:lang w:bidi="ar"/>
              </w:rPr>
              <w:t>10.显示屏具备亮暗线修复系统软件；</w:t>
            </w:r>
          </w:p>
        </w:tc>
      </w:tr>
      <w:tr w14:paraId="7AD25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4" w:type="pct"/>
            <w:shd w:val="clear" w:color="auto" w:fill="auto"/>
            <w:noWrap/>
            <w:vAlign w:val="center"/>
          </w:tcPr>
          <w:p w14:paraId="7E098AE5">
            <w:pPr>
              <w:widowControl/>
              <w:spacing w:line="360" w:lineRule="auto"/>
              <w:jc w:val="center"/>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6</w:t>
            </w:r>
          </w:p>
        </w:tc>
        <w:tc>
          <w:tcPr>
            <w:tcW w:w="623" w:type="pct"/>
            <w:shd w:val="clear" w:color="auto" w:fill="auto"/>
            <w:vAlign w:val="center"/>
          </w:tcPr>
          <w:p w14:paraId="5810E375">
            <w:pPr>
              <w:widowControl/>
              <w:spacing w:line="360" w:lineRule="auto"/>
              <w:jc w:val="left"/>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壁挂式箱体支架含包边</w:t>
            </w:r>
          </w:p>
        </w:tc>
        <w:tc>
          <w:tcPr>
            <w:tcW w:w="450" w:type="pct"/>
            <w:shd w:val="clear" w:color="auto" w:fill="auto"/>
            <w:noWrap/>
            <w:vAlign w:val="center"/>
          </w:tcPr>
          <w:p w14:paraId="0CF1AF6F">
            <w:pPr>
              <w:widowControl/>
              <w:spacing w:line="360" w:lineRule="auto"/>
              <w:jc w:val="center"/>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平方</w:t>
            </w:r>
          </w:p>
        </w:tc>
        <w:tc>
          <w:tcPr>
            <w:tcW w:w="611" w:type="pct"/>
            <w:shd w:val="clear" w:color="auto" w:fill="auto"/>
            <w:noWrap/>
            <w:vAlign w:val="center"/>
          </w:tcPr>
          <w:p w14:paraId="3C31066E">
            <w:pPr>
              <w:widowControl/>
              <w:spacing w:line="360" w:lineRule="auto"/>
              <w:jc w:val="center"/>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16.5376</w:t>
            </w:r>
          </w:p>
        </w:tc>
        <w:tc>
          <w:tcPr>
            <w:tcW w:w="2970" w:type="pct"/>
            <w:shd w:val="clear" w:color="auto" w:fill="auto"/>
            <w:vAlign w:val="center"/>
          </w:tcPr>
          <w:p w14:paraId="7FCEFB9D">
            <w:pPr>
              <w:widowControl/>
              <w:spacing w:line="360" w:lineRule="auto"/>
              <w:jc w:val="left"/>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1.壁挂式支架含黑钛拉丝包边（基材选用 304 不锈钢，厚度常见 1.5mm-3mm，90°直角折边，折边宽度 30mm，保证结构刚性；黑钛处理采用真空镀钛工艺，表面拉丝纹理为直纹或雪花纹；</w:t>
            </w:r>
          </w:p>
        </w:tc>
      </w:tr>
      <w:tr w14:paraId="6DDA2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4" w:type="pct"/>
            <w:shd w:val="clear" w:color="auto" w:fill="auto"/>
            <w:noWrap/>
            <w:vAlign w:val="center"/>
          </w:tcPr>
          <w:p w14:paraId="5A792771">
            <w:pPr>
              <w:widowControl/>
              <w:spacing w:line="360" w:lineRule="auto"/>
              <w:jc w:val="center"/>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7</w:t>
            </w:r>
          </w:p>
        </w:tc>
        <w:tc>
          <w:tcPr>
            <w:tcW w:w="623" w:type="pct"/>
            <w:shd w:val="clear" w:color="auto" w:fill="auto"/>
            <w:vAlign w:val="center"/>
          </w:tcPr>
          <w:p w14:paraId="42A923FE">
            <w:pPr>
              <w:widowControl/>
              <w:spacing w:line="360" w:lineRule="auto"/>
              <w:jc w:val="left"/>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备板</w:t>
            </w:r>
          </w:p>
        </w:tc>
        <w:tc>
          <w:tcPr>
            <w:tcW w:w="450" w:type="pct"/>
            <w:shd w:val="clear" w:color="auto" w:fill="auto"/>
            <w:noWrap/>
            <w:vAlign w:val="center"/>
          </w:tcPr>
          <w:p w14:paraId="1AE2427B">
            <w:pPr>
              <w:widowControl/>
              <w:spacing w:line="360" w:lineRule="auto"/>
              <w:jc w:val="center"/>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套</w:t>
            </w:r>
          </w:p>
        </w:tc>
        <w:tc>
          <w:tcPr>
            <w:tcW w:w="611" w:type="pct"/>
            <w:shd w:val="clear" w:color="auto" w:fill="auto"/>
            <w:noWrap/>
            <w:vAlign w:val="center"/>
          </w:tcPr>
          <w:p w14:paraId="2135B4BB">
            <w:pPr>
              <w:widowControl/>
              <w:spacing w:line="360" w:lineRule="auto"/>
              <w:jc w:val="center"/>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1</w:t>
            </w:r>
          </w:p>
        </w:tc>
        <w:tc>
          <w:tcPr>
            <w:tcW w:w="2970" w:type="pct"/>
            <w:shd w:val="clear" w:color="auto" w:fill="auto"/>
            <w:vAlign w:val="center"/>
          </w:tcPr>
          <w:p w14:paraId="3E445059">
            <w:pPr>
              <w:widowControl/>
              <w:spacing w:line="360" w:lineRule="auto"/>
              <w:jc w:val="left"/>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LED模组6张，接收卡5张，电源5个</w:t>
            </w:r>
          </w:p>
        </w:tc>
      </w:tr>
      <w:tr w14:paraId="49211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4" w:type="pct"/>
            <w:shd w:val="clear" w:color="auto" w:fill="auto"/>
            <w:noWrap/>
            <w:vAlign w:val="center"/>
          </w:tcPr>
          <w:p w14:paraId="5543AA0E">
            <w:pPr>
              <w:widowControl/>
              <w:spacing w:line="360" w:lineRule="auto"/>
              <w:jc w:val="center"/>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8</w:t>
            </w:r>
          </w:p>
        </w:tc>
        <w:tc>
          <w:tcPr>
            <w:tcW w:w="623" w:type="pct"/>
            <w:shd w:val="clear" w:color="auto" w:fill="auto"/>
            <w:vAlign w:val="center"/>
          </w:tcPr>
          <w:p w14:paraId="1E7FC19F">
            <w:pPr>
              <w:widowControl/>
              <w:spacing w:line="360" w:lineRule="auto"/>
              <w:jc w:val="left"/>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辅材</w:t>
            </w:r>
          </w:p>
        </w:tc>
        <w:tc>
          <w:tcPr>
            <w:tcW w:w="450" w:type="pct"/>
            <w:shd w:val="clear" w:color="auto" w:fill="auto"/>
            <w:noWrap/>
            <w:vAlign w:val="center"/>
          </w:tcPr>
          <w:p w14:paraId="24EF0DE0">
            <w:pPr>
              <w:widowControl/>
              <w:spacing w:line="360" w:lineRule="auto"/>
              <w:jc w:val="center"/>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平方</w:t>
            </w:r>
          </w:p>
        </w:tc>
        <w:tc>
          <w:tcPr>
            <w:tcW w:w="611" w:type="pct"/>
            <w:shd w:val="clear" w:color="auto" w:fill="auto"/>
            <w:noWrap/>
            <w:vAlign w:val="center"/>
          </w:tcPr>
          <w:p w14:paraId="6121BD8D">
            <w:pPr>
              <w:widowControl/>
              <w:spacing w:line="360" w:lineRule="auto"/>
              <w:jc w:val="center"/>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16.5376</w:t>
            </w:r>
          </w:p>
        </w:tc>
        <w:tc>
          <w:tcPr>
            <w:tcW w:w="2970" w:type="pct"/>
            <w:shd w:val="clear" w:color="auto" w:fill="auto"/>
            <w:vAlign w:val="center"/>
          </w:tcPr>
          <w:p w14:paraId="26464C8E">
            <w:pPr>
              <w:widowControl/>
              <w:spacing w:line="360" w:lineRule="auto"/>
              <w:jc w:val="left"/>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屏体电源线、网线、排线、接卡线等（招标人在屏体位置已预留强电电源以及网络，接驳及后端由投标人负责）。</w:t>
            </w:r>
          </w:p>
        </w:tc>
      </w:tr>
      <w:tr w14:paraId="1C328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4" w:type="pct"/>
            <w:shd w:val="clear" w:color="auto" w:fill="auto"/>
            <w:noWrap/>
            <w:vAlign w:val="center"/>
          </w:tcPr>
          <w:p w14:paraId="7775AEBD">
            <w:pPr>
              <w:widowControl/>
              <w:spacing w:line="360" w:lineRule="auto"/>
              <w:jc w:val="center"/>
              <w:textAlignment w:val="center"/>
              <w:rPr>
                <w:rFonts w:hint="default" w:ascii="Times New Roman" w:hAnsi="Times New Roman" w:eastAsia="方正兰亭黑简体" w:cs="Times New Roman"/>
                <w:color w:val="auto"/>
                <w:kern w:val="0"/>
                <w:sz w:val="21"/>
                <w:szCs w:val="21"/>
                <w:highlight w:val="none"/>
                <w:lang w:bidi="ar"/>
              </w:rPr>
            </w:pPr>
            <w:r>
              <w:rPr>
                <w:rFonts w:hint="default" w:ascii="Times New Roman" w:hAnsi="Times New Roman" w:eastAsia="方正兰亭黑简体" w:cs="Times New Roman"/>
                <w:color w:val="auto"/>
                <w:kern w:val="0"/>
                <w:sz w:val="21"/>
                <w:szCs w:val="21"/>
                <w:highlight w:val="none"/>
                <w:lang w:bidi="ar"/>
              </w:rPr>
              <w:t>9</w:t>
            </w:r>
          </w:p>
        </w:tc>
        <w:tc>
          <w:tcPr>
            <w:tcW w:w="623" w:type="pct"/>
            <w:shd w:val="clear" w:color="auto" w:fill="auto"/>
            <w:vAlign w:val="center"/>
          </w:tcPr>
          <w:p w14:paraId="1D857AE9">
            <w:pPr>
              <w:widowControl/>
              <w:spacing w:line="360" w:lineRule="auto"/>
              <w:jc w:val="left"/>
              <w:textAlignment w:val="center"/>
              <w:rPr>
                <w:rFonts w:hint="default" w:ascii="Times New Roman" w:hAnsi="Times New Roman" w:eastAsia="方正兰亭黑简体" w:cs="Times New Roman"/>
                <w:color w:val="auto"/>
                <w:kern w:val="0"/>
                <w:sz w:val="21"/>
                <w:szCs w:val="21"/>
                <w:highlight w:val="none"/>
                <w:lang w:bidi="ar"/>
              </w:rPr>
            </w:pPr>
            <w:r>
              <w:rPr>
                <w:rFonts w:hint="default" w:ascii="Times New Roman" w:hAnsi="Times New Roman" w:eastAsia="方正兰亭黑简体" w:cs="Times New Roman"/>
                <w:color w:val="auto"/>
                <w:kern w:val="0"/>
                <w:sz w:val="21"/>
                <w:szCs w:val="21"/>
                <w:highlight w:val="none"/>
                <w:lang w:bidi="ar"/>
              </w:rPr>
              <w:t>中控面板</w:t>
            </w:r>
          </w:p>
        </w:tc>
        <w:tc>
          <w:tcPr>
            <w:tcW w:w="450" w:type="pct"/>
            <w:shd w:val="clear" w:color="auto" w:fill="auto"/>
            <w:noWrap/>
            <w:vAlign w:val="center"/>
          </w:tcPr>
          <w:p w14:paraId="4AD0523F">
            <w:pPr>
              <w:widowControl/>
              <w:spacing w:line="360" w:lineRule="auto"/>
              <w:jc w:val="center"/>
              <w:textAlignment w:val="center"/>
              <w:rPr>
                <w:rFonts w:hint="default" w:ascii="Times New Roman" w:hAnsi="Times New Roman" w:eastAsia="方正兰亭黑简体" w:cs="Times New Roman"/>
                <w:color w:val="auto"/>
                <w:kern w:val="0"/>
                <w:sz w:val="21"/>
                <w:szCs w:val="21"/>
                <w:highlight w:val="none"/>
                <w:lang w:bidi="ar"/>
              </w:rPr>
            </w:pPr>
            <w:r>
              <w:rPr>
                <w:rFonts w:hint="default" w:ascii="Times New Roman" w:hAnsi="Times New Roman" w:eastAsia="方正兰亭黑简体" w:cs="Times New Roman"/>
                <w:color w:val="auto"/>
                <w:kern w:val="0"/>
                <w:sz w:val="21"/>
                <w:szCs w:val="21"/>
                <w:highlight w:val="none"/>
                <w:lang w:bidi="ar"/>
              </w:rPr>
              <w:t>套</w:t>
            </w:r>
          </w:p>
        </w:tc>
        <w:tc>
          <w:tcPr>
            <w:tcW w:w="611" w:type="pct"/>
            <w:shd w:val="clear" w:color="auto" w:fill="auto"/>
            <w:noWrap/>
            <w:vAlign w:val="center"/>
          </w:tcPr>
          <w:p w14:paraId="5BBABBAE">
            <w:pPr>
              <w:widowControl/>
              <w:spacing w:line="360" w:lineRule="auto"/>
              <w:jc w:val="center"/>
              <w:textAlignment w:val="center"/>
              <w:rPr>
                <w:rFonts w:hint="default" w:ascii="Times New Roman" w:hAnsi="Times New Roman" w:eastAsia="方正兰亭黑简体" w:cs="Times New Roman"/>
                <w:color w:val="auto"/>
                <w:kern w:val="0"/>
                <w:sz w:val="21"/>
                <w:szCs w:val="21"/>
                <w:highlight w:val="none"/>
                <w:lang w:bidi="ar"/>
              </w:rPr>
            </w:pPr>
            <w:r>
              <w:rPr>
                <w:rFonts w:hint="default" w:ascii="Times New Roman" w:hAnsi="Times New Roman" w:eastAsia="方正兰亭黑简体" w:cs="Times New Roman"/>
                <w:color w:val="auto"/>
                <w:kern w:val="0"/>
                <w:sz w:val="21"/>
                <w:szCs w:val="21"/>
                <w:highlight w:val="none"/>
                <w:lang w:bidi="ar"/>
              </w:rPr>
              <w:t>1</w:t>
            </w:r>
          </w:p>
        </w:tc>
        <w:tc>
          <w:tcPr>
            <w:tcW w:w="2970" w:type="pct"/>
            <w:shd w:val="clear" w:color="auto" w:fill="auto"/>
            <w:vAlign w:val="center"/>
          </w:tcPr>
          <w:p w14:paraId="69BB1BC5">
            <w:pPr>
              <w:widowControl/>
              <w:spacing w:line="360" w:lineRule="auto"/>
              <w:jc w:val="left"/>
              <w:textAlignment w:val="center"/>
              <w:rPr>
                <w:rFonts w:hint="default" w:ascii="Times New Roman" w:hAnsi="Times New Roman" w:eastAsia="方正兰亭黑简体" w:cs="Times New Roman"/>
                <w:color w:val="auto"/>
                <w:kern w:val="0"/>
                <w:sz w:val="21"/>
                <w:szCs w:val="21"/>
                <w:highlight w:val="none"/>
                <w:lang w:bidi="ar"/>
              </w:rPr>
            </w:pPr>
            <w:r>
              <w:rPr>
                <w:rFonts w:hint="default" w:ascii="Times New Roman" w:hAnsi="Times New Roman" w:eastAsia="方正兰亭黑简体" w:cs="Times New Roman"/>
                <w:color w:val="auto"/>
                <w:kern w:val="0"/>
                <w:sz w:val="21"/>
                <w:szCs w:val="21"/>
                <w:highlight w:val="none"/>
                <w:lang w:bidi="ar"/>
              </w:rPr>
              <w:t>中控触摸面板</w:t>
            </w:r>
          </w:p>
        </w:tc>
      </w:tr>
      <w:tr w14:paraId="6DBBB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4" w:type="pct"/>
            <w:shd w:val="clear" w:color="auto" w:fill="auto"/>
            <w:noWrap/>
            <w:vAlign w:val="center"/>
          </w:tcPr>
          <w:p w14:paraId="5BF48366">
            <w:pPr>
              <w:widowControl/>
              <w:spacing w:line="360" w:lineRule="auto"/>
              <w:jc w:val="center"/>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10</w:t>
            </w:r>
          </w:p>
        </w:tc>
        <w:tc>
          <w:tcPr>
            <w:tcW w:w="623" w:type="pct"/>
            <w:shd w:val="clear" w:color="auto" w:fill="auto"/>
            <w:vAlign w:val="center"/>
          </w:tcPr>
          <w:p w14:paraId="3A0DDB57">
            <w:pPr>
              <w:widowControl/>
              <w:spacing w:line="360" w:lineRule="auto"/>
              <w:jc w:val="left"/>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配电柜</w:t>
            </w:r>
          </w:p>
        </w:tc>
        <w:tc>
          <w:tcPr>
            <w:tcW w:w="450" w:type="pct"/>
            <w:shd w:val="clear" w:color="auto" w:fill="auto"/>
            <w:noWrap/>
            <w:vAlign w:val="center"/>
          </w:tcPr>
          <w:p w14:paraId="222B1BBF">
            <w:pPr>
              <w:widowControl/>
              <w:spacing w:line="360" w:lineRule="auto"/>
              <w:jc w:val="center"/>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套</w:t>
            </w:r>
          </w:p>
        </w:tc>
        <w:tc>
          <w:tcPr>
            <w:tcW w:w="611" w:type="pct"/>
            <w:shd w:val="clear" w:color="auto" w:fill="auto"/>
            <w:noWrap/>
            <w:vAlign w:val="center"/>
          </w:tcPr>
          <w:p w14:paraId="6563F70C">
            <w:pPr>
              <w:widowControl/>
              <w:spacing w:line="360" w:lineRule="auto"/>
              <w:jc w:val="center"/>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1</w:t>
            </w:r>
          </w:p>
        </w:tc>
        <w:tc>
          <w:tcPr>
            <w:tcW w:w="2970" w:type="pct"/>
            <w:shd w:val="clear" w:color="auto" w:fill="auto"/>
            <w:vAlign w:val="center"/>
          </w:tcPr>
          <w:p w14:paraId="08716C2D">
            <w:pPr>
              <w:widowControl/>
              <w:numPr>
                <w:ilvl w:val="0"/>
                <w:numId w:val="3"/>
              </w:numPr>
              <w:spacing w:line="360" w:lineRule="auto"/>
              <w:jc w:val="left"/>
              <w:textAlignment w:val="center"/>
              <w:rPr>
                <w:rFonts w:hint="default" w:ascii="Times New Roman" w:hAnsi="Times New Roman" w:eastAsia="方正兰亭黑简体" w:cs="Times New Roman"/>
                <w:color w:val="auto"/>
                <w:kern w:val="0"/>
                <w:sz w:val="21"/>
                <w:szCs w:val="21"/>
                <w:highlight w:val="none"/>
                <w:lang w:bidi="ar"/>
              </w:rPr>
            </w:pPr>
            <w:r>
              <w:rPr>
                <w:rFonts w:hint="default" w:ascii="Times New Roman" w:hAnsi="Times New Roman" w:eastAsia="方正兰亭黑简体" w:cs="Times New Roman"/>
                <w:color w:val="auto"/>
                <w:kern w:val="0"/>
                <w:sz w:val="21"/>
                <w:szCs w:val="21"/>
                <w:highlight w:val="none"/>
                <w:lang w:bidi="ar"/>
              </w:rPr>
              <w:t>时控开关；三相及运行指示；辅助控制开关；检修插座带漏电保护器。</w:t>
            </w:r>
          </w:p>
          <w:p w14:paraId="23F5CE3E">
            <w:pPr>
              <w:widowControl/>
              <w:numPr>
                <w:ilvl w:val="0"/>
                <w:numId w:val="3"/>
              </w:numPr>
              <w:spacing w:line="360" w:lineRule="auto"/>
              <w:jc w:val="left"/>
              <w:textAlignment w:val="center"/>
              <w:rPr>
                <w:rFonts w:hint="default" w:ascii="Times New Roman" w:hAnsi="Times New Roman" w:eastAsia="方正兰亭黑简体" w:cs="Times New Roman"/>
                <w:color w:val="auto"/>
                <w:kern w:val="0"/>
                <w:sz w:val="21"/>
                <w:szCs w:val="21"/>
                <w:highlight w:val="none"/>
                <w:lang w:bidi="ar"/>
              </w:rPr>
            </w:pPr>
            <w:r>
              <w:rPr>
                <w:rFonts w:hint="default" w:ascii="Times New Roman" w:hAnsi="Times New Roman" w:eastAsia="方正兰亭黑简体" w:cs="Times New Roman"/>
                <w:color w:val="auto"/>
                <w:kern w:val="0"/>
                <w:sz w:val="21"/>
                <w:szCs w:val="21"/>
                <w:highlight w:val="none"/>
                <w:lang w:bidi="ar"/>
              </w:rPr>
              <w:t>独立系统：LED显示屏具有独立的配电系统，配电系统采用三相五线制供电，配电系统保证三相平衡，减少对电网的冲击影响，同时还应配备过流、短路、断路、过压、欠压、温度过高等保护措施，以及相应的故障指示装置。</w:t>
            </w:r>
          </w:p>
          <w:p w14:paraId="7A8925BC">
            <w:pPr>
              <w:widowControl/>
              <w:numPr>
                <w:ilvl w:val="0"/>
                <w:numId w:val="3"/>
              </w:numPr>
              <w:spacing w:line="360" w:lineRule="auto"/>
              <w:jc w:val="left"/>
              <w:textAlignment w:val="center"/>
              <w:rPr>
                <w:rFonts w:hint="default" w:ascii="Times New Roman" w:hAnsi="Times New Roman" w:eastAsia="方正兰亭黑简体" w:cs="Times New Roman"/>
                <w:color w:val="auto"/>
                <w:kern w:val="0"/>
                <w:sz w:val="21"/>
                <w:szCs w:val="21"/>
                <w:highlight w:val="none"/>
                <w:lang w:bidi="ar"/>
              </w:rPr>
            </w:pPr>
            <w:r>
              <w:rPr>
                <w:rFonts w:hint="default" w:ascii="Times New Roman" w:hAnsi="Times New Roman" w:eastAsia="方正兰亭黑简体" w:cs="Times New Roman"/>
                <w:color w:val="auto"/>
                <w:kern w:val="0"/>
                <w:sz w:val="21"/>
                <w:szCs w:val="21"/>
                <w:highlight w:val="none"/>
                <w:lang w:bidi="ar"/>
              </w:rPr>
              <w:t>保护装置：电气柜中需安装功能可靠的防护装置，并为系统提供短路、过流、断路、过压、欠压等保护功能。</w:t>
            </w:r>
          </w:p>
          <w:p w14:paraId="3DD0E5AE">
            <w:pPr>
              <w:widowControl/>
              <w:numPr>
                <w:ilvl w:val="0"/>
                <w:numId w:val="3"/>
              </w:numPr>
              <w:spacing w:line="360" w:lineRule="auto"/>
              <w:jc w:val="left"/>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具有PLC功能。</w:t>
            </w:r>
          </w:p>
        </w:tc>
      </w:tr>
      <w:tr w14:paraId="6D6E0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4" w:type="pct"/>
            <w:shd w:val="clear" w:color="auto" w:fill="auto"/>
            <w:noWrap/>
            <w:vAlign w:val="center"/>
          </w:tcPr>
          <w:p w14:paraId="7F541DD7">
            <w:pPr>
              <w:widowControl/>
              <w:spacing w:line="360" w:lineRule="auto"/>
              <w:jc w:val="center"/>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11</w:t>
            </w:r>
          </w:p>
        </w:tc>
        <w:tc>
          <w:tcPr>
            <w:tcW w:w="623" w:type="pct"/>
            <w:shd w:val="clear" w:color="auto" w:fill="auto"/>
            <w:vAlign w:val="center"/>
          </w:tcPr>
          <w:p w14:paraId="00D1649E">
            <w:pPr>
              <w:widowControl/>
              <w:spacing w:line="360" w:lineRule="auto"/>
              <w:jc w:val="left"/>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强弱电布线</w:t>
            </w:r>
          </w:p>
        </w:tc>
        <w:tc>
          <w:tcPr>
            <w:tcW w:w="450" w:type="pct"/>
            <w:shd w:val="clear" w:color="auto" w:fill="auto"/>
            <w:noWrap/>
            <w:vAlign w:val="center"/>
          </w:tcPr>
          <w:p w14:paraId="0ED37EB2">
            <w:pPr>
              <w:widowControl/>
              <w:spacing w:line="360" w:lineRule="auto"/>
              <w:jc w:val="center"/>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项</w:t>
            </w:r>
          </w:p>
        </w:tc>
        <w:tc>
          <w:tcPr>
            <w:tcW w:w="611" w:type="pct"/>
            <w:shd w:val="clear" w:color="auto" w:fill="auto"/>
            <w:noWrap/>
            <w:vAlign w:val="center"/>
          </w:tcPr>
          <w:p w14:paraId="7A48BCC1">
            <w:pPr>
              <w:widowControl/>
              <w:spacing w:line="360" w:lineRule="auto"/>
              <w:jc w:val="center"/>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kern w:val="0"/>
                <w:sz w:val="21"/>
                <w:szCs w:val="21"/>
                <w:highlight w:val="none"/>
                <w:lang w:bidi="ar"/>
              </w:rPr>
              <w:t>1</w:t>
            </w:r>
          </w:p>
        </w:tc>
        <w:tc>
          <w:tcPr>
            <w:tcW w:w="2970" w:type="pct"/>
            <w:shd w:val="clear" w:color="auto" w:fill="auto"/>
            <w:vAlign w:val="center"/>
          </w:tcPr>
          <w:p w14:paraId="0012D6CD">
            <w:pPr>
              <w:widowControl/>
              <w:spacing w:line="360" w:lineRule="auto"/>
              <w:jc w:val="left"/>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强弱电布线施工</w:t>
            </w:r>
          </w:p>
        </w:tc>
      </w:tr>
      <w:tr w14:paraId="1BA62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4" w:type="pct"/>
            <w:shd w:val="clear" w:color="auto" w:fill="auto"/>
            <w:noWrap/>
            <w:vAlign w:val="center"/>
          </w:tcPr>
          <w:p w14:paraId="09A8165A">
            <w:pPr>
              <w:widowControl/>
              <w:spacing w:line="360" w:lineRule="auto"/>
              <w:jc w:val="center"/>
              <w:textAlignment w:val="center"/>
              <w:rPr>
                <w:rFonts w:hint="default" w:ascii="Times New Roman" w:hAnsi="Times New Roman" w:eastAsia="方正兰亭黑简体" w:cs="Times New Roman"/>
                <w:color w:val="auto"/>
                <w:kern w:val="0"/>
                <w:sz w:val="21"/>
                <w:szCs w:val="21"/>
                <w:highlight w:val="none"/>
                <w:lang w:bidi="ar"/>
              </w:rPr>
            </w:pPr>
            <w:r>
              <w:rPr>
                <w:rFonts w:hint="default" w:ascii="Times New Roman" w:hAnsi="Times New Roman" w:eastAsia="方正兰亭黑简体" w:cs="Times New Roman"/>
                <w:color w:val="auto"/>
                <w:kern w:val="0"/>
                <w:sz w:val="21"/>
                <w:szCs w:val="21"/>
                <w:highlight w:val="none"/>
                <w:lang w:bidi="ar"/>
              </w:rPr>
              <w:t>12</w:t>
            </w:r>
          </w:p>
        </w:tc>
        <w:tc>
          <w:tcPr>
            <w:tcW w:w="1006" w:type="dxa"/>
            <w:shd w:val="clear" w:color="auto" w:fill="auto"/>
            <w:vAlign w:val="center"/>
          </w:tcPr>
          <w:p w14:paraId="11F061BD">
            <w:pPr>
              <w:widowControl/>
              <w:spacing w:line="360" w:lineRule="auto"/>
              <w:jc w:val="left"/>
              <w:textAlignment w:val="center"/>
              <w:rPr>
                <w:rFonts w:hint="default" w:ascii="Times New Roman" w:hAnsi="Times New Roman" w:eastAsia="方正兰亭黑简体" w:cs="Times New Roman"/>
                <w:color w:val="auto"/>
                <w:kern w:val="0"/>
                <w:sz w:val="21"/>
                <w:szCs w:val="21"/>
                <w:highlight w:val="none"/>
                <w:lang w:bidi="ar"/>
              </w:rPr>
            </w:pPr>
            <w:r>
              <w:rPr>
                <w:rFonts w:hint="default" w:ascii="Times New Roman" w:hAnsi="Times New Roman" w:eastAsia="方正兰亭黑简体" w:cs="Times New Roman"/>
                <w:color w:val="auto"/>
                <w:kern w:val="0"/>
                <w:sz w:val="21"/>
                <w:szCs w:val="21"/>
                <w:highlight w:val="none"/>
                <w:lang w:bidi="ar"/>
              </w:rPr>
              <w:t>其他</w:t>
            </w:r>
          </w:p>
        </w:tc>
        <w:tc>
          <w:tcPr>
            <w:tcW w:w="727" w:type="dxa"/>
            <w:shd w:val="clear" w:color="auto" w:fill="auto"/>
            <w:noWrap/>
            <w:vAlign w:val="center"/>
          </w:tcPr>
          <w:p w14:paraId="506953CB">
            <w:pPr>
              <w:widowControl/>
              <w:spacing w:line="360" w:lineRule="auto"/>
              <w:jc w:val="center"/>
              <w:textAlignment w:val="center"/>
              <w:rPr>
                <w:rFonts w:hint="default" w:ascii="Times New Roman" w:hAnsi="Times New Roman" w:eastAsia="方正兰亭黑简体" w:cs="Times New Roman"/>
                <w:color w:val="auto"/>
                <w:kern w:val="0"/>
                <w:sz w:val="21"/>
                <w:szCs w:val="21"/>
                <w:highlight w:val="none"/>
                <w:lang w:bidi="ar"/>
              </w:rPr>
            </w:pPr>
            <w:r>
              <w:rPr>
                <w:rFonts w:hint="default" w:ascii="Times New Roman" w:hAnsi="Times New Roman" w:eastAsia="方正兰亭黑简体" w:cs="Times New Roman"/>
                <w:color w:val="auto"/>
                <w:kern w:val="0"/>
                <w:sz w:val="21"/>
                <w:szCs w:val="21"/>
                <w:highlight w:val="none"/>
                <w:lang w:bidi="ar"/>
              </w:rPr>
              <w:t>项</w:t>
            </w:r>
          </w:p>
        </w:tc>
        <w:tc>
          <w:tcPr>
            <w:tcW w:w="987" w:type="dxa"/>
            <w:shd w:val="clear" w:color="auto" w:fill="auto"/>
            <w:noWrap/>
            <w:vAlign w:val="center"/>
          </w:tcPr>
          <w:p w14:paraId="49CE3CFB">
            <w:pPr>
              <w:widowControl/>
              <w:spacing w:line="360" w:lineRule="auto"/>
              <w:jc w:val="center"/>
              <w:textAlignment w:val="center"/>
              <w:rPr>
                <w:rFonts w:hint="default" w:ascii="Times New Roman" w:hAnsi="Times New Roman" w:eastAsia="方正兰亭黑简体" w:cs="Times New Roman"/>
                <w:color w:val="auto"/>
                <w:kern w:val="0"/>
                <w:sz w:val="21"/>
                <w:szCs w:val="21"/>
                <w:highlight w:val="none"/>
                <w:lang w:bidi="ar"/>
              </w:rPr>
            </w:pPr>
            <w:r>
              <w:rPr>
                <w:rFonts w:hint="default" w:ascii="Times New Roman" w:hAnsi="Times New Roman" w:eastAsia="方正兰亭黑简体" w:cs="Times New Roman"/>
                <w:color w:val="auto"/>
                <w:kern w:val="0"/>
                <w:sz w:val="21"/>
                <w:szCs w:val="21"/>
                <w:highlight w:val="none"/>
                <w:lang w:bidi="ar"/>
              </w:rPr>
              <w:t>1</w:t>
            </w:r>
          </w:p>
        </w:tc>
        <w:tc>
          <w:tcPr>
            <w:tcW w:w="4793" w:type="dxa"/>
            <w:shd w:val="clear" w:color="auto" w:fill="auto"/>
            <w:vAlign w:val="center"/>
          </w:tcPr>
          <w:p w14:paraId="2D039338">
            <w:pPr>
              <w:widowControl/>
              <w:spacing w:line="360" w:lineRule="auto"/>
              <w:jc w:val="left"/>
              <w:textAlignment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以上要求为基本要求，投标人报价应包括实现LED屏运行功能的全部配件以及运输、安装、调试等全部费用。投标人需根据现场预留情况，结合招标人要求进行深化，出具相关图纸。</w:t>
            </w:r>
          </w:p>
        </w:tc>
      </w:tr>
    </w:tbl>
    <w:p w14:paraId="349D5CF7">
      <w:pPr>
        <w:widowControl/>
        <w:shd w:val="clear" w:color="auto" w:fill="FFFFFF"/>
        <w:spacing w:line="240" w:lineRule="auto"/>
        <w:jc w:val="left"/>
        <w:rPr>
          <w:rFonts w:hint="eastAsia" w:ascii="方正兰亭黑简体" w:hAnsi="方正兰亭黑简体" w:eastAsia="方正兰亭黑简体" w:cs="方正兰亭黑简体"/>
          <w:b/>
          <w:bCs/>
          <w:color w:val="auto"/>
          <w:kern w:val="0"/>
          <w:sz w:val="22"/>
          <w:szCs w:val="22"/>
          <w:highlight w:val="none"/>
          <w:lang w:val="en-US" w:eastAsia="zh-CN"/>
        </w:rPr>
      </w:pPr>
    </w:p>
    <w:p w14:paraId="34E97200">
      <w:pPr>
        <w:widowControl/>
        <w:shd w:val="clear" w:color="auto" w:fill="FFFFFF"/>
        <w:spacing w:line="240" w:lineRule="auto"/>
        <w:jc w:val="left"/>
        <w:rPr>
          <w:rFonts w:hint="eastAsia" w:ascii="方正兰亭黑简体" w:hAnsi="方正兰亭黑简体" w:eastAsia="方正兰亭黑简体" w:cs="方正兰亭黑简体"/>
          <w:color w:val="auto"/>
          <w:kern w:val="0"/>
          <w:sz w:val="22"/>
          <w:szCs w:val="22"/>
          <w:highlight w:val="none"/>
          <w:lang w:val="en-US" w:eastAsia="zh-CN"/>
        </w:rPr>
      </w:pPr>
      <w:r>
        <w:rPr>
          <w:rFonts w:hint="eastAsia" w:ascii="方正兰亭黑简体" w:hAnsi="方正兰亭黑简体" w:eastAsia="方正兰亭黑简体" w:cs="方正兰亭黑简体"/>
          <w:b/>
          <w:bCs/>
          <w:color w:val="auto"/>
          <w:kern w:val="0"/>
          <w:sz w:val="22"/>
          <w:szCs w:val="22"/>
          <w:highlight w:val="none"/>
          <w:lang w:val="en-US" w:eastAsia="zh-CN"/>
        </w:rPr>
        <w:t>四</w:t>
      </w:r>
      <w:r>
        <w:rPr>
          <w:rFonts w:hint="default" w:ascii="方正兰亭黑简体" w:hAnsi="方正兰亭黑简体" w:eastAsia="方正兰亭黑简体" w:cs="方正兰亭黑简体"/>
          <w:b/>
          <w:bCs/>
          <w:color w:val="auto"/>
          <w:kern w:val="0"/>
          <w:sz w:val="22"/>
          <w:szCs w:val="22"/>
          <w:highlight w:val="none"/>
          <w:lang w:val="en-US" w:eastAsia="zh-CN"/>
        </w:rPr>
        <w:t>、</w:t>
      </w:r>
      <w:r>
        <w:rPr>
          <w:rFonts w:hint="eastAsia" w:ascii="方正兰亭黑简体" w:hAnsi="方正兰亭黑简体" w:eastAsia="方正兰亭黑简体" w:cs="方正兰亭黑简体"/>
          <w:b/>
          <w:bCs/>
          <w:color w:val="auto"/>
          <w:kern w:val="0"/>
          <w:sz w:val="22"/>
          <w:szCs w:val="22"/>
          <w:highlight w:val="none"/>
          <w:lang w:val="en-US" w:eastAsia="zh-CN"/>
        </w:rPr>
        <w:t>其他要求</w:t>
      </w:r>
    </w:p>
    <w:p w14:paraId="3D8E4728">
      <w:pPr>
        <w:widowControl/>
        <w:autoSpaceDE w:val="0"/>
        <w:autoSpaceDN w:val="0"/>
        <w:adjustRightInd w:val="0"/>
        <w:snapToGrid w:val="0"/>
        <w:spacing w:line="360" w:lineRule="auto"/>
        <w:jc w:val="left"/>
        <w:rPr>
          <w:rFonts w:hint="eastAsia" w:ascii="方正兰亭黑简体" w:hAnsi="方正兰亭黑简体" w:eastAsia="方正兰亭黑简体" w:cs="方正兰亭黑简体"/>
          <w:color w:val="auto"/>
          <w:sz w:val="22"/>
          <w:szCs w:val="22"/>
          <w:highlight w:val="none"/>
          <w:u w:val="none"/>
          <w:lang w:val="en-US" w:eastAsia="zh-CN"/>
        </w:rPr>
      </w:pPr>
      <w:r>
        <w:rPr>
          <w:rFonts w:hint="eastAsia" w:ascii="方正兰亭黑简体" w:hAnsi="方正兰亭黑简体" w:eastAsia="方正兰亭黑简体" w:cs="方正兰亭黑简体"/>
          <w:color w:val="auto"/>
          <w:sz w:val="22"/>
          <w:szCs w:val="22"/>
          <w:highlight w:val="none"/>
          <w:u w:val="none"/>
          <w:lang w:val="en-US" w:eastAsia="zh-CN"/>
        </w:rPr>
        <w:t>1、售后服务：所有硬件5年免费保修、所有软件5年免费维护升级、电话报修后8小时上门服务、24小时内排除故障。</w:t>
      </w:r>
    </w:p>
    <w:p w14:paraId="4BC82F22">
      <w:pPr>
        <w:widowControl/>
        <w:autoSpaceDE w:val="0"/>
        <w:autoSpaceDN w:val="0"/>
        <w:adjustRightInd w:val="0"/>
        <w:snapToGrid w:val="0"/>
        <w:spacing w:line="360" w:lineRule="auto"/>
        <w:jc w:val="left"/>
        <w:rPr>
          <w:rFonts w:hint="eastAsia" w:ascii="方正兰亭黑简体" w:hAnsi="方正兰亭黑简体" w:eastAsia="方正兰亭黑简体" w:cs="方正兰亭黑简体"/>
          <w:color w:val="auto"/>
          <w:sz w:val="22"/>
          <w:szCs w:val="22"/>
          <w:highlight w:val="none"/>
          <w:u w:val="none"/>
          <w:lang w:val="zh-CN" w:eastAsia="zh-CN"/>
        </w:rPr>
      </w:pPr>
      <w:r>
        <w:rPr>
          <w:rFonts w:hint="eastAsia" w:ascii="方正兰亭黑简体" w:hAnsi="方正兰亭黑简体" w:eastAsia="方正兰亭黑简体" w:cs="方正兰亭黑简体"/>
          <w:color w:val="auto"/>
          <w:sz w:val="22"/>
          <w:szCs w:val="22"/>
          <w:highlight w:val="none"/>
          <w:u w:val="none"/>
          <w:lang w:val="en-US" w:eastAsia="zh-CN"/>
        </w:rPr>
        <w:t>所有硬件过免费保修期后按原价维修（按投标货物价格数量表所列价格，更换零部件的按合同签订时的零部件价格）、所有软件过免费维护升级期后按按原价的进行维修升级，响应速度同保修期响应速度。</w:t>
      </w:r>
    </w:p>
    <w:p w14:paraId="034F0627">
      <w:pPr>
        <w:widowControl/>
        <w:shd w:val="clear" w:color="auto" w:fill="FFFFFF"/>
        <w:spacing w:line="240" w:lineRule="auto"/>
        <w:jc w:val="left"/>
        <w:rPr>
          <w:rFonts w:hint="default" w:ascii="方正兰亭黑简体" w:hAnsi="方正兰亭黑简体" w:eastAsia="方正兰亭黑简体" w:cs="方正兰亭黑简体"/>
          <w:color w:val="auto"/>
          <w:sz w:val="22"/>
          <w:szCs w:val="22"/>
          <w:highlight w:val="none"/>
          <w:u w:val="none"/>
          <w:lang w:val="en-US" w:eastAsia="zh-CN"/>
        </w:rPr>
      </w:pPr>
      <w:r>
        <w:rPr>
          <w:rFonts w:hint="eastAsia" w:ascii="方正兰亭黑简体" w:hAnsi="方正兰亭黑简体" w:eastAsia="方正兰亭黑简体" w:cs="方正兰亭黑简体"/>
          <w:color w:val="auto"/>
          <w:sz w:val="22"/>
          <w:szCs w:val="22"/>
          <w:highlight w:val="none"/>
          <w:u w:val="none"/>
          <w:lang w:val="en-US" w:eastAsia="zh-CN"/>
        </w:rPr>
        <w:t>2、培训要求：安装调试完成后，向招标人至少提供1次免费培训。</w:t>
      </w:r>
    </w:p>
    <w:p w14:paraId="590EB7B8">
      <w:pPr>
        <w:widowControl/>
        <w:shd w:val="clear" w:color="auto" w:fill="FFFFFF"/>
        <w:spacing w:line="240" w:lineRule="auto"/>
        <w:jc w:val="left"/>
        <w:rPr>
          <w:rFonts w:hint="default" w:ascii="方正兰亭黑简体" w:hAnsi="方正兰亭黑简体" w:eastAsia="方正兰亭黑简体" w:cs="方正兰亭黑简体"/>
          <w:color w:val="auto"/>
          <w:sz w:val="22"/>
          <w:szCs w:val="22"/>
          <w:highlight w:val="none"/>
          <w:u w:val="none"/>
          <w:lang w:val="en-US" w:eastAsia="zh-CN"/>
        </w:rPr>
      </w:pPr>
      <w:r>
        <w:rPr>
          <w:rFonts w:hint="eastAsia" w:ascii="方正兰亭黑简体" w:hAnsi="方正兰亭黑简体" w:eastAsia="方正兰亭黑简体" w:cs="方正兰亭黑简体"/>
          <w:color w:val="auto"/>
          <w:sz w:val="22"/>
          <w:szCs w:val="22"/>
          <w:highlight w:val="none"/>
          <w:u w:val="none"/>
          <w:lang w:val="en-US" w:eastAsia="zh-CN"/>
        </w:rPr>
        <w:t>3、履约验收：安装调试完成具备验收条件后，采购方邀请校内主管部门进行验收，包括现场实体验收和资料验收，验收标准按照招标要求及国家相关规范。</w:t>
      </w:r>
    </w:p>
    <w:p w14:paraId="104324FB">
      <w:pPr>
        <w:rPr>
          <w:rFonts w:hint="eastAsia"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br w:type="page"/>
      </w:r>
    </w:p>
    <w:p w14:paraId="6F08D747">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第三章 评审办法</w:t>
      </w:r>
    </w:p>
    <w:p w14:paraId="69EFEE19">
      <w:pPr>
        <w:ind w:firstLine="440" w:firstLineChars="200"/>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综合本项目的特点，根据相关法律法规的规定，本着保护竞争，维护采购工作公开、公平、公正原则，特制定本评审办法，作为选定本次采购</w:t>
      </w:r>
      <w:r>
        <w:rPr>
          <w:rFonts w:hint="eastAsia" w:ascii="方正兰亭黑简体" w:hAnsi="方正兰亭黑简体" w:eastAsia="方正兰亭黑简体" w:cs="方正兰亭黑简体"/>
          <w:color w:val="auto"/>
          <w:sz w:val="22"/>
          <w:szCs w:val="28"/>
          <w:highlight w:val="none"/>
          <w:lang w:eastAsia="zh-CN"/>
        </w:rPr>
        <w:t>中标</w:t>
      </w:r>
      <w:r>
        <w:rPr>
          <w:rFonts w:hint="eastAsia" w:ascii="方正兰亭黑简体" w:hAnsi="方正兰亭黑简体" w:eastAsia="方正兰亭黑简体" w:cs="方正兰亭黑简体"/>
          <w:color w:val="auto"/>
          <w:sz w:val="22"/>
          <w:szCs w:val="28"/>
          <w:highlight w:val="none"/>
        </w:rPr>
        <w:t>人的依据。</w:t>
      </w:r>
    </w:p>
    <w:p w14:paraId="117C4525">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lang w:val="en-US" w:eastAsia="zh-CN"/>
        </w:rPr>
        <w:t>1、成立比选评审小组</w:t>
      </w:r>
    </w:p>
    <w:p w14:paraId="49C58FDA">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采购人将根据</w:t>
      </w:r>
      <w:r>
        <w:rPr>
          <w:rFonts w:hint="eastAsia" w:ascii="方正兰亭黑简体" w:hAnsi="方正兰亭黑简体" w:eastAsia="方正兰亭黑简体" w:cs="方正兰亭黑简体"/>
          <w:color w:val="auto"/>
          <w:sz w:val="22"/>
          <w:szCs w:val="28"/>
          <w:highlight w:val="none"/>
          <w:lang w:val="en-US" w:eastAsia="zh-CN"/>
        </w:rPr>
        <w:t>货物与服务</w:t>
      </w:r>
      <w:r>
        <w:rPr>
          <w:rFonts w:hint="eastAsia" w:ascii="方正兰亭黑简体" w:hAnsi="方正兰亭黑简体" w:eastAsia="方正兰亭黑简体" w:cs="方正兰亭黑简体"/>
          <w:color w:val="auto"/>
          <w:sz w:val="22"/>
          <w:szCs w:val="28"/>
          <w:highlight w:val="none"/>
        </w:rPr>
        <w:t>的特点，依</w:t>
      </w:r>
      <w:r>
        <w:rPr>
          <w:rFonts w:hint="eastAsia" w:ascii="方正兰亭黑简体" w:hAnsi="方正兰亭黑简体" w:eastAsia="方正兰亭黑简体" w:cs="方正兰亭黑简体"/>
          <w:color w:val="auto"/>
          <w:sz w:val="22"/>
          <w:szCs w:val="28"/>
          <w:highlight w:val="none"/>
          <w:lang w:val="en-US" w:eastAsia="zh-CN"/>
        </w:rPr>
        <w:t>规</w:t>
      </w:r>
      <w:r>
        <w:rPr>
          <w:rFonts w:hint="eastAsia" w:ascii="方正兰亭黑简体" w:hAnsi="方正兰亭黑简体" w:eastAsia="方正兰亭黑简体" w:cs="方正兰亭黑简体"/>
          <w:color w:val="auto"/>
          <w:sz w:val="22"/>
          <w:szCs w:val="28"/>
          <w:highlight w:val="none"/>
        </w:rPr>
        <w:t>组建比选小组，比选小组由3人或以上的单数组成。</w:t>
      </w:r>
    </w:p>
    <w:p w14:paraId="123C9161">
      <w:pPr>
        <w:numPr>
          <w:ilvl w:val="0"/>
          <w:numId w:val="0"/>
        </w:num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kern w:val="2"/>
          <w:sz w:val="22"/>
          <w:szCs w:val="28"/>
          <w:highlight w:val="none"/>
          <w:lang w:val="en-US" w:eastAsia="zh-CN" w:bidi="ar-SA"/>
        </w:rPr>
        <w:t>2、</w:t>
      </w:r>
      <w:r>
        <w:rPr>
          <w:rFonts w:hint="eastAsia" w:ascii="方正兰亭黑简体" w:hAnsi="方正兰亭黑简体" w:eastAsia="方正兰亭黑简体" w:cs="方正兰亭黑简体"/>
          <w:color w:val="auto"/>
          <w:sz w:val="22"/>
          <w:szCs w:val="28"/>
          <w:highlight w:val="none"/>
        </w:rPr>
        <w:t>具体评分细则如下：</w:t>
      </w:r>
    </w:p>
    <w:tbl>
      <w:tblPr>
        <w:tblStyle w:val="14"/>
        <w:tblW w:w="4984"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653"/>
        <w:gridCol w:w="1734"/>
        <w:gridCol w:w="713"/>
        <w:gridCol w:w="6830"/>
      </w:tblGrid>
      <w:tr w14:paraId="64002D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742FB554">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序号</w:t>
            </w:r>
          </w:p>
        </w:tc>
        <w:tc>
          <w:tcPr>
            <w:tcW w:w="873" w:type="pct"/>
            <w:noWrap w:val="0"/>
            <w:vAlign w:val="center"/>
          </w:tcPr>
          <w:p w14:paraId="5F54B63A">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评审因素</w:t>
            </w:r>
          </w:p>
        </w:tc>
        <w:tc>
          <w:tcPr>
            <w:tcW w:w="359" w:type="pct"/>
            <w:noWrap w:val="0"/>
            <w:vAlign w:val="center"/>
          </w:tcPr>
          <w:p w14:paraId="25FE165D">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分值</w:t>
            </w:r>
          </w:p>
        </w:tc>
        <w:tc>
          <w:tcPr>
            <w:tcW w:w="3436" w:type="pct"/>
            <w:noWrap w:val="0"/>
            <w:vAlign w:val="center"/>
          </w:tcPr>
          <w:p w14:paraId="1A737473">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评分说明</w:t>
            </w:r>
          </w:p>
        </w:tc>
      </w:tr>
      <w:tr w14:paraId="41C4C73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00" w:type="pct"/>
            <w:gridSpan w:val="4"/>
            <w:noWrap w:val="0"/>
            <w:vAlign w:val="center"/>
          </w:tcPr>
          <w:p w14:paraId="3FFFCA77">
            <w:pPr>
              <w:spacing w:line="36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一、价格部分</w:t>
            </w:r>
          </w:p>
        </w:tc>
      </w:tr>
      <w:tr w14:paraId="7E29D1B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10CE2961">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1</w:t>
            </w:r>
          </w:p>
        </w:tc>
        <w:tc>
          <w:tcPr>
            <w:tcW w:w="873" w:type="pct"/>
            <w:noWrap w:val="0"/>
            <w:vAlign w:val="center"/>
          </w:tcPr>
          <w:p w14:paraId="69DFDD83">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价格得分</w:t>
            </w:r>
          </w:p>
          <w:p w14:paraId="5224EE0B">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客观分</w:t>
            </w:r>
            <w:r>
              <w:rPr>
                <w:rFonts w:hint="eastAsia" w:ascii="方正兰亭黑简体" w:hAnsi="方正兰亭黑简体" w:eastAsia="方正兰亭黑简体" w:cs="方正兰亭黑简体"/>
                <w:color w:val="auto"/>
                <w:sz w:val="20"/>
                <w:szCs w:val="20"/>
                <w:highlight w:val="none"/>
                <w:lang w:eastAsia="zh-CN"/>
              </w:rPr>
              <w:t>）</w:t>
            </w:r>
          </w:p>
        </w:tc>
        <w:tc>
          <w:tcPr>
            <w:tcW w:w="359" w:type="pct"/>
            <w:noWrap w:val="0"/>
            <w:vAlign w:val="center"/>
          </w:tcPr>
          <w:p w14:paraId="4CB6FE52">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30</w:t>
            </w:r>
          </w:p>
        </w:tc>
        <w:tc>
          <w:tcPr>
            <w:tcW w:w="3436" w:type="pct"/>
            <w:noWrap w:val="0"/>
            <w:vAlign w:val="center"/>
          </w:tcPr>
          <w:p w14:paraId="7EE17ECD">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采用低价优先法计算，即满足</w:t>
            </w:r>
            <w:r>
              <w:rPr>
                <w:rFonts w:hint="eastAsia" w:ascii="方正兰亭黑简体" w:hAnsi="方正兰亭黑简体" w:eastAsia="方正兰亭黑简体" w:cs="方正兰亭黑简体"/>
                <w:color w:val="auto"/>
                <w:sz w:val="20"/>
                <w:szCs w:val="20"/>
                <w:highlight w:val="none"/>
                <w:lang w:val="en-US" w:eastAsia="zh-CN"/>
              </w:rPr>
              <w:t>比选</w:t>
            </w:r>
            <w:r>
              <w:rPr>
                <w:rFonts w:hint="eastAsia" w:ascii="方正兰亭黑简体" w:hAnsi="方正兰亭黑简体" w:eastAsia="方正兰亭黑简体" w:cs="方正兰亭黑简体"/>
                <w:color w:val="auto"/>
                <w:sz w:val="20"/>
                <w:szCs w:val="20"/>
                <w:highlight w:val="none"/>
              </w:rPr>
              <w:t>文件要求且</w:t>
            </w:r>
            <w:r>
              <w:rPr>
                <w:rFonts w:hint="eastAsia" w:ascii="方正兰亭黑简体" w:hAnsi="方正兰亭黑简体" w:eastAsia="方正兰亭黑简体" w:cs="方正兰亭黑简体"/>
                <w:color w:val="auto"/>
                <w:sz w:val="20"/>
                <w:szCs w:val="20"/>
                <w:highlight w:val="none"/>
                <w:lang w:val="en-US" w:eastAsia="zh-CN"/>
              </w:rPr>
              <w:t>最低</w:t>
            </w:r>
            <w:r>
              <w:rPr>
                <w:rFonts w:hint="eastAsia" w:ascii="方正兰亭黑简体" w:hAnsi="方正兰亭黑简体" w:eastAsia="方正兰亭黑简体" w:cs="方正兰亭黑简体"/>
                <w:color w:val="auto"/>
                <w:sz w:val="20"/>
                <w:szCs w:val="20"/>
                <w:highlight w:val="none"/>
              </w:rPr>
              <w:t>的报价为基准价，其价格分为满分30分。其他报价</w:t>
            </w:r>
            <w:r>
              <w:rPr>
                <w:rFonts w:hint="eastAsia" w:ascii="方正兰亭黑简体" w:hAnsi="方正兰亭黑简体" w:eastAsia="方正兰亭黑简体" w:cs="方正兰亭黑简体"/>
                <w:color w:val="auto"/>
                <w:sz w:val="20"/>
                <w:szCs w:val="20"/>
                <w:highlight w:val="none"/>
                <w:lang w:val="en-US" w:eastAsia="zh-CN"/>
              </w:rPr>
              <w:t>单位</w:t>
            </w:r>
            <w:r>
              <w:rPr>
                <w:rFonts w:hint="eastAsia" w:ascii="方正兰亭黑简体" w:hAnsi="方正兰亭黑简体" w:eastAsia="方正兰亭黑简体" w:cs="方正兰亭黑简体"/>
                <w:color w:val="auto"/>
                <w:sz w:val="20"/>
                <w:szCs w:val="20"/>
                <w:highlight w:val="none"/>
              </w:rPr>
              <w:t>的报价得分计算公式如下：</w:t>
            </w:r>
          </w:p>
          <w:p w14:paraId="00A2DA11">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报价得分＝30×（评标基准价/投标报价）。</w:t>
            </w:r>
          </w:p>
        </w:tc>
      </w:tr>
      <w:tr w14:paraId="1CE67C5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00" w:type="pct"/>
            <w:gridSpan w:val="4"/>
            <w:noWrap w:val="0"/>
            <w:vAlign w:val="center"/>
          </w:tcPr>
          <w:p w14:paraId="14AC1211">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二、商务</w:t>
            </w: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rPr>
              <w:t>技术部分</w:t>
            </w:r>
          </w:p>
        </w:tc>
      </w:tr>
      <w:tr w14:paraId="603C329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69B44514">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2</w:t>
            </w:r>
          </w:p>
        </w:tc>
        <w:tc>
          <w:tcPr>
            <w:tcW w:w="873" w:type="pct"/>
            <w:noWrap w:val="0"/>
            <w:vAlign w:val="center"/>
          </w:tcPr>
          <w:p w14:paraId="4BAF2162">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经验业绩</w:t>
            </w:r>
          </w:p>
          <w:p w14:paraId="654A2B2C">
            <w:pPr>
              <w:spacing w:line="36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客观分</w:t>
            </w:r>
            <w:r>
              <w:rPr>
                <w:rFonts w:hint="eastAsia" w:ascii="方正兰亭黑简体" w:hAnsi="方正兰亭黑简体" w:eastAsia="方正兰亭黑简体" w:cs="方正兰亭黑简体"/>
                <w:color w:val="auto"/>
                <w:sz w:val="20"/>
                <w:szCs w:val="20"/>
                <w:highlight w:val="none"/>
                <w:lang w:eastAsia="zh-CN"/>
              </w:rPr>
              <w:t>）</w:t>
            </w:r>
          </w:p>
        </w:tc>
        <w:tc>
          <w:tcPr>
            <w:tcW w:w="359" w:type="pct"/>
            <w:noWrap w:val="0"/>
            <w:vAlign w:val="center"/>
          </w:tcPr>
          <w:p w14:paraId="7C2DAE44">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rPr>
              <w:t>1</w:t>
            </w:r>
            <w:r>
              <w:rPr>
                <w:rFonts w:hint="eastAsia" w:ascii="方正兰亭黑简体" w:hAnsi="方正兰亭黑简体" w:eastAsia="方正兰亭黑简体" w:cs="方正兰亭黑简体"/>
                <w:color w:val="auto"/>
                <w:sz w:val="20"/>
                <w:szCs w:val="20"/>
                <w:highlight w:val="none"/>
                <w:lang w:val="en-US" w:eastAsia="zh-CN"/>
              </w:rPr>
              <w:t>5</w:t>
            </w:r>
          </w:p>
        </w:tc>
        <w:tc>
          <w:tcPr>
            <w:tcW w:w="3436" w:type="pct"/>
            <w:noWrap w:val="0"/>
            <w:vAlign w:val="center"/>
          </w:tcPr>
          <w:p w14:paraId="4A5A3383">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lang w:val="en-US" w:eastAsia="zh-CN"/>
              </w:rPr>
              <w:t>提供</w:t>
            </w:r>
            <w:r>
              <w:rPr>
                <w:rFonts w:hint="eastAsia" w:ascii="方正兰亭黑简体" w:hAnsi="方正兰亭黑简体" w:eastAsia="方正兰亭黑简体" w:cs="方正兰亭黑简体"/>
                <w:color w:val="auto"/>
                <w:sz w:val="20"/>
                <w:szCs w:val="20"/>
                <w:highlight w:val="none"/>
              </w:rPr>
              <w:t>近3年（合同签订日期自202</w:t>
            </w:r>
            <w:r>
              <w:rPr>
                <w:rFonts w:hint="eastAsia" w:ascii="方正兰亭黑简体" w:hAnsi="方正兰亭黑简体" w:eastAsia="方正兰亭黑简体" w:cs="方正兰亭黑简体"/>
                <w:color w:val="auto"/>
                <w:sz w:val="20"/>
                <w:szCs w:val="20"/>
                <w:highlight w:val="none"/>
                <w:lang w:val="en-US" w:eastAsia="zh-CN"/>
              </w:rPr>
              <w:t>3</w:t>
            </w:r>
            <w:r>
              <w:rPr>
                <w:rFonts w:hint="eastAsia" w:ascii="方正兰亭黑简体" w:hAnsi="方正兰亭黑简体" w:eastAsia="方正兰亭黑简体" w:cs="方正兰亭黑简体"/>
                <w:color w:val="auto"/>
                <w:sz w:val="20"/>
                <w:szCs w:val="20"/>
                <w:highlight w:val="none"/>
              </w:rPr>
              <w:t>年</w:t>
            </w:r>
            <w:r>
              <w:rPr>
                <w:rFonts w:hint="eastAsia" w:ascii="方正兰亭黑简体" w:hAnsi="方正兰亭黑简体" w:eastAsia="方正兰亭黑简体" w:cs="方正兰亭黑简体"/>
                <w:color w:val="auto"/>
                <w:sz w:val="20"/>
                <w:szCs w:val="20"/>
                <w:highlight w:val="none"/>
                <w:lang w:val="en-US" w:eastAsia="zh-CN"/>
              </w:rPr>
              <w:t>10</w:t>
            </w:r>
            <w:r>
              <w:rPr>
                <w:rFonts w:hint="eastAsia" w:ascii="方正兰亭黑简体" w:hAnsi="方正兰亭黑简体" w:eastAsia="方正兰亭黑简体" w:cs="方正兰亭黑简体"/>
                <w:color w:val="auto"/>
                <w:sz w:val="20"/>
                <w:szCs w:val="20"/>
                <w:highlight w:val="none"/>
              </w:rPr>
              <w:t>月起至今）</w:t>
            </w:r>
            <w:r>
              <w:rPr>
                <w:rFonts w:hint="eastAsia" w:ascii="方正兰亭黑简体" w:hAnsi="方正兰亭黑简体" w:eastAsia="方正兰亭黑简体" w:cs="方正兰亭黑简体"/>
                <w:color w:val="auto"/>
                <w:sz w:val="20"/>
                <w:szCs w:val="20"/>
                <w:highlight w:val="none"/>
                <w:lang w:val="en-US" w:eastAsia="zh-CN"/>
              </w:rPr>
              <w:t>业绩案例</w:t>
            </w:r>
            <w:r>
              <w:rPr>
                <w:rFonts w:hint="eastAsia" w:ascii="方正兰亭黑简体" w:hAnsi="方正兰亭黑简体" w:eastAsia="方正兰亭黑简体" w:cs="方正兰亭黑简体"/>
                <w:color w:val="auto"/>
                <w:sz w:val="20"/>
                <w:szCs w:val="20"/>
                <w:highlight w:val="none"/>
              </w:rPr>
              <w:t>。（每提供1个得</w:t>
            </w:r>
            <w:r>
              <w:rPr>
                <w:rFonts w:hint="eastAsia" w:ascii="方正兰亭黑简体" w:hAnsi="方正兰亭黑简体" w:eastAsia="方正兰亭黑简体" w:cs="方正兰亭黑简体"/>
                <w:color w:val="auto"/>
                <w:sz w:val="20"/>
                <w:szCs w:val="20"/>
                <w:highlight w:val="none"/>
                <w:lang w:val="en-US" w:eastAsia="zh-CN"/>
              </w:rPr>
              <w:t>5</w:t>
            </w:r>
            <w:r>
              <w:rPr>
                <w:rFonts w:hint="eastAsia" w:ascii="方正兰亭黑简体" w:hAnsi="方正兰亭黑简体" w:eastAsia="方正兰亭黑简体" w:cs="方正兰亭黑简体"/>
                <w:color w:val="auto"/>
                <w:sz w:val="20"/>
                <w:szCs w:val="20"/>
                <w:highlight w:val="none"/>
              </w:rPr>
              <w:t>分；最高得1</w:t>
            </w:r>
            <w:r>
              <w:rPr>
                <w:rFonts w:hint="eastAsia" w:ascii="方正兰亭黑简体" w:hAnsi="方正兰亭黑简体" w:eastAsia="方正兰亭黑简体" w:cs="方正兰亭黑简体"/>
                <w:color w:val="auto"/>
                <w:sz w:val="20"/>
                <w:szCs w:val="20"/>
                <w:highlight w:val="none"/>
                <w:lang w:val="en-US" w:eastAsia="zh-CN"/>
              </w:rPr>
              <w:t>5</w:t>
            </w:r>
            <w:r>
              <w:rPr>
                <w:rFonts w:hint="eastAsia" w:ascii="方正兰亭黑简体" w:hAnsi="方正兰亭黑简体" w:eastAsia="方正兰亭黑简体" w:cs="方正兰亭黑简体"/>
                <w:color w:val="auto"/>
                <w:sz w:val="20"/>
                <w:szCs w:val="20"/>
                <w:highlight w:val="none"/>
              </w:rPr>
              <w:t>分）注：需提供相关业绩的合同复印件，否则将不予认可。</w:t>
            </w:r>
          </w:p>
        </w:tc>
      </w:tr>
      <w:tr w14:paraId="4674DA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147D3766">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3</w:t>
            </w:r>
          </w:p>
        </w:tc>
        <w:tc>
          <w:tcPr>
            <w:tcW w:w="873" w:type="pct"/>
            <w:noWrap w:val="0"/>
            <w:vAlign w:val="center"/>
          </w:tcPr>
          <w:p w14:paraId="069DEA50">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lang w:val="en-US" w:eastAsia="zh-CN"/>
              </w:rPr>
              <w:t>技术响应程度</w:t>
            </w:r>
          </w:p>
          <w:p w14:paraId="1793C67A">
            <w:pPr>
              <w:spacing w:line="36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客观分</w:t>
            </w:r>
            <w:r>
              <w:rPr>
                <w:rFonts w:hint="eastAsia" w:ascii="方正兰亭黑简体" w:hAnsi="方正兰亭黑简体" w:eastAsia="方正兰亭黑简体" w:cs="方正兰亭黑简体"/>
                <w:color w:val="auto"/>
                <w:sz w:val="20"/>
                <w:szCs w:val="20"/>
                <w:highlight w:val="none"/>
                <w:lang w:eastAsia="zh-CN"/>
              </w:rPr>
              <w:t>）</w:t>
            </w:r>
          </w:p>
        </w:tc>
        <w:tc>
          <w:tcPr>
            <w:tcW w:w="359" w:type="pct"/>
            <w:noWrap w:val="0"/>
            <w:vAlign w:val="center"/>
          </w:tcPr>
          <w:p w14:paraId="70332D36">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lang w:val="en-US" w:eastAsia="zh-CN"/>
              </w:rPr>
              <w:t>30</w:t>
            </w:r>
          </w:p>
        </w:tc>
        <w:tc>
          <w:tcPr>
            <w:tcW w:w="3436" w:type="pct"/>
            <w:shd w:val="clear" w:color="auto" w:fill="auto"/>
            <w:noWrap w:val="0"/>
            <w:vAlign w:val="center"/>
          </w:tcPr>
          <w:p w14:paraId="7461B042">
            <w:pPr>
              <w:spacing w:line="360" w:lineRule="auto"/>
              <w:jc w:val="both"/>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rPr>
              <w:t>针对第</w:t>
            </w:r>
            <w:r>
              <w:rPr>
                <w:rFonts w:hint="eastAsia" w:ascii="方正兰亭黑简体" w:hAnsi="方正兰亭黑简体" w:eastAsia="方正兰亭黑简体" w:cs="方正兰亭黑简体"/>
                <w:color w:val="auto"/>
                <w:sz w:val="20"/>
                <w:szCs w:val="20"/>
                <w:highlight w:val="none"/>
                <w:lang w:val="en-US" w:eastAsia="zh-CN"/>
              </w:rPr>
              <w:t>二</w:t>
            </w:r>
            <w:r>
              <w:rPr>
                <w:rFonts w:hint="eastAsia" w:ascii="方正兰亭黑简体" w:hAnsi="方正兰亭黑简体" w:eastAsia="方正兰亭黑简体" w:cs="方正兰亭黑简体"/>
                <w:color w:val="auto"/>
                <w:sz w:val="20"/>
                <w:szCs w:val="20"/>
                <w:highlight w:val="none"/>
              </w:rPr>
              <w:t>章中的</w:t>
            </w:r>
            <w:r>
              <w:rPr>
                <w:rFonts w:hint="eastAsia" w:ascii="方正兰亭黑简体" w:hAnsi="方正兰亭黑简体" w:eastAsia="方正兰亭黑简体" w:cs="方正兰亭黑简体"/>
                <w:color w:val="auto"/>
                <w:sz w:val="20"/>
                <w:szCs w:val="20"/>
                <w:highlight w:val="none"/>
                <w:lang w:val="en-US" w:eastAsia="zh-CN"/>
              </w:rPr>
              <w:t>采购需求</w:t>
            </w:r>
            <w:r>
              <w:rPr>
                <w:rFonts w:hint="eastAsia" w:ascii="方正兰亭黑简体" w:hAnsi="方正兰亭黑简体" w:eastAsia="方正兰亭黑简体" w:cs="方正兰亭黑简体"/>
                <w:color w:val="auto"/>
                <w:sz w:val="20"/>
                <w:szCs w:val="20"/>
                <w:highlight w:val="none"/>
              </w:rPr>
              <w:t>：不满足技术条款的，每项扣</w:t>
            </w:r>
            <w:r>
              <w:rPr>
                <w:rFonts w:hint="eastAsia" w:ascii="方正兰亭黑简体" w:hAnsi="方正兰亭黑简体" w:eastAsia="方正兰亭黑简体" w:cs="方正兰亭黑简体"/>
                <w:color w:val="auto"/>
                <w:sz w:val="20"/>
                <w:szCs w:val="20"/>
                <w:highlight w:val="none"/>
                <w:lang w:val="en-US" w:eastAsia="zh-CN"/>
              </w:rPr>
              <w:t>5</w:t>
            </w:r>
            <w:r>
              <w:rPr>
                <w:rFonts w:hint="eastAsia" w:ascii="方正兰亭黑简体" w:hAnsi="方正兰亭黑简体" w:eastAsia="方正兰亭黑简体" w:cs="方正兰亭黑简体"/>
                <w:color w:val="auto"/>
                <w:sz w:val="20"/>
                <w:szCs w:val="20"/>
                <w:highlight w:val="none"/>
              </w:rPr>
              <w:t>分；扣完为止。</w:t>
            </w:r>
          </w:p>
        </w:tc>
      </w:tr>
      <w:tr w14:paraId="3215571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67884245">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4</w:t>
            </w:r>
          </w:p>
        </w:tc>
        <w:tc>
          <w:tcPr>
            <w:tcW w:w="873" w:type="pct"/>
            <w:tcBorders>
              <w:top w:val="single" w:color="auto" w:sz="6" w:space="0"/>
              <w:left w:val="single" w:color="auto" w:sz="6" w:space="0"/>
              <w:bottom w:val="single" w:color="auto" w:sz="6" w:space="0"/>
              <w:right w:val="single" w:color="auto" w:sz="6" w:space="0"/>
            </w:tcBorders>
            <w:noWrap w:val="0"/>
            <w:vAlign w:val="center"/>
          </w:tcPr>
          <w:p w14:paraId="5083A718">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产品性能介绍</w:t>
            </w:r>
          </w:p>
          <w:p w14:paraId="1A5865D0">
            <w:pPr>
              <w:spacing w:line="36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主观分</w:t>
            </w:r>
            <w:r>
              <w:rPr>
                <w:rFonts w:hint="eastAsia" w:ascii="方正兰亭黑简体" w:hAnsi="方正兰亭黑简体" w:eastAsia="方正兰亭黑简体" w:cs="方正兰亭黑简体"/>
                <w:color w:val="auto"/>
                <w:sz w:val="20"/>
                <w:szCs w:val="20"/>
                <w:highlight w:val="none"/>
                <w:lang w:eastAsia="zh-CN"/>
              </w:rPr>
              <w:t>）</w:t>
            </w:r>
          </w:p>
        </w:tc>
        <w:tc>
          <w:tcPr>
            <w:tcW w:w="359" w:type="pct"/>
            <w:noWrap w:val="0"/>
            <w:vAlign w:val="center"/>
          </w:tcPr>
          <w:p w14:paraId="3662F0A0">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10</w:t>
            </w:r>
          </w:p>
        </w:tc>
        <w:tc>
          <w:tcPr>
            <w:tcW w:w="3436" w:type="pct"/>
            <w:noWrap w:val="0"/>
            <w:vAlign w:val="center"/>
          </w:tcPr>
          <w:p w14:paraId="37F6985E">
            <w:pPr>
              <w:spacing w:line="360" w:lineRule="auto"/>
              <w:jc w:val="both"/>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rPr>
              <w:t>优秀（</w:t>
            </w:r>
            <w:r>
              <w:rPr>
                <w:rFonts w:hint="eastAsia" w:ascii="方正兰亭黑简体" w:hAnsi="方正兰亭黑简体" w:eastAsia="方正兰亭黑简体" w:cs="方正兰亭黑简体"/>
                <w:color w:val="auto"/>
                <w:sz w:val="20"/>
                <w:szCs w:val="20"/>
                <w:highlight w:val="none"/>
                <w:lang w:val="en-US" w:eastAsia="zh-CN"/>
              </w:rPr>
              <w:t>8～10</w:t>
            </w:r>
            <w:r>
              <w:rPr>
                <w:rFonts w:hint="eastAsia" w:ascii="方正兰亭黑简体" w:hAnsi="方正兰亭黑简体" w:eastAsia="方正兰亭黑简体" w:cs="方正兰亭黑简体"/>
                <w:color w:val="auto"/>
                <w:sz w:val="20"/>
                <w:szCs w:val="20"/>
                <w:highlight w:val="none"/>
              </w:rPr>
              <w:t>分）：详细介绍了产品的各项性能参数</w:t>
            </w:r>
            <w:r>
              <w:rPr>
                <w:rFonts w:hint="eastAsia" w:ascii="方正兰亭黑简体" w:hAnsi="方正兰亭黑简体" w:eastAsia="方正兰亭黑简体" w:cs="方正兰亭黑简体"/>
                <w:color w:val="auto"/>
                <w:sz w:val="20"/>
                <w:szCs w:val="20"/>
                <w:highlight w:val="none"/>
                <w:lang w:eastAsia="zh-CN"/>
              </w:rPr>
              <w:t>。</w:t>
            </w:r>
          </w:p>
          <w:p w14:paraId="62A7189F">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良好（</w:t>
            </w:r>
            <w:r>
              <w:rPr>
                <w:rFonts w:hint="eastAsia" w:ascii="方正兰亭黑简体" w:hAnsi="方正兰亭黑简体" w:eastAsia="方正兰亭黑简体" w:cs="方正兰亭黑简体"/>
                <w:color w:val="auto"/>
                <w:sz w:val="20"/>
                <w:szCs w:val="20"/>
                <w:highlight w:val="none"/>
                <w:lang w:val="en-US" w:eastAsia="zh-CN"/>
              </w:rPr>
              <w:t>5～7</w:t>
            </w:r>
            <w:r>
              <w:rPr>
                <w:rFonts w:hint="eastAsia" w:ascii="方正兰亭黑简体" w:hAnsi="方正兰亭黑简体" w:eastAsia="方正兰亭黑简体" w:cs="方正兰亭黑简体"/>
                <w:color w:val="auto"/>
                <w:sz w:val="20"/>
                <w:szCs w:val="20"/>
                <w:highlight w:val="none"/>
              </w:rPr>
              <w:t>分）：较全面地介绍了产品的性能参数。</w:t>
            </w:r>
          </w:p>
          <w:p w14:paraId="70A493C7">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一般（</w:t>
            </w:r>
            <w:r>
              <w:rPr>
                <w:rFonts w:hint="eastAsia" w:ascii="方正兰亭黑简体" w:hAnsi="方正兰亭黑简体" w:eastAsia="方正兰亭黑简体" w:cs="方正兰亭黑简体"/>
                <w:color w:val="auto"/>
                <w:sz w:val="20"/>
                <w:szCs w:val="20"/>
                <w:highlight w:val="none"/>
                <w:lang w:val="en-US" w:eastAsia="zh-CN"/>
              </w:rPr>
              <w:t>2～4</w:t>
            </w:r>
            <w:r>
              <w:rPr>
                <w:rFonts w:hint="eastAsia" w:ascii="方正兰亭黑简体" w:hAnsi="方正兰亭黑简体" w:eastAsia="方正兰亭黑简体" w:cs="方正兰亭黑简体"/>
                <w:color w:val="auto"/>
                <w:sz w:val="20"/>
                <w:szCs w:val="20"/>
                <w:highlight w:val="none"/>
              </w:rPr>
              <w:t>分）：介绍了部分性能参数，但不够全面或详细。</w:t>
            </w:r>
          </w:p>
          <w:p w14:paraId="0BEE09AF">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较差（0</w:t>
            </w: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1</w:t>
            </w:r>
            <w:r>
              <w:rPr>
                <w:rFonts w:hint="eastAsia" w:ascii="方正兰亭黑简体" w:hAnsi="方正兰亭黑简体" w:eastAsia="方正兰亭黑简体" w:cs="方正兰亭黑简体"/>
                <w:color w:val="auto"/>
                <w:sz w:val="20"/>
                <w:szCs w:val="20"/>
                <w:highlight w:val="none"/>
              </w:rPr>
              <w:t>分）：性能参数介绍不完整或存在明显错误。</w:t>
            </w:r>
          </w:p>
        </w:tc>
      </w:tr>
      <w:tr w14:paraId="261A6EB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063649C8">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5</w:t>
            </w:r>
          </w:p>
        </w:tc>
        <w:tc>
          <w:tcPr>
            <w:tcW w:w="873" w:type="pct"/>
            <w:noWrap w:val="0"/>
            <w:vAlign w:val="center"/>
          </w:tcPr>
          <w:p w14:paraId="555CFAE5">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技术支持与</w:t>
            </w:r>
            <w:r>
              <w:rPr>
                <w:rFonts w:hint="eastAsia" w:ascii="方正兰亭黑简体" w:hAnsi="方正兰亭黑简体" w:eastAsia="方正兰亭黑简体" w:cs="方正兰亭黑简体"/>
                <w:color w:val="auto"/>
                <w:sz w:val="20"/>
                <w:szCs w:val="20"/>
                <w:highlight w:val="none"/>
                <w:lang w:val="en-US" w:eastAsia="zh-CN"/>
              </w:rPr>
              <w:t>售后</w:t>
            </w:r>
            <w:r>
              <w:rPr>
                <w:rFonts w:hint="eastAsia" w:ascii="方正兰亭黑简体" w:hAnsi="方正兰亭黑简体" w:eastAsia="方正兰亭黑简体" w:cs="方正兰亭黑简体"/>
                <w:color w:val="auto"/>
                <w:sz w:val="20"/>
                <w:szCs w:val="20"/>
                <w:highlight w:val="none"/>
              </w:rPr>
              <w:t>服务</w:t>
            </w:r>
          </w:p>
          <w:p w14:paraId="1F53F634">
            <w:pPr>
              <w:pStyle w:val="13"/>
              <w:spacing w:line="360" w:lineRule="auto"/>
              <w:ind w:firstLine="200" w:firstLineChars="100"/>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主观分</w:t>
            </w:r>
            <w:r>
              <w:rPr>
                <w:rFonts w:hint="eastAsia" w:ascii="方正兰亭黑简体" w:hAnsi="方正兰亭黑简体" w:eastAsia="方正兰亭黑简体" w:cs="方正兰亭黑简体"/>
                <w:color w:val="auto"/>
                <w:sz w:val="20"/>
                <w:szCs w:val="20"/>
                <w:highlight w:val="none"/>
                <w:lang w:eastAsia="zh-CN"/>
              </w:rPr>
              <w:t>）</w:t>
            </w:r>
          </w:p>
        </w:tc>
        <w:tc>
          <w:tcPr>
            <w:tcW w:w="359" w:type="pct"/>
            <w:noWrap w:val="0"/>
            <w:vAlign w:val="center"/>
          </w:tcPr>
          <w:p w14:paraId="7D753253">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15</w:t>
            </w:r>
          </w:p>
        </w:tc>
        <w:tc>
          <w:tcPr>
            <w:tcW w:w="3436" w:type="pct"/>
            <w:noWrap w:val="0"/>
            <w:vAlign w:val="center"/>
          </w:tcPr>
          <w:p w14:paraId="566D5B29">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优秀（</w:t>
            </w:r>
            <w:r>
              <w:rPr>
                <w:rFonts w:hint="eastAsia" w:ascii="方正兰亭黑简体" w:hAnsi="方正兰亭黑简体" w:eastAsia="方正兰亭黑简体" w:cs="方正兰亭黑简体"/>
                <w:color w:val="auto"/>
                <w:sz w:val="20"/>
                <w:szCs w:val="20"/>
                <w:highlight w:val="none"/>
                <w:lang w:val="en-US" w:eastAsia="zh-CN"/>
              </w:rPr>
              <w:t>12～15</w:t>
            </w:r>
            <w:r>
              <w:rPr>
                <w:rFonts w:hint="eastAsia" w:ascii="方正兰亭黑简体" w:hAnsi="方正兰亭黑简体" w:eastAsia="方正兰亭黑简体" w:cs="方正兰亭黑简体"/>
                <w:color w:val="auto"/>
                <w:sz w:val="20"/>
                <w:szCs w:val="20"/>
                <w:highlight w:val="none"/>
              </w:rPr>
              <w:t>分）：提供了详尽的技术支持方案</w:t>
            </w:r>
            <w:r>
              <w:rPr>
                <w:rFonts w:hint="eastAsia" w:ascii="方正兰亭黑简体" w:hAnsi="方正兰亭黑简体" w:eastAsia="方正兰亭黑简体" w:cs="方正兰亭黑简体"/>
                <w:color w:val="auto"/>
                <w:sz w:val="20"/>
                <w:szCs w:val="20"/>
                <w:highlight w:val="none"/>
                <w:lang w:val="en-US" w:eastAsia="zh-CN"/>
              </w:rPr>
              <w:t>以及售后服务方案</w:t>
            </w:r>
            <w:r>
              <w:rPr>
                <w:rFonts w:hint="eastAsia" w:ascii="方正兰亭黑简体" w:hAnsi="方正兰亭黑简体" w:eastAsia="方正兰亭黑简体" w:cs="方正兰亭黑简体"/>
                <w:color w:val="auto"/>
                <w:sz w:val="20"/>
                <w:szCs w:val="20"/>
                <w:highlight w:val="none"/>
              </w:rPr>
              <w:t>，包括快速响应机制、服务承诺等。</w:t>
            </w:r>
          </w:p>
          <w:p w14:paraId="1B650857">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良好（</w:t>
            </w:r>
            <w:r>
              <w:rPr>
                <w:rFonts w:hint="eastAsia" w:ascii="方正兰亭黑简体" w:hAnsi="方正兰亭黑简体" w:eastAsia="方正兰亭黑简体" w:cs="方正兰亭黑简体"/>
                <w:color w:val="auto"/>
                <w:sz w:val="20"/>
                <w:szCs w:val="20"/>
                <w:highlight w:val="none"/>
                <w:lang w:val="en-US" w:eastAsia="zh-CN"/>
              </w:rPr>
              <w:t>8～11</w:t>
            </w:r>
            <w:r>
              <w:rPr>
                <w:rFonts w:hint="eastAsia" w:ascii="方正兰亭黑简体" w:hAnsi="方正兰亭黑简体" w:eastAsia="方正兰亭黑简体" w:cs="方正兰亭黑简体"/>
                <w:color w:val="auto"/>
                <w:sz w:val="20"/>
                <w:szCs w:val="20"/>
                <w:highlight w:val="none"/>
              </w:rPr>
              <w:t>分）：提供了较为全面的技术支持方案</w:t>
            </w:r>
            <w:r>
              <w:rPr>
                <w:rFonts w:hint="eastAsia" w:ascii="方正兰亭黑简体" w:hAnsi="方正兰亭黑简体" w:eastAsia="方正兰亭黑简体" w:cs="方正兰亭黑简体"/>
                <w:color w:val="auto"/>
                <w:sz w:val="20"/>
                <w:szCs w:val="20"/>
                <w:highlight w:val="none"/>
                <w:lang w:val="en-US" w:eastAsia="zh-CN"/>
              </w:rPr>
              <w:t>和售后服务方案</w:t>
            </w:r>
            <w:r>
              <w:rPr>
                <w:rFonts w:hint="eastAsia" w:ascii="方正兰亭黑简体" w:hAnsi="方正兰亭黑简体" w:eastAsia="方正兰亭黑简体" w:cs="方正兰亭黑简体"/>
                <w:color w:val="auto"/>
                <w:sz w:val="20"/>
                <w:szCs w:val="20"/>
                <w:highlight w:val="none"/>
              </w:rPr>
              <w:t>，但计划不够详细。</w:t>
            </w:r>
          </w:p>
          <w:p w14:paraId="2E6A021F">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一般（</w:t>
            </w:r>
            <w:r>
              <w:rPr>
                <w:rFonts w:hint="eastAsia" w:ascii="方正兰亭黑简体" w:hAnsi="方正兰亭黑简体" w:eastAsia="方正兰亭黑简体" w:cs="方正兰亭黑简体"/>
                <w:color w:val="auto"/>
                <w:sz w:val="20"/>
                <w:szCs w:val="20"/>
                <w:highlight w:val="none"/>
                <w:lang w:val="en-US" w:eastAsia="zh-CN"/>
              </w:rPr>
              <w:t>4～7</w:t>
            </w:r>
            <w:r>
              <w:rPr>
                <w:rFonts w:hint="eastAsia" w:ascii="方正兰亭黑简体" w:hAnsi="方正兰亭黑简体" w:eastAsia="方正兰亭黑简体" w:cs="方正兰亭黑简体"/>
                <w:color w:val="auto"/>
                <w:sz w:val="20"/>
                <w:szCs w:val="20"/>
                <w:highlight w:val="none"/>
              </w:rPr>
              <w:t>分）：方案较为简单，缺乏</w:t>
            </w:r>
            <w:r>
              <w:rPr>
                <w:rFonts w:hint="eastAsia" w:ascii="方正兰亭黑简体" w:hAnsi="方正兰亭黑简体" w:eastAsia="方正兰亭黑简体" w:cs="方正兰亭黑简体"/>
                <w:color w:val="auto"/>
                <w:sz w:val="20"/>
                <w:szCs w:val="20"/>
                <w:highlight w:val="none"/>
                <w:lang w:val="en-US" w:eastAsia="zh-CN"/>
              </w:rPr>
              <w:t>具体的</w:t>
            </w:r>
            <w:r>
              <w:rPr>
                <w:rFonts w:hint="eastAsia" w:ascii="方正兰亭黑简体" w:hAnsi="方正兰亭黑简体" w:eastAsia="方正兰亭黑简体" w:cs="方正兰亭黑简体"/>
                <w:color w:val="auto"/>
                <w:sz w:val="20"/>
                <w:szCs w:val="20"/>
                <w:highlight w:val="none"/>
              </w:rPr>
              <w:t>计划。</w:t>
            </w:r>
          </w:p>
          <w:p w14:paraId="4BA27702">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较差（0</w:t>
            </w: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3</w:t>
            </w:r>
            <w:r>
              <w:rPr>
                <w:rFonts w:hint="eastAsia" w:ascii="方正兰亭黑简体" w:hAnsi="方正兰亭黑简体" w:eastAsia="方正兰亭黑简体" w:cs="方正兰亭黑简体"/>
                <w:color w:val="auto"/>
                <w:sz w:val="20"/>
                <w:szCs w:val="20"/>
                <w:highlight w:val="none"/>
              </w:rPr>
              <w:t>分）：未提供技术支持方案或售后服务承诺。</w:t>
            </w:r>
          </w:p>
        </w:tc>
      </w:tr>
    </w:tbl>
    <w:p w14:paraId="71E5B026">
      <w:pPr>
        <w:jc w:val="center"/>
        <w:rPr>
          <w:rFonts w:hint="eastAsia" w:ascii="方正兰亭黑简体" w:hAnsi="方正兰亭黑简体" w:eastAsia="方正兰亭黑简体" w:cs="方正兰亭黑简体"/>
          <w:b/>
          <w:bCs/>
          <w:color w:val="auto"/>
          <w:sz w:val="24"/>
          <w:szCs w:val="32"/>
          <w:highlight w:val="none"/>
          <w:lang w:val="en-US" w:eastAsia="zh-CN"/>
        </w:rPr>
        <w:sectPr>
          <w:footerReference r:id="rId3" w:type="default"/>
          <w:type w:val="continuous"/>
          <w:pgSz w:w="11906" w:h="16838"/>
          <w:pgMar w:top="1440" w:right="1080" w:bottom="1440" w:left="1080" w:header="851" w:footer="992" w:gutter="0"/>
          <w:pgNumType w:fmt="decimal"/>
          <w:cols w:space="425" w:num="1"/>
          <w:docGrid w:type="lines" w:linePitch="312" w:charSpace="0"/>
        </w:sectPr>
      </w:pPr>
    </w:p>
    <w:p w14:paraId="3E74C2BD">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第四章 格式附件</w:t>
      </w:r>
    </w:p>
    <w:p w14:paraId="636BB61B">
      <w:pPr>
        <w:jc w:val="left"/>
        <w:rPr>
          <w:rFonts w:hint="eastAsia" w:ascii="方正兰亭黑简体" w:hAnsi="方正兰亭黑简体" w:eastAsia="方正兰亭黑简体" w:cs="方正兰亭黑简体"/>
          <w:b/>
          <w:bCs/>
          <w:color w:val="auto"/>
          <w:sz w:val="22"/>
          <w:szCs w:val="28"/>
          <w:highlight w:val="none"/>
          <w:lang w:val="en-US" w:eastAsia="zh-CN"/>
        </w:rPr>
      </w:pPr>
      <w:r>
        <w:rPr>
          <w:rFonts w:hint="eastAsia" w:ascii="方正兰亭黑简体" w:hAnsi="方正兰亭黑简体" w:eastAsia="方正兰亭黑简体" w:cs="方正兰亭黑简体"/>
          <w:b/>
          <w:bCs/>
          <w:color w:val="auto"/>
          <w:sz w:val="22"/>
          <w:szCs w:val="28"/>
          <w:highlight w:val="none"/>
          <w:lang w:val="en-US" w:eastAsia="zh-CN"/>
        </w:rPr>
        <w:t>附件1：报价单</w:t>
      </w:r>
    </w:p>
    <w:p w14:paraId="52D9A168">
      <w:pPr>
        <w:spacing w:line="440" w:lineRule="exact"/>
        <w:jc w:val="center"/>
        <w:rPr>
          <w:rFonts w:hint="default" w:ascii="宋体" w:hAnsi="宋体" w:eastAsia="宋体"/>
          <w:color w:val="auto"/>
          <w:sz w:val="24"/>
          <w:highlight w:val="none"/>
          <w:lang w:val="en-US" w:eastAsia="zh-CN"/>
        </w:rPr>
      </w:pPr>
      <w:r>
        <w:rPr>
          <w:rFonts w:hint="eastAsia" w:ascii="黑体" w:hAnsi="华文楷体" w:eastAsia="黑体"/>
          <w:b/>
          <w:color w:val="auto"/>
          <w:sz w:val="36"/>
          <w:szCs w:val="36"/>
          <w:highlight w:val="none"/>
        </w:rPr>
        <w:t>报   价   单</w:t>
      </w:r>
    </w:p>
    <w:p w14:paraId="50E6B72B">
      <w:pPr>
        <w:spacing w:line="440" w:lineRule="exact"/>
        <w:jc w:val="left"/>
        <w:rPr>
          <w:rFonts w:hint="default" w:ascii="黑体" w:hAnsi="华文楷体" w:eastAsia="黑体"/>
          <w:color w:val="auto"/>
          <w:sz w:val="24"/>
          <w:highlight w:val="none"/>
          <w:lang w:val="en-US" w:eastAsia="zh-CN"/>
        </w:rPr>
      </w:pPr>
      <w:r>
        <w:rPr>
          <w:rFonts w:hint="eastAsia" w:ascii="黑体" w:hAnsi="华文楷体" w:eastAsia="黑体"/>
          <w:b/>
          <w:color w:val="auto"/>
          <w:sz w:val="24"/>
          <w:highlight w:val="none"/>
        </w:rPr>
        <w:t xml:space="preserve">TO: </w:t>
      </w:r>
      <w:r>
        <w:rPr>
          <w:rFonts w:hint="eastAsia" w:ascii="黑体" w:hAnsi="华文楷体" w:eastAsia="黑体"/>
          <w:color w:val="auto"/>
          <w:sz w:val="24"/>
          <w:highlight w:val="none"/>
        </w:rPr>
        <w:t xml:space="preserve"> 上海海事大学 </w:t>
      </w:r>
      <w:r>
        <w:rPr>
          <w:rFonts w:hint="eastAsia" w:ascii="黑体" w:hAnsi="华文楷体" w:eastAsia="黑体"/>
          <w:color w:val="auto"/>
          <w:sz w:val="24"/>
          <w:highlight w:val="none"/>
          <w:lang w:val="en-US" w:eastAsia="zh-CN"/>
        </w:rPr>
        <w:t>采购与招投标管理中心</w:t>
      </w:r>
      <w:r>
        <w:rPr>
          <w:rFonts w:hint="eastAsia" w:ascii="黑体" w:hAnsi="华文楷体" w:eastAsia="黑体"/>
          <w:b/>
          <w:color w:val="auto"/>
          <w:sz w:val="36"/>
          <w:szCs w:val="36"/>
          <w:highlight w:val="none"/>
        </w:rPr>
        <w:t xml:space="preserve">   </w:t>
      </w:r>
      <w:r>
        <w:rPr>
          <w:rFonts w:hint="eastAsia" w:ascii="黑体" w:hAnsi="华文楷体" w:eastAsia="黑体"/>
          <w:b/>
          <w:color w:val="auto"/>
          <w:sz w:val="36"/>
          <w:szCs w:val="36"/>
          <w:highlight w:val="none"/>
          <w:lang w:val="en-US" w:eastAsia="zh-CN"/>
        </w:rPr>
        <w:t xml:space="preserve">          </w:t>
      </w:r>
      <w:r>
        <w:rPr>
          <w:rFonts w:hint="eastAsia" w:ascii="黑体" w:hAnsi="华文楷体" w:eastAsia="黑体"/>
          <w:color w:val="auto"/>
          <w:sz w:val="24"/>
          <w:highlight w:val="none"/>
          <w:lang w:val="en-US" w:eastAsia="zh-CN"/>
        </w:rPr>
        <w:t>项目编号：HFBX2026108</w:t>
      </w:r>
      <w:r>
        <w:rPr>
          <w:rFonts w:hint="eastAsia" w:ascii="黑体" w:hAnsi="华文楷体" w:eastAsia="黑体"/>
          <w:b/>
          <w:color w:val="auto"/>
          <w:sz w:val="36"/>
          <w:szCs w:val="36"/>
          <w:highlight w:val="none"/>
        </w:rPr>
        <w:t xml:space="preserve">               </w:t>
      </w:r>
      <w:r>
        <w:rPr>
          <w:rFonts w:hint="eastAsia" w:ascii="黑体" w:hAnsi="华文楷体" w:eastAsia="黑体"/>
          <w:b/>
          <w:color w:val="auto"/>
          <w:sz w:val="36"/>
          <w:szCs w:val="36"/>
          <w:highlight w:val="none"/>
          <w:lang w:val="en-US" w:eastAsia="zh-CN"/>
        </w:rPr>
        <w:t xml:space="preserve">                    </w:t>
      </w:r>
    </w:p>
    <w:p w14:paraId="192C9FAF">
      <w:pPr>
        <w:spacing w:line="440" w:lineRule="exact"/>
        <w:rPr>
          <w:rFonts w:hint="eastAsia" w:ascii="方正仿宋_GB2312" w:hAnsi="方正仿宋_GB2312" w:eastAsia="方正仿宋_GB2312" w:cs="方正仿宋_GB2312"/>
          <w:b/>
          <w:color w:val="auto"/>
          <w:sz w:val="24"/>
          <w:highlight w:val="none"/>
        </w:rPr>
      </w:pPr>
      <w:r>
        <w:rPr>
          <w:rFonts w:hint="eastAsia" w:ascii="黑体" w:hAnsi="华文楷体" w:eastAsia="黑体"/>
          <w:b/>
          <w:color w:val="auto"/>
          <w:sz w:val="24"/>
          <w:highlight w:val="none"/>
        </w:rPr>
        <w:t>电子邮箱：</w:t>
      </w:r>
      <w:r>
        <w:rPr>
          <w:rFonts w:ascii="黑体" w:hAnsi="华文楷体" w:eastAsia="黑体"/>
          <w:b/>
          <w:color w:val="auto"/>
          <w:sz w:val="24"/>
          <w:highlight w:val="none"/>
        </w:rPr>
        <w:fldChar w:fldCharType="begin"/>
      </w:r>
      <w:r>
        <w:rPr>
          <w:rFonts w:ascii="黑体" w:hAnsi="华文楷体" w:eastAsia="黑体"/>
          <w:b/>
          <w:color w:val="auto"/>
          <w:sz w:val="24"/>
          <w:highlight w:val="none"/>
        </w:rPr>
        <w:instrText xml:space="preserve"> HYPERLINK "mailto:quotation@shmtu.edu.cn" </w:instrText>
      </w:r>
      <w:r>
        <w:rPr>
          <w:rFonts w:ascii="黑体" w:hAnsi="华文楷体" w:eastAsia="黑体"/>
          <w:b/>
          <w:color w:val="auto"/>
          <w:sz w:val="24"/>
          <w:highlight w:val="none"/>
        </w:rPr>
        <w:fldChar w:fldCharType="separate"/>
      </w:r>
      <w:r>
        <w:rPr>
          <w:rStyle w:val="18"/>
          <w:rFonts w:ascii="黑体" w:hAnsi="华文楷体" w:eastAsia="黑体"/>
          <w:b/>
          <w:color w:val="auto"/>
          <w:sz w:val="24"/>
          <w:highlight w:val="none"/>
        </w:rPr>
        <w:t>quotation@shmtu.edu.cn</w:t>
      </w:r>
      <w:r>
        <w:rPr>
          <w:rFonts w:ascii="黑体" w:hAnsi="华文楷体" w:eastAsia="黑体"/>
          <w:b/>
          <w:color w:val="auto"/>
          <w:sz w:val="24"/>
          <w:highlight w:val="none"/>
        </w:rPr>
        <w:fldChar w:fldCharType="end"/>
      </w:r>
    </w:p>
    <w:p w14:paraId="1D25A65B">
      <w:pPr>
        <w:spacing w:line="440" w:lineRule="exact"/>
        <w:rPr>
          <w:rFonts w:ascii="黑体" w:hAnsi="华文楷体" w:eastAsia="黑体"/>
          <w:b/>
          <w:color w:val="auto"/>
          <w:sz w:val="24"/>
          <w:highlight w:val="none"/>
        </w:rPr>
      </w:pPr>
      <w:r>
        <w:rPr>
          <w:rFonts w:hint="eastAsia" w:ascii="黑体" w:hAnsi="华文楷体" w:eastAsia="黑体"/>
          <w:b/>
          <w:color w:val="auto"/>
          <w:sz w:val="24"/>
          <w:highlight w:val="none"/>
        </w:rPr>
        <w:t>公司名称：</w:t>
      </w:r>
      <w:r>
        <w:rPr>
          <w:rFonts w:hint="eastAsia" w:ascii="黑体" w:hAnsi="华文楷体" w:eastAsia="黑体"/>
          <w:color w:val="auto"/>
          <w:sz w:val="24"/>
          <w:highlight w:val="none"/>
        </w:rPr>
        <w:t xml:space="preserve">                                                </w:t>
      </w:r>
      <w:r>
        <w:rPr>
          <w:rFonts w:hint="eastAsia" w:ascii="黑体" w:hAnsi="华文楷体" w:eastAsia="黑体"/>
          <w:b/>
          <w:color w:val="auto"/>
          <w:sz w:val="24"/>
          <w:highlight w:val="none"/>
        </w:rPr>
        <w:t>联系人：</w:t>
      </w:r>
    </w:p>
    <w:p w14:paraId="0416696A">
      <w:pPr>
        <w:spacing w:line="440" w:lineRule="exact"/>
        <w:rPr>
          <w:rFonts w:ascii="黑体" w:hAnsi="华文楷体" w:eastAsia="黑体"/>
          <w:b/>
          <w:color w:val="auto"/>
          <w:sz w:val="24"/>
          <w:highlight w:val="none"/>
        </w:rPr>
      </w:pPr>
      <w:r>
        <w:rPr>
          <w:rFonts w:hint="eastAsia" w:ascii="黑体" w:hAnsi="华文楷体" w:eastAsia="黑体"/>
          <w:b/>
          <w:color w:val="auto"/>
          <w:sz w:val="24"/>
          <w:highlight w:val="none"/>
        </w:rPr>
        <w:t>电子邮箱：                                                公司地址：</w:t>
      </w:r>
    </w:p>
    <w:p w14:paraId="096E10B9">
      <w:pPr>
        <w:spacing w:line="440" w:lineRule="exact"/>
        <w:rPr>
          <w:rFonts w:hint="eastAsia" w:ascii="黑体" w:hAnsi="华文楷体" w:eastAsia="黑体"/>
          <w:b/>
          <w:color w:val="auto"/>
          <w:sz w:val="24"/>
          <w:highlight w:val="none"/>
        </w:rPr>
      </w:pPr>
      <w:r>
        <w:rPr>
          <w:rFonts w:hint="eastAsia" w:ascii="黑体" w:hAnsi="华文楷体" w:eastAsia="黑体"/>
          <w:b/>
          <w:color w:val="auto"/>
          <w:sz w:val="24"/>
          <w:highlight w:val="none"/>
        </w:rPr>
        <w:t>电话：                                                    联系人手机：</w:t>
      </w:r>
    </w:p>
    <w:p w14:paraId="35F2988C">
      <w:pPr>
        <w:spacing w:line="440" w:lineRule="exact"/>
        <w:rPr>
          <w:rFonts w:hint="eastAsia" w:ascii="黑体" w:hAnsi="华文楷体" w:eastAsia="黑体"/>
          <w:b/>
          <w:color w:val="auto"/>
          <w:sz w:val="24"/>
          <w:highlight w:val="none"/>
        </w:rPr>
      </w:pPr>
    </w:p>
    <w:tbl>
      <w:tblPr>
        <w:tblStyle w:val="1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4"/>
        <w:gridCol w:w="2062"/>
        <w:gridCol w:w="971"/>
        <w:gridCol w:w="1463"/>
        <w:gridCol w:w="581"/>
        <w:gridCol w:w="876"/>
        <w:gridCol w:w="876"/>
        <w:gridCol w:w="1230"/>
        <w:gridCol w:w="1397"/>
      </w:tblGrid>
      <w:tr w14:paraId="48147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top w:val="single" w:color="auto" w:sz="12" w:space="0"/>
              <w:left w:val="single" w:color="auto" w:sz="12" w:space="0"/>
              <w:bottom w:val="double" w:color="auto" w:sz="4" w:space="0"/>
            </w:tcBorders>
            <w:noWrap w:val="0"/>
            <w:vAlign w:val="center"/>
          </w:tcPr>
          <w:p w14:paraId="67E92170">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序号</w:t>
            </w:r>
          </w:p>
        </w:tc>
        <w:tc>
          <w:tcPr>
            <w:tcW w:w="1036" w:type="pct"/>
            <w:tcBorders>
              <w:top w:val="single" w:color="auto" w:sz="12" w:space="0"/>
              <w:bottom w:val="double" w:color="auto" w:sz="4" w:space="0"/>
            </w:tcBorders>
            <w:noWrap w:val="0"/>
            <w:vAlign w:val="center"/>
          </w:tcPr>
          <w:p w14:paraId="5FFC86E8">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产品名称</w:t>
            </w:r>
          </w:p>
        </w:tc>
        <w:tc>
          <w:tcPr>
            <w:tcW w:w="488" w:type="pct"/>
            <w:tcBorders>
              <w:top w:val="single" w:color="auto" w:sz="12" w:space="0"/>
              <w:bottom w:val="double" w:color="auto" w:sz="4" w:space="0"/>
            </w:tcBorders>
            <w:noWrap w:val="0"/>
            <w:vAlign w:val="center"/>
          </w:tcPr>
          <w:p w14:paraId="5F8969CF">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品牌</w:t>
            </w:r>
          </w:p>
        </w:tc>
        <w:tc>
          <w:tcPr>
            <w:tcW w:w="733" w:type="pct"/>
            <w:tcBorders>
              <w:top w:val="single" w:color="auto" w:sz="12" w:space="0"/>
              <w:bottom w:val="double" w:color="auto" w:sz="4" w:space="0"/>
            </w:tcBorders>
            <w:noWrap w:val="0"/>
            <w:vAlign w:val="center"/>
          </w:tcPr>
          <w:p w14:paraId="16AB36D0">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型号规格</w:t>
            </w:r>
          </w:p>
        </w:tc>
        <w:tc>
          <w:tcPr>
            <w:tcW w:w="292" w:type="pct"/>
            <w:tcBorders>
              <w:top w:val="single" w:color="auto" w:sz="12" w:space="0"/>
              <w:bottom w:val="double" w:color="auto" w:sz="4" w:space="0"/>
            </w:tcBorders>
            <w:noWrap w:val="0"/>
            <w:vAlign w:val="center"/>
          </w:tcPr>
          <w:p w14:paraId="7A41A9BF">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数量</w:t>
            </w:r>
          </w:p>
        </w:tc>
        <w:tc>
          <w:tcPr>
            <w:tcW w:w="440" w:type="pct"/>
            <w:tcBorders>
              <w:top w:val="single" w:color="auto" w:sz="12" w:space="0"/>
              <w:bottom w:val="double" w:color="auto" w:sz="4" w:space="0"/>
            </w:tcBorders>
            <w:noWrap w:val="0"/>
            <w:vAlign w:val="center"/>
          </w:tcPr>
          <w:p w14:paraId="22044959">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单价</w:t>
            </w:r>
          </w:p>
        </w:tc>
        <w:tc>
          <w:tcPr>
            <w:tcW w:w="440" w:type="pct"/>
            <w:tcBorders>
              <w:top w:val="single" w:color="auto" w:sz="12" w:space="0"/>
              <w:bottom w:val="double" w:color="auto" w:sz="4" w:space="0"/>
            </w:tcBorders>
            <w:noWrap w:val="0"/>
            <w:vAlign w:val="center"/>
          </w:tcPr>
          <w:p w14:paraId="61A1F830">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金额</w:t>
            </w:r>
          </w:p>
        </w:tc>
        <w:tc>
          <w:tcPr>
            <w:tcW w:w="618" w:type="pct"/>
            <w:tcBorders>
              <w:top w:val="single" w:color="auto" w:sz="12" w:space="0"/>
              <w:bottom w:val="double" w:color="auto" w:sz="4" w:space="0"/>
            </w:tcBorders>
            <w:noWrap w:val="0"/>
            <w:vAlign w:val="center"/>
          </w:tcPr>
          <w:p w14:paraId="2F9A1E62">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质保时间</w:t>
            </w:r>
          </w:p>
        </w:tc>
        <w:tc>
          <w:tcPr>
            <w:tcW w:w="700" w:type="pct"/>
            <w:tcBorders>
              <w:top w:val="single" w:color="auto" w:sz="12" w:space="0"/>
              <w:bottom w:val="double" w:color="auto" w:sz="4" w:space="0"/>
              <w:right w:val="single" w:color="auto" w:sz="12" w:space="0"/>
            </w:tcBorders>
            <w:noWrap w:val="0"/>
            <w:vAlign w:val="center"/>
          </w:tcPr>
          <w:p w14:paraId="09E42E8D">
            <w:pPr>
              <w:spacing w:line="440" w:lineRule="exact"/>
              <w:jc w:val="center"/>
              <w:rPr>
                <w:rFonts w:hint="eastAsia" w:ascii="黑体" w:hAnsi="华文楷体" w:eastAsia="黑体"/>
                <w:color w:val="auto"/>
                <w:kern w:val="0"/>
                <w:sz w:val="24"/>
                <w:highlight w:val="none"/>
                <w:lang w:eastAsia="zh-CN"/>
              </w:rPr>
            </w:pPr>
            <w:r>
              <w:rPr>
                <w:rFonts w:ascii="黑体" w:hAnsi="华文楷体" w:eastAsia="黑体"/>
                <w:color w:val="auto"/>
                <w:kern w:val="0"/>
                <w:sz w:val="24"/>
                <w:highlight w:val="none"/>
              </w:rPr>
              <w:t>最快供货</w:t>
            </w:r>
            <w:r>
              <w:rPr>
                <w:rFonts w:hint="eastAsia" w:ascii="黑体" w:hAnsi="华文楷体" w:eastAsia="黑体"/>
                <w:color w:val="auto"/>
                <w:kern w:val="0"/>
                <w:sz w:val="24"/>
                <w:highlight w:val="none"/>
                <w:lang w:val="en-US" w:eastAsia="zh-CN"/>
              </w:rPr>
              <w:t>时间</w:t>
            </w:r>
          </w:p>
        </w:tc>
      </w:tr>
      <w:tr w14:paraId="6076E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top w:val="double" w:color="auto" w:sz="4" w:space="0"/>
              <w:left w:val="single" w:color="auto" w:sz="12" w:space="0"/>
            </w:tcBorders>
            <w:noWrap w:val="0"/>
            <w:vAlign w:val="top"/>
          </w:tcPr>
          <w:p w14:paraId="6904F50E">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1</w:t>
            </w:r>
          </w:p>
        </w:tc>
        <w:tc>
          <w:tcPr>
            <w:tcW w:w="1036" w:type="pct"/>
            <w:tcBorders>
              <w:top w:val="double" w:color="auto" w:sz="4" w:space="0"/>
            </w:tcBorders>
            <w:noWrap w:val="0"/>
            <w:vAlign w:val="center"/>
          </w:tcPr>
          <w:p w14:paraId="2716FB82">
            <w:pPr>
              <w:ind w:left="-63" w:leftChars="-30" w:right="-63" w:rightChars="-30"/>
              <w:jc w:val="center"/>
              <w:rPr>
                <w:rFonts w:hint="eastAsia" w:ascii="宋体" w:hAnsi="宋体" w:cs="宋体"/>
                <w:color w:val="auto"/>
                <w:sz w:val="18"/>
                <w:szCs w:val="18"/>
                <w:highlight w:val="none"/>
              </w:rPr>
            </w:pPr>
          </w:p>
        </w:tc>
        <w:tc>
          <w:tcPr>
            <w:tcW w:w="488" w:type="pct"/>
            <w:tcBorders>
              <w:top w:val="double" w:color="auto" w:sz="4" w:space="0"/>
            </w:tcBorders>
            <w:noWrap w:val="0"/>
            <w:vAlign w:val="top"/>
          </w:tcPr>
          <w:p w14:paraId="68C63CC3">
            <w:pPr>
              <w:spacing w:line="440" w:lineRule="exact"/>
              <w:jc w:val="center"/>
              <w:rPr>
                <w:rFonts w:ascii="方正仿宋_GB2312" w:hAnsi="华文楷体" w:eastAsia="方正仿宋_GB2312"/>
                <w:color w:val="auto"/>
                <w:kern w:val="0"/>
                <w:sz w:val="24"/>
                <w:highlight w:val="none"/>
              </w:rPr>
            </w:pPr>
          </w:p>
        </w:tc>
        <w:tc>
          <w:tcPr>
            <w:tcW w:w="733" w:type="pct"/>
            <w:tcBorders>
              <w:top w:val="double" w:color="auto" w:sz="4" w:space="0"/>
            </w:tcBorders>
            <w:noWrap w:val="0"/>
            <w:vAlign w:val="top"/>
          </w:tcPr>
          <w:p w14:paraId="2062DBEC">
            <w:pPr>
              <w:spacing w:line="440" w:lineRule="exact"/>
              <w:jc w:val="center"/>
              <w:rPr>
                <w:rFonts w:ascii="方正仿宋_GB2312" w:hAnsi="华文楷体" w:eastAsia="方正仿宋_GB2312"/>
                <w:color w:val="auto"/>
                <w:kern w:val="0"/>
                <w:sz w:val="24"/>
                <w:highlight w:val="none"/>
              </w:rPr>
            </w:pPr>
          </w:p>
        </w:tc>
        <w:tc>
          <w:tcPr>
            <w:tcW w:w="292" w:type="pct"/>
            <w:tcBorders>
              <w:top w:val="double" w:color="auto" w:sz="4" w:space="0"/>
            </w:tcBorders>
            <w:noWrap w:val="0"/>
            <w:vAlign w:val="top"/>
          </w:tcPr>
          <w:p w14:paraId="5576A539">
            <w:pPr>
              <w:spacing w:line="440" w:lineRule="exact"/>
              <w:jc w:val="center"/>
              <w:rPr>
                <w:rFonts w:ascii="方正仿宋_GB2312" w:hAnsi="华文楷体" w:eastAsia="方正仿宋_GB2312"/>
                <w:color w:val="auto"/>
                <w:kern w:val="0"/>
                <w:sz w:val="24"/>
                <w:highlight w:val="none"/>
              </w:rPr>
            </w:pPr>
          </w:p>
        </w:tc>
        <w:tc>
          <w:tcPr>
            <w:tcW w:w="440" w:type="pct"/>
            <w:tcBorders>
              <w:top w:val="double" w:color="auto" w:sz="4" w:space="0"/>
            </w:tcBorders>
            <w:noWrap w:val="0"/>
            <w:vAlign w:val="top"/>
          </w:tcPr>
          <w:p w14:paraId="3366DAB2">
            <w:pPr>
              <w:spacing w:line="440" w:lineRule="exact"/>
              <w:jc w:val="center"/>
              <w:rPr>
                <w:rFonts w:ascii="方正仿宋_GB2312" w:hAnsi="华文楷体" w:eastAsia="方正仿宋_GB2312"/>
                <w:color w:val="auto"/>
                <w:kern w:val="0"/>
                <w:sz w:val="24"/>
                <w:highlight w:val="none"/>
              </w:rPr>
            </w:pPr>
          </w:p>
        </w:tc>
        <w:tc>
          <w:tcPr>
            <w:tcW w:w="440" w:type="pct"/>
            <w:tcBorders>
              <w:top w:val="double" w:color="auto" w:sz="4" w:space="0"/>
            </w:tcBorders>
            <w:noWrap w:val="0"/>
            <w:vAlign w:val="top"/>
          </w:tcPr>
          <w:p w14:paraId="45D03D7C">
            <w:pPr>
              <w:spacing w:line="440" w:lineRule="exact"/>
              <w:jc w:val="center"/>
              <w:rPr>
                <w:rFonts w:ascii="方正仿宋_GB2312" w:hAnsi="华文楷体" w:eastAsia="方正仿宋_GB2312"/>
                <w:color w:val="auto"/>
                <w:kern w:val="0"/>
                <w:sz w:val="24"/>
                <w:highlight w:val="none"/>
              </w:rPr>
            </w:pPr>
          </w:p>
        </w:tc>
        <w:tc>
          <w:tcPr>
            <w:tcW w:w="618" w:type="pct"/>
            <w:tcBorders>
              <w:top w:val="double" w:color="auto" w:sz="4" w:space="0"/>
            </w:tcBorders>
            <w:noWrap w:val="0"/>
            <w:vAlign w:val="top"/>
          </w:tcPr>
          <w:p w14:paraId="014679F0">
            <w:pPr>
              <w:spacing w:line="440" w:lineRule="exact"/>
              <w:jc w:val="center"/>
              <w:rPr>
                <w:rFonts w:ascii="方正仿宋_GB2312" w:hAnsi="华文楷体" w:eastAsia="方正仿宋_GB2312"/>
                <w:color w:val="auto"/>
                <w:kern w:val="0"/>
                <w:sz w:val="24"/>
                <w:highlight w:val="none"/>
              </w:rPr>
            </w:pPr>
          </w:p>
        </w:tc>
        <w:tc>
          <w:tcPr>
            <w:tcW w:w="700" w:type="pct"/>
            <w:tcBorders>
              <w:top w:val="double" w:color="auto" w:sz="4" w:space="0"/>
              <w:right w:val="single" w:color="auto" w:sz="12" w:space="0"/>
            </w:tcBorders>
            <w:noWrap w:val="0"/>
            <w:vAlign w:val="top"/>
          </w:tcPr>
          <w:p w14:paraId="605E89B2">
            <w:pPr>
              <w:spacing w:line="440" w:lineRule="exact"/>
              <w:jc w:val="center"/>
              <w:rPr>
                <w:rFonts w:ascii="方正仿宋_GB2312" w:hAnsi="华文楷体" w:eastAsia="方正仿宋_GB2312"/>
                <w:color w:val="auto"/>
                <w:kern w:val="0"/>
                <w:sz w:val="24"/>
                <w:highlight w:val="none"/>
              </w:rPr>
            </w:pPr>
          </w:p>
        </w:tc>
      </w:tr>
      <w:tr w14:paraId="32388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tcBorders>
            <w:noWrap w:val="0"/>
            <w:vAlign w:val="top"/>
          </w:tcPr>
          <w:p w14:paraId="29977C73">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2</w:t>
            </w:r>
          </w:p>
        </w:tc>
        <w:tc>
          <w:tcPr>
            <w:tcW w:w="1036" w:type="pct"/>
            <w:noWrap w:val="0"/>
            <w:vAlign w:val="center"/>
          </w:tcPr>
          <w:p w14:paraId="2866E2D0">
            <w:pPr>
              <w:ind w:left="-63" w:leftChars="-30" w:right="-63" w:rightChars="-30"/>
              <w:jc w:val="center"/>
              <w:rPr>
                <w:rFonts w:hint="eastAsia" w:ascii="宋体" w:hAnsi="宋体" w:cs="宋体"/>
                <w:color w:val="auto"/>
                <w:sz w:val="18"/>
                <w:szCs w:val="18"/>
                <w:highlight w:val="none"/>
              </w:rPr>
            </w:pPr>
          </w:p>
        </w:tc>
        <w:tc>
          <w:tcPr>
            <w:tcW w:w="488" w:type="pct"/>
            <w:noWrap w:val="0"/>
            <w:vAlign w:val="top"/>
          </w:tcPr>
          <w:p w14:paraId="0669C2FF">
            <w:pPr>
              <w:spacing w:line="440" w:lineRule="exact"/>
              <w:jc w:val="center"/>
              <w:rPr>
                <w:rFonts w:ascii="方正仿宋_GB2312" w:hAnsi="华文楷体" w:eastAsia="方正仿宋_GB2312"/>
                <w:color w:val="auto"/>
                <w:kern w:val="0"/>
                <w:sz w:val="24"/>
                <w:highlight w:val="none"/>
              </w:rPr>
            </w:pPr>
          </w:p>
        </w:tc>
        <w:tc>
          <w:tcPr>
            <w:tcW w:w="733" w:type="pct"/>
            <w:noWrap w:val="0"/>
            <w:vAlign w:val="top"/>
          </w:tcPr>
          <w:p w14:paraId="4D504156">
            <w:pPr>
              <w:spacing w:line="440" w:lineRule="exact"/>
              <w:jc w:val="center"/>
              <w:rPr>
                <w:rFonts w:ascii="方正仿宋_GB2312" w:hAnsi="华文楷体" w:eastAsia="方正仿宋_GB2312"/>
                <w:color w:val="auto"/>
                <w:kern w:val="0"/>
                <w:sz w:val="24"/>
                <w:highlight w:val="none"/>
              </w:rPr>
            </w:pPr>
          </w:p>
        </w:tc>
        <w:tc>
          <w:tcPr>
            <w:tcW w:w="292" w:type="pct"/>
            <w:noWrap w:val="0"/>
            <w:vAlign w:val="top"/>
          </w:tcPr>
          <w:p w14:paraId="74F4D8E1">
            <w:pPr>
              <w:spacing w:line="440" w:lineRule="exact"/>
              <w:jc w:val="center"/>
              <w:rPr>
                <w:rFonts w:ascii="方正仿宋_GB2312" w:hAnsi="华文楷体" w:eastAsia="方正仿宋_GB2312"/>
                <w:color w:val="auto"/>
                <w:kern w:val="0"/>
                <w:sz w:val="24"/>
                <w:highlight w:val="none"/>
              </w:rPr>
            </w:pPr>
          </w:p>
        </w:tc>
        <w:tc>
          <w:tcPr>
            <w:tcW w:w="440" w:type="pct"/>
            <w:noWrap w:val="0"/>
            <w:vAlign w:val="top"/>
          </w:tcPr>
          <w:p w14:paraId="27571361">
            <w:pPr>
              <w:spacing w:line="440" w:lineRule="exact"/>
              <w:jc w:val="center"/>
              <w:rPr>
                <w:rFonts w:ascii="方正仿宋_GB2312" w:hAnsi="华文楷体" w:eastAsia="方正仿宋_GB2312"/>
                <w:color w:val="auto"/>
                <w:kern w:val="0"/>
                <w:sz w:val="24"/>
                <w:highlight w:val="none"/>
              </w:rPr>
            </w:pPr>
          </w:p>
        </w:tc>
        <w:tc>
          <w:tcPr>
            <w:tcW w:w="440" w:type="pct"/>
            <w:noWrap w:val="0"/>
            <w:vAlign w:val="top"/>
          </w:tcPr>
          <w:p w14:paraId="45E1288F">
            <w:pPr>
              <w:spacing w:line="440" w:lineRule="exact"/>
              <w:jc w:val="center"/>
              <w:rPr>
                <w:rFonts w:ascii="方正仿宋_GB2312" w:hAnsi="华文楷体" w:eastAsia="方正仿宋_GB2312"/>
                <w:color w:val="auto"/>
                <w:kern w:val="0"/>
                <w:sz w:val="24"/>
                <w:highlight w:val="none"/>
              </w:rPr>
            </w:pPr>
          </w:p>
        </w:tc>
        <w:tc>
          <w:tcPr>
            <w:tcW w:w="618" w:type="pct"/>
            <w:noWrap w:val="0"/>
            <w:vAlign w:val="top"/>
          </w:tcPr>
          <w:p w14:paraId="5DDB1CC9">
            <w:pPr>
              <w:spacing w:line="440" w:lineRule="exact"/>
              <w:jc w:val="center"/>
              <w:rPr>
                <w:rFonts w:ascii="方正仿宋_GB2312" w:hAnsi="华文楷体" w:eastAsia="方正仿宋_GB2312"/>
                <w:color w:val="auto"/>
                <w:kern w:val="0"/>
                <w:sz w:val="24"/>
                <w:highlight w:val="none"/>
              </w:rPr>
            </w:pPr>
          </w:p>
        </w:tc>
        <w:tc>
          <w:tcPr>
            <w:tcW w:w="700" w:type="pct"/>
            <w:tcBorders>
              <w:right w:val="single" w:color="auto" w:sz="12" w:space="0"/>
            </w:tcBorders>
            <w:noWrap w:val="0"/>
            <w:vAlign w:val="top"/>
          </w:tcPr>
          <w:p w14:paraId="6BB70514">
            <w:pPr>
              <w:spacing w:line="440" w:lineRule="exact"/>
              <w:jc w:val="center"/>
              <w:rPr>
                <w:rFonts w:ascii="方正仿宋_GB2312" w:hAnsi="华文楷体" w:eastAsia="方正仿宋_GB2312"/>
                <w:color w:val="auto"/>
                <w:kern w:val="0"/>
                <w:sz w:val="24"/>
                <w:highlight w:val="none"/>
              </w:rPr>
            </w:pPr>
          </w:p>
        </w:tc>
      </w:tr>
      <w:tr w14:paraId="66928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bottom w:val="single" w:color="auto" w:sz="4" w:space="0"/>
            </w:tcBorders>
            <w:noWrap w:val="0"/>
            <w:vAlign w:val="top"/>
          </w:tcPr>
          <w:p w14:paraId="5E49ACAD">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3</w:t>
            </w:r>
          </w:p>
        </w:tc>
        <w:tc>
          <w:tcPr>
            <w:tcW w:w="1036" w:type="pct"/>
            <w:tcBorders>
              <w:bottom w:val="single" w:color="auto" w:sz="4" w:space="0"/>
            </w:tcBorders>
            <w:noWrap w:val="0"/>
            <w:vAlign w:val="center"/>
          </w:tcPr>
          <w:p w14:paraId="2D958EE1">
            <w:pPr>
              <w:ind w:left="-42" w:leftChars="-20" w:right="-42" w:rightChars="-20"/>
              <w:jc w:val="center"/>
              <w:rPr>
                <w:rFonts w:hint="eastAsia" w:ascii="宋体" w:hAnsi="宋体" w:cs="宋体"/>
                <w:color w:val="auto"/>
                <w:sz w:val="18"/>
                <w:szCs w:val="18"/>
                <w:highlight w:val="none"/>
              </w:rPr>
            </w:pPr>
          </w:p>
        </w:tc>
        <w:tc>
          <w:tcPr>
            <w:tcW w:w="488" w:type="pct"/>
            <w:tcBorders>
              <w:bottom w:val="single" w:color="auto" w:sz="4" w:space="0"/>
            </w:tcBorders>
            <w:noWrap w:val="0"/>
            <w:vAlign w:val="top"/>
          </w:tcPr>
          <w:p w14:paraId="6B0A81D6">
            <w:pPr>
              <w:spacing w:line="440" w:lineRule="exact"/>
              <w:jc w:val="center"/>
              <w:rPr>
                <w:rFonts w:ascii="方正仿宋_GB2312" w:hAnsi="华文楷体" w:eastAsia="方正仿宋_GB2312"/>
                <w:color w:val="auto"/>
                <w:kern w:val="0"/>
                <w:sz w:val="24"/>
                <w:highlight w:val="none"/>
              </w:rPr>
            </w:pPr>
          </w:p>
        </w:tc>
        <w:tc>
          <w:tcPr>
            <w:tcW w:w="733" w:type="pct"/>
            <w:tcBorders>
              <w:bottom w:val="single" w:color="auto" w:sz="4" w:space="0"/>
            </w:tcBorders>
            <w:noWrap w:val="0"/>
            <w:vAlign w:val="top"/>
          </w:tcPr>
          <w:p w14:paraId="58841A2F">
            <w:pPr>
              <w:spacing w:line="440" w:lineRule="exact"/>
              <w:jc w:val="center"/>
              <w:rPr>
                <w:rFonts w:ascii="方正仿宋_GB2312" w:hAnsi="华文楷体" w:eastAsia="方正仿宋_GB2312"/>
                <w:color w:val="auto"/>
                <w:kern w:val="0"/>
                <w:sz w:val="24"/>
                <w:highlight w:val="none"/>
              </w:rPr>
            </w:pPr>
          </w:p>
        </w:tc>
        <w:tc>
          <w:tcPr>
            <w:tcW w:w="292" w:type="pct"/>
            <w:tcBorders>
              <w:bottom w:val="single" w:color="auto" w:sz="4" w:space="0"/>
            </w:tcBorders>
            <w:noWrap w:val="0"/>
            <w:vAlign w:val="top"/>
          </w:tcPr>
          <w:p w14:paraId="26802B6E">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2ECBBA3C">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747E5F99">
            <w:pPr>
              <w:spacing w:line="440" w:lineRule="exact"/>
              <w:jc w:val="center"/>
              <w:rPr>
                <w:rFonts w:ascii="方正仿宋_GB2312" w:hAnsi="华文楷体" w:eastAsia="方正仿宋_GB2312"/>
                <w:color w:val="auto"/>
                <w:kern w:val="0"/>
                <w:sz w:val="24"/>
                <w:highlight w:val="none"/>
              </w:rPr>
            </w:pPr>
          </w:p>
        </w:tc>
        <w:tc>
          <w:tcPr>
            <w:tcW w:w="618" w:type="pct"/>
            <w:tcBorders>
              <w:bottom w:val="single" w:color="auto" w:sz="4" w:space="0"/>
            </w:tcBorders>
            <w:noWrap w:val="0"/>
            <w:vAlign w:val="top"/>
          </w:tcPr>
          <w:p w14:paraId="5140F715">
            <w:pPr>
              <w:spacing w:line="440" w:lineRule="exact"/>
              <w:jc w:val="center"/>
              <w:rPr>
                <w:rFonts w:ascii="方正仿宋_GB2312" w:hAnsi="华文楷体" w:eastAsia="方正仿宋_GB2312"/>
                <w:color w:val="auto"/>
                <w:kern w:val="0"/>
                <w:sz w:val="24"/>
                <w:highlight w:val="none"/>
              </w:rPr>
            </w:pPr>
          </w:p>
        </w:tc>
        <w:tc>
          <w:tcPr>
            <w:tcW w:w="700" w:type="pct"/>
            <w:tcBorders>
              <w:bottom w:val="single" w:color="auto" w:sz="4" w:space="0"/>
              <w:right w:val="single" w:color="auto" w:sz="12" w:space="0"/>
            </w:tcBorders>
            <w:noWrap w:val="0"/>
            <w:vAlign w:val="top"/>
          </w:tcPr>
          <w:p w14:paraId="7F3F6EF0">
            <w:pPr>
              <w:spacing w:line="440" w:lineRule="exact"/>
              <w:jc w:val="center"/>
              <w:rPr>
                <w:rFonts w:ascii="方正仿宋_GB2312" w:hAnsi="华文楷体" w:eastAsia="方正仿宋_GB2312"/>
                <w:color w:val="auto"/>
                <w:kern w:val="0"/>
                <w:sz w:val="24"/>
                <w:highlight w:val="none"/>
              </w:rPr>
            </w:pPr>
          </w:p>
        </w:tc>
      </w:tr>
      <w:tr w14:paraId="5A9D0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bottom w:val="single" w:color="auto" w:sz="4" w:space="0"/>
            </w:tcBorders>
            <w:noWrap w:val="0"/>
            <w:vAlign w:val="top"/>
          </w:tcPr>
          <w:p w14:paraId="22131CE2">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4</w:t>
            </w:r>
          </w:p>
        </w:tc>
        <w:tc>
          <w:tcPr>
            <w:tcW w:w="1036" w:type="pct"/>
            <w:tcBorders>
              <w:bottom w:val="single" w:color="auto" w:sz="4" w:space="0"/>
            </w:tcBorders>
            <w:noWrap w:val="0"/>
            <w:vAlign w:val="top"/>
          </w:tcPr>
          <w:p w14:paraId="6938BE08">
            <w:pPr>
              <w:spacing w:line="440" w:lineRule="exact"/>
              <w:jc w:val="center"/>
              <w:rPr>
                <w:rFonts w:ascii="方正仿宋_GB2312" w:hAnsi="华文楷体" w:eastAsia="方正仿宋_GB2312"/>
                <w:color w:val="auto"/>
                <w:kern w:val="0"/>
                <w:sz w:val="24"/>
                <w:highlight w:val="none"/>
              </w:rPr>
            </w:pPr>
          </w:p>
        </w:tc>
        <w:tc>
          <w:tcPr>
            <w:tcW w:w="488" w:type="pct"/>
            <w:tcBorders>
              <w:bottom w:val="single" w:color="auto" w:sz="4" w:space="0"/>
            </w:tcBorders>
            <w:noWrap w:val="0"/>
            <w:vAlign w:val="top"/>
          </w:tcPr>
          <w:p w14:paraId="4CD1A541">
            <w:pPr>
              <w:spacing w:line="440" w:lineRule="exact"/>
              <w:jc w:val="center"/>
              <w:rPr>
                <w:rFonts w:ascii="方正仿宋_GB2312" w:hAnsi="华文楷体" w:eastAsia="方正仿宋_GB2312"/>
                <w:color w:val="auto"/>
                <w:kern w:val="0"/>
                <w:sz w:val="24"/>
                <w:highlight w:val="none"/>
              </w:rPr>
            </w:pPr>
          </w:p>
        </w:tc>
        <w:tc>
          <w:tcPr>
            <w:tcW w:w="733" w:type="pct"/>
            <w:tcBorders>
              <w:bottom w:val="single" w:color="auto" w:sz="4" w:space="0"/>
            </w:tcBorders>
            <w:noWrap w:val="0"/>
            <w:vAlign w:val="top"/>
          </w:tcPr>
          <w:p w14:paraId="337FC115">
            <w:pPr>
              <w:spacing w:line="440" w:lineRule="exact"/>
              <w:jc w:val="center"/>
              <w:rPr>
                <w:rFonts w:ascii="方正仿宋_GB2312" w:hAnsi="华文楷体" w:eastAsia="方正仿宋_GB2312"/>
                <w:color w:val="auto"/>
                <w:kern w:val="0"/>
                <w:sz w:val="24"/>
                <w:highlight w:val="none"/>
              </w:rPr>
            </w:pPr>
          </w:p>
        </w:tc>
        <w:tc>
          <w:tcPr>
            <w:tcW w:w="292" w:type="pct"/>
            <w:tcBorders>
              <w:bottom w:val="single" w:color="auto" w:sz="4" w:space="0"/>
            </w:tcBorders>
            <w:noWrap w:val="0"/>
            <w:vAlign w:val="top"/>
          </w:tcPr>
          <w:p w14:paraId="3C03B4F1">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47DA722A">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76A33D3C">
            <w:pPr>
              <w:spacing w:line="440" w:lineRule="exact"/>
              <w:jc w:val="center"/>
              <w:rPr>
                <w:rFonts w:ascii="方正仿宋_GB2312" w:hAnsi="华文楷体" w:eastAsia="方正仿宋_GB2312"/>
                <w:color w:val="auto"/>
                <w:kern w:val="0"/>
                <w:sz w:val="24"/>
                <w:highlight w:val="none"/>
              </w:rPr>
            </w:pPr>
          </w:p>
        </w:tc>
        <w:tc>
          <w:tcPr>
            <w:tcW w:w="618" w:type="pct"/>
            <w:tcBorders>
              <w:bottom w:val="single" w:color="auto" w:sz="4" w:space="0"/>
            </w:tcBorders>
            <w:noWrap w:val="0"/>
            <w:vAlign w:val="top"/>
          </w:tcPr>
          <w:p w14:paraId="751F0F09">
            <w:pPr>
              <w:spacing w:line="440" w:lineRule="exact"/>
              <w:jc w:val="center"/>
              <w:rPr>
                <w:rFonts w:ascii="方正仿宋_GB2312" w:hAnsi="华文楷体" w:eastAsia="方正仿宋_GB2312"/>
                <w:color w:val="auto"/>
                <w:kern w:val="0"/>
                <w:sz w:val="24"/>
                <w:highlight w:val="none"/>
              </w:rPr>
            </w:pPr>
          </w:p>
        </w:tc>
        <w:tc>
          <w:tcPr>
            <w:tcW w:w="700" w:type="pct"/>
            <w:tcBorders>
              <w:bottom w:val="single" w:color="auto" w:sz="4" w:space="0"/>
              <w:right w:val="single" w:color="auto" w:sz="12" w:space="0"/>
            </w:tcBorders>
            <w:noWrap w:val="0"/>
            <w:vAlign w:val="top"/>
          </w:tcPr>
          <w:p w14:paraId="0B4D1DA3">
            <w:pPr>
              <w:spacing w:line="440" w:lineRule="exact"/>
              <w:jc w:val="center"/>
              <w:rPr>
                <w:rFonts w:ascii="方正仿宋_GB2312" w:hAnsi="华文楷体" w:eastAsia="方正仿宋_GB2312"/>
                <w:color w:val="auto"/>
                <w:kern w:val="0"/>
                <w:sz w:val="24"/>
                <w:highlight w:val="none"/>
              </w:rPr>
            </w:pPr>
          </w:p>
        </w:tc>
      </w:tr>
      <w:tr w14:paraId="72A11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bottom w:val="single" w:color="auto" w:sz="4" w:space="0"/>
            </w:tcBorders>
            <w:noWrap w:val="0"/>
            <w:vAlign w:val="top"/>
          </w:tcPr>
          <w:p w14:paraId="6A9F333C">
            <w:pPr>
              <w:spacing w:line="440" w:lineRule="exact"/>
              <w:jc w:val="center"/>
              <w:rPr>
                <w:rFonts w:hint="eastAsia"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5</w:t>
            </w:r>
          </w:p>
        </w:tc>
        <w:tc>
          <w:tcPr>
            <w:tcW w:w="1036" w:type="pct"/>
            <w:tcBorders>
              <w:bottom w:val="single" w:color="auto" w:sz="4" w:space="0"/>
            </w:tcBorders>
            <w:noWrap w:val="0"/>
            <w:vAlign w:val="top"/>
          </w:tcPr>
          <w:p w14:paraId="5ED63A4B">
            <w:pPr>
              <w:spacing w:line="440" w:lineRule="exact"/>
              <w:jc w:val="center"/>
              <w:rPr>
                <w:rFonts w:ascii="方正仿宋_GB2312" w:hAnsi="华文楷体" w:eastAsia="方正仿宋_GB2312"/>
                <w:color w:val="auto"/>
                <w:kern w:val="0"/>
                <w:sz w:val="24"/>
                <w:highlight w:val="none"/>
              </w:rPr>
            </w:pPr>
          </w:p>
        </w:tc>
        <w:tc>
          <w:tcPr>
            <w:tcW w:w="488" w:type="pct"/>
            <w:tcBorders>
              <w:bottom w:val="single" w:color="auto" w:sz="4" w:space="0"/>
            </w:tcBorders>
            <w:noWrap w:val="0"/>
            <w:vAlign w:val="top"/>
          </w:tcPr>
          <w:p w14:paraId="49A78B8A">
            <w:pPr>
              <w:spacing w:line="440" w:lineRule="exact"/>
              <w:jc w:val="center"/>
              <w:rPr>
                <w:rFonts w:ascii="方正仿宋_GB2312" w:hAnsi="华文楷体" w:eastAsia="方正仿宋_GB2312"/>
                <w:color w:val="auto"/>
                <w:kern w:val="0"/>
                <w:sz w:val="24"/>
                <w:highlight w:val="none"/>
              </w:rPr>
            </w:pPr>
          </w:p>
        </w:tc>
        <w:tc>
          <w:tcPr>
            <w:tcW w:w="733" w:type="pct"/>
            <w:tcBorders>
              <w:bottom w:val="single" w:color="auto" w:sz="4" w:space="0"/>
            </w:tcBorders>
            <w:noWrap w:val="0"/>
            <w:vAlign w:val="top"/>
          </w:tcPr>
          <w:p w14:paraId="2EEE3065">
            <w:pPr>
              <w:spacing w:line="440" w:lineRule="exact"/>
              <w:jc w:val="center"/>
              <w:rPr>
                <w:rFonts w:ascii="方正仿宋_GB2312" w:hAnsi="华文楷体" w:eastAsia="方正仿宋_GB2312"/>
                <w:color w:val="auto"/>
                <w:kern w:val="0"/>
                <w:sz w:val="24"/>
                <w:highlight w:val="none"/>
              </w:rPr>
            </w:pPr>
          </w:p>
        </w:tc>
        <w:tc>
          <w:tcPr>
            <w:tcW w:w="292" w:type="pct"/>
            <w:tcBorders>
              <w:bottom w:val="single" w:color="auto" w:sz="4" w:space="0"/>
            </w:tcBorders>
            <w:noWrap w:val="0"/>
            <w:vAlign w:val="top"/>
          </w:tcPr>
          <w:p w14:paraId="270F8717">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2A4C7C00">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6028EA0C">
            <w:pPr>
              <w:spacing w:line="440" w:lineRule="exact"/>
              <w:jc w:val="center"/>
              <w:rPr>
                <w:rFonts w:ascii="方正仿宋_GB2312" w:hAnsi="华文楷体" w:eastAsia="方正仿宋_GB2312"/>
                <w:color w:val="auto"/>
                <w:kern w:val="0"/>
                <w:sz w:val="24"/>
                <w:highlight w:val="none"/>
              </w:rPr>
            </w:pPr>
          </w:p>
        </w:tc>
        <w:tc>
          <w:tcPr>
            <w:tcW w:w="618" w:type="pct"/>
            <w:tcBorders>
              <w:bottom w:val="single" w:color="auto" w:sz="4" w:space="0"/>
            </w:tcBorders>
            <w:noWrap w:val="0"/>
            <w:vAlign w:val="top"/>
          </w:tcPr>
          <w:p w14:paraId="7530FD9C">
            <w:pPr>
              <w:spacing w:line="440" w:lineRule="exact"/>
              <w:jc w:val="center"/>
              <w:rPr>
                <w:rFonts w:ascii="方正仿宋_GB2312" w:hAnsi="华文楷体" w:eastAsia="方正仿宋_GB2312"/>
                <w:color w:val="auto"/>
                <w:kern w:val="0"/>
                <w:sz w:val="24"/>
                <w:highlight w:val="none"/>
              </w:rPr>
            </w:pPr>
          </w:p>
        </w:tc>
        <w:tc>
          <w:tcPr>
            <w:tcW w:w="700" w:type="pct"/>
            <w:tcBorders>
              <w:bottom w:val="single" w:color="auto" w:sz="4" w:space="0"/>
              <w:right w:val="single" w:color="auto" w:sz="12" w:space="0"/>
            </w:tcBorders>
            <w:noWrap w:val="0"/>
            <w:vAlign w:val="top"/>
          </w:tcPr>
          <w:p w14:paraId="1CF8882E">
            <w:pPr>
              <w:spacing w:line="440" w:lineRule="exact"/>
              <w:jc w:val="center"/>
              <w:rPr>
                <w:rFonts w:ascii="方正仿宋_GB2312" w:hAnsi="华文楷体" w:eastAsia="方正仿宋_GB2312"/>
                <w:color w:val="auto"/>
                <w:kern w:val="0"/>
                <w:sz w:val="24"/>
                <w:highlight w:val="none"/>
              </w:rPr>
            </w:pPr>
          </w:p>
        </w:tc>
      </w:tr>
      <w:tr w14:paraId="512FF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7" w:type="pct"/>
            <w:gridSpan w:val="4"/>
            <w:tcBorders>
              <w:top w:val="double" w:color="auto" w:sz="4" w:space="0"/>
              <w:left w:val="single" w:color="auto" w:sz="12" w:space="0"/>
              <w:bottom w:val="single" w:color="auto" w:sz="12" w:space="0"/>
            </w:tcBorders>
            <w:noWrap w:val="0"/>
            <w:vAlign w:val="top"/>
          </w:tcPr>
          <w:p w14:paraId="57ECA68A">
            <w:pPr>
              <w:spacing w:line="440" w:lineRule="exact"/>
              <w:jc w:val="center"/>
              <w:rPr>
                <w:rFonts w:hint="eastAsia" w:ascii="黑体" w:hAnsi="华文楷体" w:eastAsia="黑体" w:cs="Times New Roman"/>
                <w:color w:val="auto"/>
                <w:kern w:val="0"/>
                <w:sz w:val="24"/>
                <w:highlight w:val="none"/>
              </w:rPr>
            </w:pPr>
            <w:r>
              <w:rPr>
                <w:rFonts w:hint="eastAsia" w:ascii="黑体" w:hAnsi="华文楷体" w:eastAsia="黑体" w:cs="Times New Roman"/>
                <w:color w:val="auto"/>
                <w:kern w:val="0"/>
                <w:sz w:val="24"/>
                <w:highlight w:val="none"/>
              </w:rPr>
              <w:t>合计金额（人民币）</w:t>
            </w:r>
          </w:p>
        </w:tc>
        <w:tc>
          <w:tcPr>
            <w:tcW w:w="2492" w:type="pct"/>
            <w:gridSpan w:val="5"/>
            <w:tcBorders>
              <w:top w:val="double" w:color="auto" w:sz="4" w:space="0"/>
              <w:bottom w:val="single" w:color="auto" w:sz="12" w:space="0"/>
              <w:right w:val="single" w:color="auto" w:sz="12" w:space="0"/>
            </w:tcBorders>
            <w:noWrap w:val="0"/>
            <w:vAlign w:val="top"/>
          </w:tcPr>
          <w:p w14:paraId="5C538379">
            <w:pPr>
              <w:spacing w:line="440" w:lineRule="exact"/>
              <w:jc w:val="center"/>
              <w:rPr>
                <w:rFonts w:hint="eastAsia" w:ascii="黑体" w:hAnsi="华文楷体" w:eastAsia="黑体" w:cs="Times New Roman"/>
                <w:color w:val="auto"/>
                <w:kern w:val="0"/>
                <w:sz w:val="24"/>
                <w:highlight w:val="none"/>
              </w:rPr>
            </w:pPr>
            <w:r>
              <w:rPr>
                <w:rFonts w:hint="eastAsia" w:ascii="黑体" w:hAnsi="华文楷体" w:eastAsia="黑体" w:cs="Times New Roman"/>
                <w:color w:val="auto"/>
                <w:kern w:val="0"/>
                <w:sz w:val="24"/>
                <w:highlight w:val="none"/>
              </w:rPr>
              <w:t xml:space="preserve">￥           （大写）：                               </w:t>
            </w:r>
          </w:p>
        </w:tc>
      </w:tr>
    </w:tbl>
    <w:p w14:paraId="655247D5">
      <w:pPr>
        <w:spacing w:line="440" w:lineRule="exact"/>
        <w:rPr>
          <w:rFonts w:hint="eastAsia" w:ascii="黑体" w:hAnsi="华文楷体" w:eastAsia="黑体"/>
          <w:b/>
          <w:color w:val="auto"/>
          <w:sz w:val="24"/>
          <w:highlight w:val="none"/>
        </w:rPr>
      </w:pPr>
    </w:p>
    <w:p w14:paraId="2181F384">
      <w:pPr>
        <w:spacing w:line="440" w:lineRule="exact"/>
        <w:rPr>
          <w:rFonts w:hint="eastAsia" w:ascii="黑体" w:hAnsi="华文楷体" w:eastAsia="黑体"/>
          <w:b/>
          <w:color w:val="auto"/>
          <w:sz w:val="24"/>
          <w:highlight w:val="none"/>
        </w:rPr>
      </w:pPr>
    </w:p>
    <w:p w14:paraId="5E23D6EF">
      <w:pPr>
        <w:pStyle w:val="13"/>
        <w:ind w:left="0" w:leftChars="0" w:firstLine="0" w:firstLineChars="0"/>
        <w:rPr>
          <w:rFonts w:hint="eastAsia"/>
          <w:color w:val="auto"/>
          <w:highlight w:val="none"/>
        </w:rPr>
      </w:pPr>
    </w:p>
    <w:p w14:paraId="296AA70E">
      <w:pPr>
        <w:spacing w:line="440" w:lineRule="exact"/>
        <w:rPr>
          <w:rFonts w:ascii="黑体" w:hAnsi="华文楷体" w:eastAsia="黑体"/>
          <w:color w:val="auto"/>
          <w:sz w:val="24"/>
          <w:highlight w:val="none"/>
        </w:rPr>
      </w:pPr>
      <w:r>
        <w:rPr>
          <w:rFonts w:hint="eastAsia" w:ascii="黑体" w:hAnsi="华文楷体" w:eastAsia="黑体"/>
          <w:color w:val="auto"/>
          <w:sz w:val="24"/>
          <w:highlight w:val="none"/>
        </w:rPr>
        <w:t>公司名称（盖章）：          委托代理人（签字）：        报价日期：      年    月   日</w:t>
      </w:r>
    </w:p>
    <w:p w14:paraId="345567A0">
      <w:pPr>
        <w:rPr>
          <w:rFonts w:hint="eastAsia" w:ascii="黑体" w:hAnsi="华文楷体" w:eastAsia="黑体"/>
          <w:color w:val="auto"/>
          <w:szCs w:val="21"/>
          <w:highlight w:val="none"/>
        </w:rPr>
      </w:pPr>
    </w:p>
    <w:p w14:paraId="24F3C11F">
      <w:pPr>
        <w:rPr>
          <w:rFonts w:ascii="黑体" w:hAnsi="华文楷体" w:eastAsia="黑体"/>
          <w:color w:val="auto"/>
          <w:szCs w:val="21"/>
          <w:highlight w:val="none"/>
        </w:rPr>
      </w:pPr>
      <w:r>
        <w:rPr>
          <w:rFonts w:hint="eastAsia" w:ascii="黑体" w:hAnsi="华文楷体" w:eastAsia="黑体"/>
          <w:color w:val="auto"/>
          <w:szCs w:val="21"/>
          <w:highlight w:val="none"/>
        </w:rPr>
        <w:t>报价说明：1、报价公司提供的上述产品，应完全满足或者优于我校提出的需求。</w:t>
      </w:r>
    </w:p>
    <w:p w14:paraId="6C546935">
      <w:pPr>
        <w:rPr>
          <w:rFonts w:ascii="黑体" w:hAnsi="华文楷体" w:eastAsia="黑体"/>
          <w:color w:val="auto"/>
          <w:szCs w:val="21"/>
          <w:highlight w:val="none"/>
        </w:rPr>
      </w:pPr>
      <w:r>
        <w:rPr>
          <w:rFonts w:hint="eastAsia" w:ascii="黑体" w:hAnsi="华文楷体" w:eastAsia="黑体"/>
          <w:color w:val="auto"/>
          <w:szCs w:val="21"/>
          <w:highlight w:val="none"/>
        </w:rPr>
        <w:t xml:space="preserve">          2、如属非标配产品，其技术指标（特别是优于我校需求的部分）请另行附页说明。</w:t>
      </w:r>
    </w:p>
    <w:p w14:paraId="360E75B8">
      <w:pPr>
        <w:rPr>
          <w:rFonts w:ascii="黑体" w:hAnsi="华文楷体" w:eastAsia="黑体"/>
          <w:color w:val="auto"/>
          <w:szCs w:val="21"/>
          <w:highlight w:val="none"/>
        </w:rPr>
      </w:pPr>
      <w:r>
        <w:rPr>
          <w:rFonts w:hint="eastAsia" w:ascii="黑体" w:hAnsi="华文楷体" w:eastAsia="黑体"/>
          <w:color w:val="auto"/>
          <w:szCs w:val="21"/>
          <w:highlight w:val="none"/>
        </w:rPr>
        <w:t xml:space="preserve">          3、特殊的售后服务措施、代理证明情况等需要说明的，请另行附页说明。</w:t>
      </w:r>
    </w:p>
    <w:p w14:paraId="4A21681F">
      <w:pPr>
        <w:rPr>
          <w:rFonts w:hint="eastAsia" w:ascii="黑体" w:hAnsi="华文楷体" w:eastAsia="黑体"/>
          <w:color w:val="auto"/>
          <w:szCs w:val="21"/>
          <w:highlight w:val="none"/>
        </w:rPr>
      </w:pPr>
      <w:r>
        <w:rPr>
          <w:rFonts w:hint="eastAsia" w:ascii="黑体" w:hAnsi="华文楷体" w:eastAsia="黑体"/>
          <w:color w:val="auto"/>
          <w:szCs w:val="21"/>
          <w:highlight w:val="none"/>
        </w:rPr>
        <w:t xml:space="preserve">          4、报价单附页（如有）共</w:t>
      </w:r>
      <w:r>
        <w:rPr>
          <w:rFonts w:hint="eastAsia" w:ascii="黑体" w:hAnsi="华文楷体" w:eastAsia="黑体"/>
          <w:color w:val="auto"/>
          <w:szCs w:val="21"/>
          <w:highlight w:val="none"/>
          <w:u w:val="single"/>
        </w:rPr>
        <w:t xml:space="preserve">      </w:t>
      </w:r>
      <w:r>
        <w:rPr>
          <w:rFonts w:hint="eastAsia" w:ascii="黑体" w:hAnsi="华文楷体" w:eastAsia="黑体"/>
          <w:color w:val="auto"/>
          <w:szCs w:val="21"/>
          <w:highlight w:val="none"/>
        </w:rPr>
        <w:t>页。</w:t>
      </w:r>
    </w:p>
    <w:p w14:paraId="4403A77C">
      <w:pPr>
        <w:rPr>
          <w:rFonts w:hint="eastAsia" w:ascii="仿宋" w:hAnsi="仿宋" w:eastAsia="仿宋"/>
          <w:b/>
          <w:bCs/>
          <w:color w:val="auto"/>
          <w:kern w:val="0"/>
          <w:sz w:val="36"/>
          <w:szCs w:val="36"/>
          <w:highlight w:val="none"/>
          <w:lang w:val="en-US" w:eastAsia="zh-CN"/>
        </w:rPr>
      </w:pPr>
      <w:r>
        <w:rPr>
          <w:rFonts w:hint="eastAsia" w:ascii="仿宋" w:hAnsi="仿宋" w:eastAsia="仿宋"/>
          <w:b/>
          <w:bCs/>
          <w:color w:val="auto"/>
          <w:kern w:val="0"/>
          <w:sz w:val="36"/>
          <w:szCs w:val="36"/>
          <w:highlight w:val="none"/>
          <w:lang w:val="en-US" w:eastAsia="zh-CN"/>
        </w:rPr>
        <w:br w:type="page"/>
      </w:r>
    </w:p>
    <w:p w14:paraId="0D7FB27B">
      <w:pPr>
        <w:spacing w:after="120" w:afterLines="50" w:line="240" w:lineRule="auto"/>
        <w:ind w:left="0" w:leftChars="0" w:firstLine="0" w:firstLineChars="0"/>
        <w:jc w:val="center"/>
        <w:rPr>
          <w:rFonts w:ascii="仿宋" w:hAnsi="仿宋" w:eastAsia="仿宋"/>
          <w:b/>
          <w:bCs/>
          <w:color w:val="auto"/>
          <w:kern w:val="0"/>
          <w:sz w:val="36"/>
          <w:szCs w:val="36"/>
          <w:highlight w:val="none"/>
        </w:rPr>
      </w:pPr>
      <w:r>
        <w:rPr>
          <w:rFonts w:hint="eastAsia" w:ascii="仿宋" w:hAnsi="仿宋" w:eastAsia="仿宋"/>
          <w:b/>
          <w:bCs/>
          <w:color w:val="auto"/>
          <w:kern w:val="0"/>
          <w:sz w:val="36"/>
          <w:szCs w:val="36"/>
          <w:highlight w:val="none"/>
          <w:lang w:val="en-US" w:eastAsia="zh-CN"/>
        </w:rPr>
        <w:t>报价</w:t>
      </w:r>
      <w:r>
        <w:rPr>
          <w:rFonts w:hint="eastAsia" w:ascii="仿宋" w:hAnsi="仿宋" w:eastAsia="仿宋"/>
          <w:b/>
          <w:bCs/>
          <w:color w:val="auto"/>
          <w:kern w:val="0"/>
          <w:sz w:val="36"/>
          <w:szCs w:val="36"/>
          <w:highlight w:val="none"/>
        </w:rPr>
        <w:t>承诺函</w:t>
      </w:r>
    </w:p>
    <w:p w14:paraId="154139ED">
      <w:pPr>
        <w:spacing w:after="120" w:afterLines="50" w:line="240" w:lineRule="auto"/>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zh-CN"/>
        </w:rPr>
        <w:t>致：</w:t>
      </w:r>
      <w:r>
        <w:rPr>
          <w:rFonts w:hint="eastAsia" w:ascii="仿宋" w:hAnsi="仿宋" w:eastAsia="仿宋" w:cs="宋体"/>
          <w:color w:val="auto"/>
          <w:sz w:val="24"/>
          <w:szCs w:val="24"/>
          <w:highlight w:val="none"/>
          <w:lang w:val="en-US" w:eastAsia="zh-CN"/>
        </w:rPr>
        <w:t>上海海事大学</w:t>
      </w:r>
    </w:p>
    <w:p w14:paraId="37C42137">
      <w:pPr>
        <w:spacing w:after="120" w:afterLines="50" w:line="240" w:lineRule="auto"/>
        <w:ind w:left="0" w:leftChars="0" w:firstLine="480" w:firstLineChars="200"/>
        <w:rPr>
          <w:rFonts w:ascii="仿宋" w:hAnsi="仿宋" w:eastAsia="仿宋" w:cs="宋体"/>
          <w:color w:val="auto"/>
          <w:sz w:val="24"/>
          <w:szCs w:val="24"/>
          <w:highlight w:val="none"/>
          <w:lang w:val="zh-CN"/>
        </w:rPr>
      </w:pPr>
      <w:r>
        <w:rPr>
          <w:rFonts w:hint="eastAsia" w:ascii="仿宋" w:hAnsi="仿宋" w:eastAsia="仿宋" w:cs="宋体"/>
          <w:color w:val="auto"/>
          <w:sz w:val="24"/>
          <w:szCs w:val="24"/>
          <w:highlight w:val="none"/>
          <w:lang w:val="zh-CN"/>
        </w:rPr>
        <w:t>我</w:t>
      </w:r>
      <w:r>
        <w:rPr>
          <w:rFonts w:ascii="仿宋" w:hAnsi="仿宋" w:eastAsia="仿宋" w:cs="宋体"/>
          <w:color w:val="auto"/>
          <w:sz w:val="24"/>
          <w:szCs w:val="24"/>
          <w:highlight w:val="none"/>
          <w:lang w:val="zh-CN"/>
        </w:rPr>
        <w:t>公司在参加本次</w:t>
      </w:r>
      <w:r>
        <w:rPr>
          <w:rFonts w:hint="eastAsia" w:ascii="仿宋" w:hAnsi="仿宋" w:eastAsia="仿宋" w:cs="宋体"/>
          <w:color w:val="auto"/>
          <w:sz w:val="24"/>
          <w:szCs w:val="24"/>
          <w:highlight w:val="none"/>
          <w:lang w:val="en-US" w:eastAsia="zh-CN"/>
        </w:rPr>
        <w:t>比选采购</w:t>
      </w:r>
      <w:r>
        <w:rPr>
          <w:rFonts w:ascii="仿宋" w:hAnsi="仿宋" w:eastAsia="仿宋" w:cs="宋体"/>
          <w:color w:val="auto"/>
          <w:sz w:val="24"/>
          <w:szCs w:val="24"/>
          <w:highlight w:val="none"/>
          <w:lang w:val="zh-CN"/>
        </w:rPr>
        <w:t>活动中，</w:t>
      </w:r>
      <w:r>
        <w:rPr>
          <w:rFonts w:hint="eastAsia" w:ascii="仿宋" w:hAnsi="仿宋" w:eastAsia="仿宋" w:cs="宋体"/>
          <w:color w:val="auto"/>
          <w:sz w:val="24"/>
          <w:szCs w:val="24"/>
          <w:highlight w:val="none"/>
          <w:lang w:val="zh-CN"/>
        </w:rPr>
        <w:t>作出如下</w:t>
      </w:r>
      <w:r>
        <w:rPr>
          <w:rFonts w:ascii="仿宋" w:hAnsi="仿宋" w:eastAsia="仿宋" w:cs="宋体"/>
          <w:color w:val="auto"/>
          <w:sz w:val="24"/>
          <w:szCs w:val="24"/>
          <w:highlight w:val="none"/>
          <w:lang w:val="zh-CN"/>
        </w:rPr>
        <w:t>承诺：</w:t>
      </w:r>
    </w:p>
    <w:p w14:paraId="46C0BB39">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zh-CN" w:eastAsia="zh-CN"/>
        </w:rPr>
        <w:t>一、</w:t>
      </w:r>
      <w:r>
        <w:rPr>
          <w:rFonts w:hint="eastAsia" w:ascii="仿宋" w:hAnsi="仿宋" w:eastAsia="仿宋" w:cs="宋体"/>
          <w:color w:val="auto"/>
          <w:sz w:val="24"/>
          <w:szCs w:val="24"/>
          <w:highlight w:val="none"/>
          <w:lang w:val="en-US" w:eastAsia="zh-CN"/>
        </w:rPr>
        <w:t>我</w:t>
      </w:r>
      <w:r>
        <w:rPr>
          <w:rFonts w:hint="eastAsia" w:ascii="仿宋" w:hAnsi="仿宋" w:eastAsia="仿宋" w:cs="宋体"/>
          <w:color w:val="auto"/>
          <w:sz w:val="24"/>
          <w:szCs w:val="24"/>
          <w:highlight w:val="none"/>
          <w:lang w:val="zh-CN"/>
        </w:rPr>
        <w:t>公司</w:t>
      </w:r>
      <w:r>
        <w:rPr>
          <w:rFonts w:hint="eastAsia" w:ascii="仿宋" w:hAnsi="仿宋" w:eastAsia="仿宋" w:cs="宋体"/>
          <w:color w:val="auto"/>
          <w:sz w:val="24"/>
          <w:szCs w:val="24"/>
          <w:highlight w:val="none"/>
          <w:lang w:val="en-US" w:eastAsia="zh-CN"/>
        </w:rPr>
        <w:t>具备独立法人资格，能够独立承担民事责任。</w:t>
      </w:r>
    </w:p>
    <w:p w14:paraId="50EE2300">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二、我</w:t>
      </w:r>
      <w:r>
        <w:rPr>
          <w:rFonts w:hint="eastAsia" w:ascii="仿宋" w:hAnsi="仿宋" w:eastAsia="仿宋" w:cs="宋体"/>
          <w:color w:val="auto"/>
          <w:sz w:val="24"/>
          <w:szCs w:val="24"/>
          <w:highlight w:val="none"/>
          <w:lang w:val="zh-CN"/>
        </w:rPr>
        <w:t>公司</w:t>
      </w:r>
      <w:r>
        <w:rPr>
          <w:rFonts w:hint="eastAsia" w:ascii="仿宋" w:hAnsi="仿宋" w:eastAsia="仿宋" w:cs="宋体"/>
          <w:color w:val="auto"/>
          <w:sz w:val="24"/>
          <w:szCs w:val="24"/>
          <w:highlight w:val="none"/>
          <w:lang w:val="en-US" w:eastAsia="zh-CN"/>
        </w:rPr>
        <w:t>财务状况良好，具备履行合同所需资金实力。</w:t>
      </w:r>
    </w:p>
    <w:p w14:paraId="3F8FCAE5">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三、我</w:t>
      </w:r>
      <w:r>
        <w:rPr>
          <w:rFonts w:hint="eastAsia" w:ascii="仿宋" w:hAnsi="仿宋" w:eastAsia="仿宋" w:cs="宋体"/>
          <w:color w:val="auto"/>
          <w:sz w:val="24"/>
          <w:szCs w:val="24"/>
          <w:highlight w:val="none"/>
          <w:lang w:val="zh-CN"/>
        </w:rPr>
        <w:t>公司</w:t>
      </w:r>
      <w:r>
        <w:rPr>
          <w:rFonts w:hint="eastAsia" w:ascii="仿宋" w:hAnsi="仿宋" w:eastAsia="仿宋" w:cs="宋体"/>
          <w:color w:val="auto"/>
          <w:sz w:val="24"/>
          <w:szCs w:val="24"/>
          <w:highlight w:val="none"/>
          <w:lang w:val="en-US" w:eastAsia="zh-CN"/>
        </w:rPr>
        <w:t>拥有履行项目所需的专业技术人员和先进的生产设备。</w:t>
      </w:r>
    </w:p>
    <w:p w14:paraId="45943AA8">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四、我</w:t>
      </w:r>
      <w:r>
        <w:rPr>
          <w:rFonts w:hint="eastAsia" w:ascii="仿宋" w:hAnsi="仿宋" w:eastAsia="仿宋" w:cs="宋体"/>
          <w:color w:val="auto"/>
          <w:sz w:val="24"/>
          <w:szCs w:val="24"/>
          <w:highlight w:val="none"/>
          <w:lang w:val="zh-CN" w:eastAsia="zh-CN"/>
        </w:rPr>
        <w:t>公司</w:t>
      </w:r>
      <w:r>
        <w:rPr>
          <w:rFonts w:hint="eastAsia" w:ascii="仿宋" w:hAnsi="仿宋" w:eastAsia="仿宋" w:cs="宋体"/>
          <w:color w:val="auto"/>
          <w:sz w:val="24"/>
          <w:szCs w:val="24"/>
          <w:highlight w:val="none"/>
          <w:lang w:val="en-US" w:eastAsia="zh-CN"/>
        </w:rPr>
        <w:t>依法纳税，并按时缴纳社会保险费。</w:t>
      </w:r>
    </w:p>
    <w:p w14:paraId="0F0C6E90">
      <w:pPr>
        <w:spacing w:after="120" w:afterLines="50" w:line="240" w:lineRule="auto"/>
        <w:ind w:left="0" w:leftChars="0" w:firstLine="480" w:firstLineChars="200"/>
        <w:rPr>
          <w:rFonts w:hint="eastAsia"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五、我</w:t>
      </w:r>
      <w:r>
        <w:rPr>
          <w:rFonts w:hint="eastAsia" w:ascii="仿宋" w:hAnsi="仿宋" w:eastAsia="仿宋" w:cs="宋体"/>
          <w:color w:val="auto"/>
          <w:sz w:val="24"/>
          <w:szCs w:val="24"/>
          <w:highlight w:val="none"/>
          <w:lang w:val="zh-CN" w:eastAsia="zh-CN"/>
        </w:rPr>
        <w:t>公司</w:t>
      </w:r>
      <w:r>
        <w:rPr>
          <w:rFonts w:hint="eastAsia" w:ascii="仿宋" w:hAnsi="仿宋" w:eastAsia="仿宋" w:cs="宋体"/>
          <w:color w:val="auto"/>
          <w:sz w:val="24"/>
          <w:szCs w:val="24"/>
          <w:highlight w:val="none"/>
          <w:lang w:val="en-US" w:eastAsia="zh-CN"/>
        </w:rPr>
        <w:t>在最近三年内无任何违法违规行为，信誉良好。</w:t>
      </w:r>
    </w:p>
    <w:p w14:paraId="3EF4200C">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六、我</w:t>
      </w:r>
      <w:r>
        <w:rPr>
          <w:rFonts w:hint="eastAsia" w:ascii="仿宋" w:hAnsi="仿宋" w:eastAsia="仿宋" w:cs="宋体"/>
          <w:color w:val="auto"/>
          <w:sz w:val="24"/>
          <w:szCs w:val="24"/>
          <w:highlight w:val="none"/>
          <w:lang w:val="zh-CN" w:eastAsia="zh-CN"/>
        </w:rPr>
        <w:t>公司</w:t>
      </w:r>
      <w:r>
        <w:rPr>
          <w:rFonts w:hint="eastAsia" w:ascii="仿宋" w:hAnsi="仿宋" w:eastAsia="仿宋" w:cs="宋体"/>
          <w:color w:val="auto"/>
          <w:sz w:val="24"/>
          <w:szCs w:val="24"/>
          <w:highlight w:val="none"/>
          <w:lang w:val="en-US" w:eastAsia="zh-CN"/>
        </w:rPr>
        <w:t>完全符合政府采购法及其他相关法律法规的规定。</w:t>
      </w:r>
    </w:p>
    <w:p w14:paraId="072F3ABB">
      <w:pPr>
        <w:spacing w:after="120" w:afterLines="50" w:line="240" w:lineRule="auto"/>
        <w:ind w:left="0" w:leftChars="0" w:firstLine="480" w:firstLineChars="200"/>
        <w:rPr>
          <w:rFonts w:hint="eastAsia" w:ascii="仿宋" w:hAnsi="仿宋" w:eastAsia="仿宋" w:cs="宋体"/>
          <w:color w:val="auto"/>
          <w:sz w:val="24"/>
          <w:szCs w:val="24"/>
          <w:highlight w:val="none"/>
          <w:lang w:val="zh-CN" w:eastAsia="zh-CN"/>
        </w:rPr>
      </w:pPr>
      <w:r>
        <w:rPr>
          <w:rFonts w:hint="eastAsia" w:ascii="仿宋" w:hAnsi="仿宋" w:eastAsia="仿宋" w:cs="宋体"/>
          <w:color w:val="auto"/>
          <w:sz w:val="24"/>
          <w:szCs w:val="24"/>
          <w:highlight w:val="none"/>
          <w:lang w:val="en-US" w:eastAsia="zh-CN"/>
        </w:rPr>
        <w:t>七</w:t>
      </w:r>
      <w:r>
        <w:rPr>
          <w:rFonts w:hint="eastAsia" w:ascii="仿宋" w:hAnsi="仿宋" w:eastAsia="仿宋" w:cs="宋体"/>
          <w:color w:val="auto"/>
          <w:sz w:val="24"/>
          <w:szCs w:val="24"/>
          <w:highlight w:val="none"/>
          <w:lang w:val="zh-CN" w:eastAsia="zh-CN"/>
        </w:rPr>
        <w:t>、</w:t>
      </w:r>
      <w:r>
        <w:rPr>
          <w:rFonts w:hint="eastAsia" w:ascii="仿宋" w:hAnsi="仿宋" w:eastAsia="仿宋" w:cs="宋体"/>
          <w:color w:val="auto"/>
          <w:sz w:val="24"/>
          <w:szCs w:val="24"/>
          <w:highlight w:val="none"/>
          <w:lang w:val="en-US" w:eastAsia="zh-CN"/>
        </w:rPr>
        <w:t>我</w:t>
      </w:r>
      <w:r>
        <w:rPr>
          <w:rFonts w:hint="eastAsia" w:ascii="仿宋" w:hAnsi="仿宋" w:eastAsia="仿宋" w:cs="宋体"/>
          <w:color w:val="auto"/>
          <w:sz w:val="24"/>
          <w:szCs w:val="24"/>
          <w:highlight w:val="none"/>
          <w:lang w:val="zh-CN" w:eastAsia="zh-CN"/>
        </w:rPr>
        <w:t>公司提供的相关文件均真实、有效。</w:t>
      </w:r>
    </w:p>
    <w:p w14:paraId="1E86BCEA">
      <w:pPr>
        <w:spacing w:after="120" w:afterLines="50" w:line="240" w:lineRule="auto"/>
        <w:ind w:left="0" w:leftChars="0" w:firstLine="480" w:firstLineChars="200"/>
        <w:rPr>
          <w:rFonts w:hint="eastAsia"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八、我</w:t>
      </w:r>
      <w:r>
        <w:rPr>
          <w:rFonts w:hint="eastAsia" w:ascii="仿宋" w:hAnsi="仿宋" w:eastAsia="仿宋" w:cs="宋体"/>
          <w:color w:val="auto"/>
          <w:sz w:val="24"/>
          <w:szCs w:val="24"/>
          <w:highlight w:val="none"/>
          <w:lang w:val="zh-CN" w:eastAsia="zh-CN"/>
        </w:rPr>
        <w:t>公司未挂靠、借用资质进行投标等违法违规行为。</w:t>
      </w:r>
    </w:p>
    <w:p w14:paraId="1961C25F">
      <w:pPr>
        <w:spacing w:after="120" w:afterLines="50" w:line="240" w:lineRule="auto"/>
        <w:ind w:left="0" w:leftChars="0" w:firstLine="480" w:firstLineChars="200"/>
        <w:rPr>
          <w:rFonts w:hint="eastAsia" w:ascii="仿宋" w:hAnsi="仿宋" w:eastAsia="仿宋" w:cs="宋体"/>
          <w:color w:val="auto"/>
          <w:sz w:val="24"/>
          <w:szCs w:val="24"/>
          <w:highlight w:val="none"/>
          <w:lang w:val="zh-CN" w:eastAsia="zh-CN"/>
        </w:rPr>
      </w:pPr>
      <w:r>
        <w:rPr>
          <w:rFonts w:hint="eastAsia" w:ascii="仿宋" w:hAnsi="仿宋" w:eastAsia="仿宋" w:cs="宋体"/>
          <w:color w:val="auto"/>
          <w:sz w:val="24"/>
          <w:szCs w:val="24"/>
          <w:highlight w:val="none"/>
          <w:lang w:val="en-US" w:eastAsia="zh-CN"/>
        </w:rPr>
        <w:t>九、</w:t>
      </w:r>
      <w:r>
        <w:rPr>
          <w:rFonts w:hint="eastAsia" w:ascii="仿宋" w:hAnsi="仿宋" w:eastAsia="仿宋" w:cs="宋体"/>
          <w:color w:val="auto"/>
          <w:sz w:val="24"/>
          <w:szCs w:val="24"/>
          <w:highlight w:val="none"/>
          <w:lang w:val="zh-CN" w:eastAsia="zh-CN"/>
        </w:rPr>
        <w:t>我公司承诺在参加本</w:t>
      </w:r>
      <w:r>
        <w:rPr>
          <w:rFonts w:hint="eastAsia" w:ascii="仿宋" w:hAnsi="仿宋" w:eastAsia="仿宋" w:cs="宋体"/>
          <w:color w:val="auto"/>
          <w:sz w:val="24"/>
          <w:szCs w:val="24"/>
          <w:highlight w:val="none"/>
          <w:lang w:val="en-US" w:eastAsia="zh-CN"/>
        </w:rPr>
        <w:t>次</w:t>
      </w:r>
      <w:r>
        <w:rPr>
          <w:rFonts w:hint="eastAsia" w:ascii="仿宋" w:hAnsi="仿宋" w:eastAsia="仿宋" w:cs="宋体"/>
          <w:color w:val="auto"/>
          <w:sz w:val="24"/>
          <w:szCs w:val="24"/>
          <w:highlight w:val="none"/>
          <w:lang w:val="zh-CN" w:eastAsia="zh-CN"/>
        </w:rPr>
        <w:t>采购活动中，</w:t>
      </w:r>
      <w:r>
        <w:rPr>
          <w:rFonts w:hint="eastAsia" w:ascii="仿宋" w:hAnsi="仿宋" w:eastAsia="仿宋" w:cs="宋体"/>
          <w:color w:val="auto"/>
          <w:sz w:val="24"/>
          <w:szCs w:val="24"/>
          <w:highlight w:val="none"/>
          <w:lang w:val="en-US" w:eastAsia="zh-CN"/>
        </w:rPr>
        <w:t>不存在串标围标行为</w:t>
      </w:r>
      <w:r>
        <w:rPr>
          <w:rFonts w:hint="eastAsia" w:ascii="仿宋" w:hAnsi="仿宋" w:eastAsia="仿宋" w:cs="宋体"/>
          <w:color w:val="auto"/>
          <w:sz w:val="24"/>
          <w:szCs w:val="24"/>
          <w:highlight w:val="none"/>
          <w:lang w:val="zh-CN" w:eastAsia="zh-CN"/>
        </w:rPr>
        <w:t>，</w:t>
      </w:r>
      <w:r>
        <w:rPr>
          <w:rFonts w:hint="eastAsia" w:ascii="仿宋" w:hAnsi="仿宋" w:eastAsia="仿宋" w:cs="宋体"/>
          <w:color w:val="auto"/>
          <w:sz w:val="24"/>
          <w:szCs w:val="24"/>
          <w:highlight w:val="none"/>
          <w:lang w:val="en-US" w:eastAsia="zh-CN"/>
        </w:rPr>
        <w:t>不存在</w:t>
      </w:r>
      <w:r>
        <w:rPr>
          <w:rFonts w:hint="eastAsia" w:ascii="仿宋" w:hAnsi="仿宋" w:eastAsia="仿宋" w:cs="宋体"/>
          <w:color w:val="auto"/>
          <w:sz w:val="24"/>
          <w:szCs w:val="24"/>
          <w:highlight w:val="none"/>
          <w:lang w:val="zh-CN" w:eastAsia="zh-CN"/>
        </w:rPr>
        <w:t>损害</w:t>
      </w:r>
      <w:r>
        <w:rPr>
          <w:rFonts w:hint="eastAsia" w:ascii="仿宋" w:hAnsi="仿宋" w:eastAsia="仿宋" w:cs="宋体"/>
          <w:color w:val="auto"/>
          <w:sz w:val="24"/>
          <w:szCs w:val="24"/>
          <w:highlight w:val="none"/>
          <w:lang w:val="en-US" w:eastAsia="zh-CN"/>
        </w:rPr>
        <w:t>校方</w:t>
      </w:r>
      <w:r>
        <w:rPr>
          <w:rFonts w:hint="eastAsia" w:ascii="仿宋" w:hAnsi="仿宋" w:eastAsia="仿宋" w:cs="宋体"/>
          <w:color w:val="auto"/>
          <w:sz w:val="24"/>
          <w:szCs w:val="24"/>
          <w:highlight w:val="none"/>
          <w:lang w:val="zh-CN" w:eastAsia="zh-CN"/>
        </w:rPr>
        <w:t>或者其他</w:t>
      </w:r>
      <w:r>
        <w:rPr>
          <w:rFonts w:hint="eastAsia" w:ascii="仿宋" w:hAnsi="仿宋" w:eastAsia="仿宋" w:cs="宋体"/>
          <w:color w:val="auto"/>
          <w:sz w:val="24"/>
          <w:szCs w:val="24"/>
          <w:highlight w:val="none"/>
          <w:lang w:val="en-US" w:eastAsia="zh-CN"/>
        </w:rPr>
        <w:t>报价单位</w:t>
      </w:r>
      <w:r>
        <w:rPr>
          <w:rFonts w:hint="eastAsia" w:ascii="仿宋" w:hAnsi="仿宋" w:eastAsia="仿宋" w:cs="宋体"/>
          <w:color w:val="auto"/>
          <w:sz w:val="24"/>
          <w:szCs w:val="24"/>
          <w:highlight w:val="none"/>
          <w:lang w:val="zh-CN" w:eastAsia="zh-CN"/>
        </w:rPr>
        <w:t>利益的行为。</w:t>
      </w:r>
    </w:p>
    <w:p w14:paraId="1B3C8AA7">
      <w:pPr>
        <w:spacing w:after="120" w:afterLines="50" w:line="240" w:lineRule="auto"/>
        <w:ind w:left="0" w:leftChars="0" w:firstLine="480" w:firstLineChars="200"/>
        <w:rPr>
          <w:rFonts w:hint="eastAsia" w:ascii="仿宋" w:hAnsi="仿宋" w:eastAsia="仿宋" w:cs="宋体"/>
          <w:color w:val="auto"/>
          <w:sz w:val="24"/>
          <w:szCs w:val="24"/>
          <w:highlight w:val="none"/>
          <w:lang w:val="zh-CN" w:eastAsia="zh-CN"/>
        </w:rPr>
      </w:pPr>
      <w:r>
        <w:rPr>
          <w:rFonts w:hint="eastAsia" w:ascii="仿宋" w:hAnsi="仿宋" w:eastAsia="仿宋" w:cs="宋体"/>
          <w:color w:val="auto"/>
          <w:sz w:val="24"/>
          <w:szCs w:val="24"/>
          <w:highlight w:val="none"/>
          <w:lang w:val="en-US" w:eastAsia="zh-CN"/>
        </w:rPr>
        <w:t>十、</w:t>
      </w:r>
      <w:r>
        <w:rPr>
          <w:rFonts w:hint="eastAsia" w:ascii="仿宋" w:hAnsi="仿宋" w:eastAsia="仿宋" w:cs="宋体"/>
          <w:color w:val="auto"/>
          <w:sz w:val="24"/>
          <w:szCs w:val="24"/>
          <w:highlight w:val="none"/>
          <w:lang w:val="zh-CN" w:eastAsia="zh-CN"/>
        </w:rPr>
        <w:t>我</w:t>
      </w:r>
      <w:r>
        <w:rPr>
          <w:rFonts w:hint="eastAsia" w:ascii="仿宋" w:hAnsi="仿宋" w:eastAsia="仿宋" w:cs="宋体"/>
          <w:color w:val="auto"/>
          <w:sz w:val="24"/>
          <w:szCs w:val="24"/>
          <w:highlight w:val="none"/>
          <w:lang w:val="en-US" w:eastAsia="zh-CN"/>
        </w:rPr>
        <w:t>公司管理层中</w:t>
      </w:r>
      <w:r>
        <w:rPr>
          <w:rFonts w:hint="eastAsia" w:ascii="仿宋" w:hAnsi="仿宋" w:eastAsia="仿宋" w:cs="宋体"/>
          <w:color w:val="auto"/>
          <w:sz w:val="24"/>
          <w:szCs w:val="24"/>
          <w:highlight w:val="none"/>
          <w:lang w:val="zh-CN" w:eastAsia="zh-CN"/>
        </w:rPr>
        <w:t>没有从</w:t>
      </w:r>
      <w:r>
        <w:rPr>
          <w:rFonts w:hint="eastAsia" w:ascii="仿宋" w:hAnsi="仿宋" w:eastAsia="仿宋" w:cs="宋体"/>
          <w:color w:val="auto"/>
          <w:sz w:val="24"/>
          <w:szCs w:val="24"/>
          <w:highlight w:val="none"/>
          <w:lang w:val="en-US" w:eastAsia="zh-CN"/>
        </w:rPr>
        <w:t>贵校</w:t>
      </w:r>
      <w:r>
        <w:rPr>
          <w:rFonts w:hint="eastAsia" w:ascii="仿宋" w:hAnsi="仿宋" w:eastAsia="仿宋" w:cs="宋体"/>
          <w:color w:val="auto"/>
          <w:sz w:val="24"/>
          <w:szCs w:val="24"/>
          <w:highlight w:val="none"/>
          <w:lang w:val="zh-CN" w:eastAsia="zh-CN"/>
        </w:rPr>
        <w:t>离职或退休3年以内的人员担任控股股东或实际控股人、董事、监事，也没有聘用从</w:t>
      </w:r>
      <w:r>
        <w:rPr>
          <w:rFonts w:hint="eastAsia" w:ascii="仿宋" w:hAnsi="仿宋" w:eastAsia="仿宋" w:cs="宋体"/>
          <w:color w:val="auto"/>
          <w:sz w:val="24"/>
          <w:szCs w:val="24"/>
          <w:highlight w:val="none"/>
          <w:lang w:val="en-US" w:eastAsia="zh-CN"/>
        </w:rPr>
        <w:t>贵校</w:t>
      </w:r>
      <w:r>
        <w:rPr>
          <w:rFonts w:hint="eastAsia" w:ascii="仿宋" w:hAnsi="仿宋" w:eastAsia="仿宋" w:cs="宋体"/>
          <w:color w:val="auto"/>
          <w:sz w:val="24"/>
          <w:szCs w:val="24"/>
          <w:highlight w:val="none"/>
          <w:lang w:val="zh-CN" w:eastAsia="zh-CN"/>
        </w:rPr>
        <w:t>离职或退休3年以内的人员。</w:t>
      </w:r>
    </w:p>
    <w:p w14:paraId="3FE2B1FA">
      <w:pPr>
        <w:spacing w:after="120" w:afterLines="50" w:line="240" w:lineRule="auto"/>
        <w:ind w:left="0" w:leftChars="0" w:firstLine="480" w:firstLineChars="200"/>
        <w:rPr>
          <w:rFonts w:ascii="仿宋" w:hAnsi="仿宋" w:eastAsia="仿宋" w:cs="宋体"/>
          <w:color w:val="auto"/>
          <w:sz w:val="24"/>
          <w:szCs w:val="24"/>
          <w:highlight w:val="none"/>
          <w:lang w:val="zh-CN"/>
        </w:rPr>
      </w:pPr>
      <w:r>
        <w:rPr>
          <w:rFonts w:hint="eastAsia" w:ascii="仿宋" w:hAnsi="仿宋" w:eastAsia="仿宋" w:cs="宋体"/>
          <w:color w:val="auto"/>
          <w:sz w:val="24"/>
          <w:szCs w:val="24"/>
          <w:highlight w:val="none"/>
          <w:lang w:val="en-US" w:eastAsia="zh-CN"/>
        </w:rPr>
        <w:t>我公司保证上述声明真实无误，如有不实，愿承担相应法律责任。</w:t>
      </w:r>
    </w:p>
    <w:p w14:paraId="2C38F8B9">
      <w:pPr>
        <w:spacing w:after="120" w:afterLines="50" w:line="240" w:lineRule="auto"/>
        <w:ind w:left="0" w:leftChars="0" w:firstLine="0" w:firstLineChars="0"/>
        <w:rPr>
          <w:rFonts w:ascii="仿宋" w:hAnsi="仿宋" w:eastAsia="仿宋" w:cs="宋体"/>
          <w:color w:val="auto"/>
          <w:sz w:val="24"/>
          <w:szCs w:val="24"/>
          <w:highlight w:val="none"/>
          <w:lang w:val="zh-CN"/>
        </w:rPr>
      </w:pPr>
    </w:p>
    <w:p w14:paraId="4A13A388">
      <w:pPr>
        <w:spacing w:after="120" w:afterLines="50" w:line="240" w:lineRule="auto"/>
        <w:ind w:left="0" w:leftChars="0" w:firstLine="0" w:firstLineChars="0"/>
        <w:rPr>
          <w:rFonts w:ascii="黑体" w:hAnsi="华文楷体" w:eastAsia="黑体"/>
          <w:b/>
          <w:bCs/>
          <w:color w:val="auto"/>
          <w:sz w:val="32"/>
          <w:szCs w:val="32"/>
          <w:highlight w:val="none"/>
        </w:rPr>
      </w:pPr>
      <w:r>
        <w:rPr>
          <w:rFonts w:hint="eastAsia" w:ascii="黑体" w:hAnsi="华文楷体" w:eastAsia="黑体"/>
          <w:color w:val="auto"/>
          <w:sz w:val="24"/>
          <w:szCs w:val="24"/>
          <w:highlight w:val="none"/>
        </w:rPr>
        <w:t>公司名称（盖章）：                              委托代理人（签字）：</w:t>
      </w:r>
    </w:p>
    <w:p w14:paraId="476D3484">
      <w:pPr>
        <w:pStyle w:val="7"/>
        <w:rPr>
          <w:rFonts w:hint="default" w:ascii="方正兰亭黑简体" w:hAnsi="方正兰亭黑简体" w:eastAsia="方正兰亭黑简体" w:cs="方正兰亭黑简体"/>
          <w:color w:val="auto"/>
          <w:sz w:val="22"/>
          <w:szCs w:val="28"/>
          <w:highlight w:val="none"/>
          <w:lang w:val="en-US" w:eastAsia="zh-CN"/>
        </w:rPr>
      </w:pPr>
    </w:p>
    <w:p w14:paraId="3F5F1DB4">
      <w:pPr>
        <w:pStyle w:val="7"/>
        <w:rPr>
          <w:rFonts w:hint="default" w:ascii="方正兰亭黑简体" w:hAnsi="方正兰亭黑简体" w:eastAsia="方正兰亭黑简体" w:cs="方正兰亭黑简体"/>
          <w:color w:val="auto"/>
          <w:sz w:val="22"/>
          <w:szCs w:val="28"/>
          <w:highlight w:val="none"/>
          <w:lang w:val="en-US" w:eastAsia="zh-CN"/>
        </w:rPr>
      </w:pPr>
    </w:p>
    <w:p w14:paraId="086B01F9">
      <w:pPr>
        <w:jc w:val="left"/>
        <w:rPr>
          <w:rFonts w:hint="eastAsia" w:ascii="方正兰亭黑简体" w:hAnsi="方正兰亭黑简体" w:eastAsia="方正兰亭黑简体" w:cs="方正兰亭黑简体"/>
          <w:color w:val="auto"/>
          <w:sz w:val="22"/>
          <w:szCs w:val="28"/>
          <w:highlight w:val="none"/>
          <w:lang w:val="en-US" w:eastAsia="zh-CN"/>
        </w:rPr>
        <w:sectPr>
          <w:pgSz w:w="11906" w:h="16838"/>
          <w:pgMar w:top="1440" w:right="1083" w:bottom="1440" w:left="1083" w:header="851" w:footer="992" w:gutter="0"/>
          <w:pgNumType w:fmt="decimal"/>
          <w:cols w:space="0" w:num="1"/>
          <w:rtlGutter w:val="0"/>
          <w:docGrid w:type="lines" w:linePitch="314" w:charSpace="0"/>
        </w:sectPr>
      </w:pPr>
    </w:p>
    <w:p w14:paraId="7CDE4BA2">
      <w:pPr>
        <w:jc w:val="left"/>
        <w:rPr>
          <w:rFonts w:hint="eastAsia" w:ascii="方正兰亭黑简体" w:hAnsi="方正兰亭黑简体" w:eastAsia="方正兰亭黑简体" w:cs="方正兰亭黑简体"/>
          <w:b/>
          <w:bCs/>
          <w:color w:val="auto"/>
          <w:sz w:val="22"/>
          <w:szCs w:val="28"/>
          <w:highlight w:val="none"/>
          <w:lang w:val="en-US" w:eastAsia="zh-CN"/>
        </w:rPr>
      </w:pPr>
      <w:r>
        <w:rPr>
          <w:rFonts w:hint="eastAsia" w:ascii="方正兰亭黑简体" w:hAnsi="方正兰亭黑简体" w:eastAsia="方正兰亭黑简体" w:cs="方正兰亭黑简体"/>
          <w:b/>
          <w:bCs/>
          <w:color w:val="auto"/>
          <w:sz w:val="22"/>
          <w:szCs w:val="28"/>
          <w:highlight w:val="none"/>
          <w:lang w:val="en-US" w:eastAsia="zh-CN"/>
        </w:rPr>
        <w:t>附件2：其他材料</w:t>
      </w:r>
    </w:p>
    <w:p w14:paraId="7D103AD2">
      <w:pPr>
        <w:pStyle w:val="6"/>
        <w:ind w:left="0" w:leftChars="0" w:firstLine="0" w:firstLineChars="0"/>
        <w:rPr>
          <w:rFonts w:hint="default"/>
          <w:color w:val="auto"/>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包括但不限于：</w:t>
      </w:r>
    </w:p>
    <w:p w14:paraId="6163A2E2">
      <w:pPr>
        <w:pStyle w:val="6"/>
        <w:numPr>
          <w:ilvl w:val="0"/>
          <w:numId w:val="0"/>
        </w:numPr>
        <w:ind w:left="0" w:leftChars="0" w:firstLine="0" w:firstLineChars="0"/>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kern w:val="2"/>
          <w:sz w:val="22"/>
          <w:szCs w:val="28"/>
          <w:highlight w:val="none"/>
          <w:lang w:val="en-US" w:eastAsia="zh-CN" w:bidi="ar-SA"/>
        </w:rPr>
        <w:t>1、</w:t>
      </w:r>
      <w:r>
        <w:rPr>
          <w:rFonts w:hint="eastAsia" w:ascii="方正兰亭黑简体" w:hAnsi="方正兰亭黑简体" w:eastAsia="方正兰亭黑简体" w:cs="方正兰亭黑简体"/>
          <w:color w:val="auto"/>
          <w:sz w:val="22"/>
          <w:szCs w:val="28"/>
          <w:highlight w:val="none"/>
          <w:lang w:val="en-US" w:eastAsia="zh-CN"/>
        </w:rPr>
        <w:t>营业执照扫描件</w:t>
      </w:r>
    </w:p>
    <w:p w14:paraId="75BA9CDB">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2、</w:t>
      </w:r>
      <w:r>
        <w:rPr>
          <w:rFonts w:hint="eastAsia" w:ascii="方正兰亭黑简体" w:hAnsi="方正兰亭黑简体" w:eastAsia="方正兰亭黑简体" w:cs="方正兰亭黑简体"/>
          <w:color w:val="auto"/>
          <w:sz w:val="22"/>
          <w:szCs w:val="28"/>
          <w:highlight w:val="none"/>
          <w:lang w:val="en-US" w:eastAsia="zh-CN"/>
        </w:rPr>
        <w:t>产品资料（产品参数及性能）</w:t>
      </w:r>
    </w:p>
    <w:p w14:paraId="1BB2A8EF">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3、</w:t>
      </w:r>
      <w:r>
        <w:rPr>
          <w:rFonts w:hint="eastAsia" w:ascii="方正兰亭黑简体" w:hAnsi="方正兰亭黑简体" w:eastAsia="方正兰亭黑简体" w:cs="方正兰亭黑简体"/>
          <w:color w:val="auto"/>
          <w:sz w:val="22"/>
          <w:szCs w:val="28"/>
          <w:highlight w:val="none"/>
          <w:lang w:val="en-US" w:eastAsia="zh-CN"/>
        </w:rPr>
        <w:t>实施计划</w:t>
      </w:r>
    </w:p>
    <w:p w14:paraId="32423874">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4、</w:t>
      </w:r>
      <w:r>
        <w:rPr>
          <w:rFonts w:hint="eastAsia" w:ascii="方正兰亭黑简体" w:hAnsi="方正兰亭黑简体" w:eastAsia="方正兰亭黑简体" w:cs="方正兰亭黑简体"/>
          <w:color w:val="auto"/>
          <w:sz w:val="22"/>
          <w:szCs w:val="28"/>
          <w:highlight w:val="none"/>
          <w:lang w:val="en-US" w:eastAsia="zh-CN"/>
        </w:rPr>
        <w:t>售后方案</w:t>
      </w:r>
    </w:p>
    <w:p w14:paraId="47143B82">
      <w:pPr>
        <w:pStyle w:val="6"/>
        <w:numPr>
          <w:ilvl w:val="0"/>
          <w:numId w:val="0"/>
        </w:numPr>
        <w:ind w:left="0" w:leftChars="0" w:firstLine="0" w:firstLineChars="0"/>
        <w:rPr>
          <w:rFonts w:hint="eastAsia"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5、</w:t>
      </w:r>
      <w:r>
        <w:rPr>
          <w:rFonts w:hint="eastAsia" w:ascii="方正兰亭黑简体" w:hAnsi="方正兰亭黑简体" w:eastAsia="方正兰亭黑简体" w:cs="方正兰亭黑简体"/>
          <w:color w:val="auto"/>
          <w:sz w:val="22"/>
          <w:szCs w:val="28"/>
          <w:highlight w:val="none"/>
          <w:lang w:val="en-US" w:eastAsia="zh-CN"/>
        </w:rPr>
        <w:t>业绩案例</w:t>
      </w:r>
    </w:p>
    <w:p w14:paraId="3644FF0B">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6、其他所必需的相关材料</w:t>
      </w:r>
    </w:p>
    <w:sectPr>
      <w:pgSz w:w="11906" w:h="16838"/>
      <w:pgMar w:top="1440" w:right="1083" w:bottom="1440" w:left="1083" w:header="851" w:footer="992" w:gutter="0"/>
      <w:pgNumType w:fmt="decimal"/>
      <w:cols w:space="0" w:num="1"/>
      <w:rtlGutter w:val="0"/>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914D8DA-9877-4694-9EAC-4E33E0FE7DB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Times NR MT Pro Medium">
    <w:panose1 w:val="0201060001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兰亭黑简体">
    <w:panose1 w:val="02000000000000000000"/>
    <w:charset w:val="86"/>
    <w:family w:val="auto"/>
    <w:pitch w:val="default"/>
    <w:sig w:usb0="A00002BF" w:usb1="184F6CFA" w:usb2="00000012" w:usb3="00000000" w:csb0="00040001" w:csb1="00000000"/>
    <w:embedRegular r:id="rId2" w:fontKey="{76FB1CFD-5534-44D5-A5CA-25843F2C2E3F}"/>
  </w:font>
  <w:font w:name="华文楷体">
    <w:panose1 w:val="02010600040101010101"/>
    <w:charset w:val="86"/>
    <w:family w:val="auto"/>
    <w:pitch w:val="default"/>
    <w:sig w:usb0="A00002BF" w:usb1="78CF7CFB" w:usb2="00000016" w:usb3="00000000" w:csb0="6006009F" w:csb1="DFD70000"/>
    <w:embedRegular r:id="rId3" w:fontKey="{C139C96F-F6AF-4D63-9052-9AF7C93C143B}"/>
  </w:font>
  <w:font w:name="方正仿宋_GB2312">
    <w:panose1 w:val="02000000000000000000"/>
    <w:charset w:val="86"/>
    <w:family w:val="auto"/>
    <w:pitch w:val="default"/>
    <w:sig w:usb0="A00002BF" w:usb1="184F6CFA" w:usb2="00000012" w:usb3="00000000" w:csb0="00040001" w:csb1="00000000"/>
    <w:embedRegular r:id="rId4" w:fontKey="{AE53D599-6906-4360-9321-AB4819EB56D2}"/>
  </w:font>
  <w:font w:name="仿宋">
    <w:panose1 w:val="02010609060101010101"/>
    <w:charset w:val="86"/>
    <w:family w:val="modern"/>
    <w:pitch w:val="default"/>
    <w:sig w:usb0="800002BF" w:usb1="38CF7CFA" w:usb2="00000016" w:usb3="00000000" w:csb0="00040001" w:csb1="00000000"/>
    <w:embedRegular r:id="rId5" w:fontKey="{384BB3AE-464D-42B3-A9A4-2ADC948A854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04925">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62FB9A">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C62FB9A">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A2D67C"/>
    <w:multiLevelType w:val="singleLevel"/>
    <w:tmpl w:val="08A2D67C"/>
    <w:lvl w:ilvl="0" w:tentative="0">
      <w:start w:val="1"/>
      <w:numFmt w:val="decimal"/>
      <w:lvlText w:val="%1."/>
      <w:lvlJc w:val="left"/>
      <w:pPr>
        <w:tabs>
          <w:tab w:val="left" w:pos="312"/>
        </w:tabs>
      </w:pPr>
    </w:lvl>
  </w:abstractNum>
  <w:abstractNum w:abstractNumId="1">
    <w:nsid w:val="17722401"/>
    <w:multiLevelType w:val="multilevel"/>
    <w:tmpl w:val="17722401"/>
    <w:lvl w:ilvl="0" w:tentative="0">
      <w:start w:val="1"/>
      <w:numFmt w:val="japaneseCounting"/>
      <w:pStyle w:val="2"/>
      <w:lvlText w:val="%1、"/>
      <w:lvlJc w:val="left"/>
      <w:pPr>
        <w:ind w:left="464" w:hanging="720"/>
      </w:pPr>
      <w:rPr>
        <w:rFonts w:hint="default"/>
      </w:rPr>
    </w:lvl>
    <w:lvl w:ilvl="1" w:tentative="0">
      <w:start w:val="1"/>
      <w:numFmt w:val="decimalEnclosedCircle"/>
      <w:lvlText w:val="%2"/>
      <w:lvlJc w:val="left"/>
      <w:pPr>
        <w:ind w:left="544" w:hanging="360"/>
      </w:pPr>
      <w:rPr>
        <w:rFonts w:hint="default"/>
      </w:rPr>
    </w:lvl>
    <w:lvl w:ilvl="2" w:tentative="0">
      <w:start w:val="1"/>
      <w:numFmt w:val="lowerRoman"/>
      <w:lvlText w:val="%3."/>
      <w:lvlJc w:val="right"/>
      <w:pPr>
        <w:ind w:left="1064" w:hanging="440"/>
      </w:pPr>
    </w:lvl>
    <w:lvl w:ilvl="3" w:tentative="0">
      <w:start w:val="1"/>
      <w:numFmt w:val="decimal"/>
      <w:lvlText w:val="%4."/>
      <w:lvlJc w:val="left"/>
      <w:pPr>
        <w:ind w:left="1504" w:hanging="440"/>
      </w:pPr>
    </w:lvl>
    <w:lvl w:ilvl="4" w:tentative="0">
      <w:start w:val="1"/>
      <w:numFmt w:val="lowerLetter"/>
      <w:lvlText w:val="%5)"/>
      <w:lvlJc w:val="left"/>
      <w:pPr>
        <w:ind w:left="1944" w:hanging="440"/>
      </w:pPr>
    </w:lvl>
    <w:lvl w:ilvl="5" w:tentative="0">
      <w:start w:val="1"/>
      <w:numFmt w:val="lowerRoman"/>
      <w:lvlText w:val="%6."/>
      <w:lvlJc w:val="right"/>
      <w:pPr>
        <w:ind w:left="2384" w:hanging="440"/>
      </w:pPr>
    </w:lvl>
    <w:lvl w:ilvl="6" w:tentative="0">
      <w:start w:val="1"/>
      <w:numFmt w:val="decimal"/>
      <w:lvlText w:val="%7."/>
      <w:lvlJc w:val="left"/>
      <w:pPr>
        <w:ind w:left="2824" w:hanging="440"/>
      </w:pPr>
    </w:lvl>
    <w:lvl w:ilvl="7" w:tentative="0">
      <w:start w:val="1"/>
      <w:numFmt w:val="lowerLetter"/>
      <w:lvlText w:val="%8)"/>
      <w:lvlJc w:val="left"/>
      <w:pPr>
        <w:ind w:left="3264" w:hanging="440"/>
      </w:pPr>
    </w:lvl>
    <w:lvl w:ilvl="8" w:tentative="0">
      <w:start w:val="1"/>
      <w:numFmt w:val="lowerRoman"/>
      <w:lvlText w:val="%9."/>
      <w:lvlJc w:val="right"/>
      <w:pPr>
        <w:ind w:left="3704" w:hanging="440"/>
      </w:pPr>
    </w:lvl>
  </w:abstractNum>
  <w:abstractNum w:abstractNumId="2">
    <w:nsid w:val="6EE46474"/>
    <w:multiLevelType w:val="multilevel"/>
    <w:tmpl w:val="6EE46474"/>
    <w:lvl w:ilvl="0" w:tentative="0">
      <w:start w:val="1"/>
      <w:numFmt w:val="decimal"/>
      <w:lvlText w:val="%1"/>
      <w:lvlJc w:val="left"/>
      <w:pPr>
        <w:ind w:left="425" w:hanging="425"/>
      </w:pPr>
      <w:rPr>
        <w:rFonts w:hint="eastAsia"/>
      </w:rPr>
    </w:lvl>
    <w:lvl w:ilvl="1" w:tentative="0">
      <w:start w:val="1"/>
      <w:numFmt w:val="decimal"/>
      <w:pStyle w:val="3"/>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7"/>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675436"/>
    <w:rsid w:val="029C08D4"/>
    <w:rsid w:val="035A42B0"/>
    <w:rsid w:val="0875321F"/>
    <w:rsid w:val="09642E33"/>
    <w:rsid w:val="0B7B6E53"/>
    <w:rsid w:val="146C6B60"/>
    <w:rsid w:val="15285D7F"/>
    <w:rsid w:val="157E6317"/>
    <w:rsid w:val="15D04D45"/>
    <w:rsid w:val="1B307278"/>
    <w:rsid w:val="1C9B46F5"/>
    <w:rsid w:val="1D2B42FB"/>
    <w:rsid w:val="1DF9272E"/>
    <w:rsid w:val="22AA0589"/>
    <w:rsid w:val="24050543"/>
    <w:rsid w:val="26C52776"/>
    <w:rsid w:val="2DAA3F84"/>
    <w:rsid w:val="2E691D1D"/>
    <w:rsid w:val="2FB07FD7"/>
    <w:rsid w:val="3A774F92"/>
    <w:rsid w:val="3CFB52B6"/>
    <w:rsid w:val="3D6469F5"/>
    <w:rsid w:val="3DBA1AA2"/>
    <w:rsid w:val="3E5C4869"/>
    <w:rsid w:val="3FCC680A"/>
    <w:rsid w:val="41007DAA"/>
    <w:rsid w:val="45DB0FAA"/>
    <w:rsid w:val="4630201A"/>
    <w:rsid w:val="480A63EB"/>
    <w:rsid w:val="4A2362AE"/>
    <w:rsid w:val="4AFC4A60"/>
    <w:rsid w:val="4CC21E26"/>
    <w:rsid w:val="4EFD134C"/>
    <w:rsid w:val="50634D36"/>
    <w:rsid w:val="55CF5109"/>
    <w:rsid w:val="57117CB6"/>
    <w:rsid w:val="573107A3"/>
    <w:rsid w:val="5AEA704B"/>
    <w:rsid w:val="5CB31D19"/>
    <w:rsid w:val="5D66061F"/>
    <w:rsid w:val="5E8720EC"/>
    <w:rsid w:val="5EE9209B"/>
    <w:rsid w:val="60F45D9E"/>
    <w:rsid w:val="62DD78C6"/>
    <w:rsid w:val="63DF4A20"/>
    <w:rsid w:val="684F045C"/>
    <w:rsid w:val="699E1F48"/>
    <w:rsid w:val="6C3138A4"/>
    <w:rsid w:val="6E3767B2"/>
    <w:rsid w:val="6FC06751"/>
    <w:rsid w:val="74FD108C"/>
    <w:rsid w:val="769D2894"/>
    <w:rsid w:val="794117F3"/>
    <w:rsid w:val="7C2C43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numPr>
        <w:ilvl w:val="0"/>
        <w:numId w:val="1"/>
      </w:numPr>
      <w:spacing w:before="120" w:after="80"/>
      <w:ind w:firstLineChars="0"/>
      <w:outlineLvl w:val="0"/>
    </w:pPr>
    <w:rPr>
      <w:rFonts w:cs="Times NR MT Pro Medium" w:asciiTheme="majorHAnsi" w:hAnsiTheme="majorHAnsi"/>
      <w:b/>
      <w:bCs/>
      <w:sz w:val="28"/>
      <w:szCs w:val="48"/>
    </w:rPr>
  </w:style>
  <w:style w:type="paragraph" w:styleId="3">
    <w:name w:val="heading 2"/>
    <w:basedOn w:val="1"/>
    <w:next w:val="1"/>
    <w:unhideWhenUsed/>
    <w:qFormat/>
    <w:uiPriority w:val="9"/>
    <w:pPr>
      <w:numPr>
        <w:ilvl w:val="1"/>
        <w:numId w:val="2"/>
      </w:numPr>
      <w:spacing w:before="80" w:after="80"/>
      <w:ind w:firstLineChars="0"/>
      <w:outlineLvl w:val="1"/>
    </w:pPr>
    <w:rPr>
      <w:rFonts w:cs="Times NR MT Pro Medium" w:asciiTheme="majorHAnsi" w:hAnsiTheme="majorHAnsi"/>
      <w:b/>
      <w:bCs/>
      <w:color w:val="000000" w:themeColor="text1"/>
      <w:sz w:val="24"/>
      <w:szCs w:val="40"/>
      <w14:textFill>
        <w14:solidFill>
          <w14:schemeClr w14:val="tx1"/>
        </w14:solidFill>
      </w14:textFill>
    </w:rPr>
  </w:style>
  <w:style w:type="paragraph" w:styleId="4">
    <w:name w:val="heading 3"/>
    <w:basedOn w:val="1"/>
    <w:next w:val="1"/>
    <w:unhideWhenUsed/>
    <w:qFormat/>
    <w:uiPriority w:val="9"/>
    <w:pPr>
      <w:spacing w:before="160" w:after="80"/>
      <w:ind w:left="737" w:firstLine="0" w:firstLineChars="0"/>
      <w:outlineLvl w:val="2"/>
    </w:pPr>
    <w:rPr>
      <w:rFonts w:cs="Times NR MT Pro Medium" w:asciiTheme="majorHAnsi" w:hAnsiTheme="majorHAnsi"/>
      <w:sz w:val="24"/>
      <w:szCs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spacing w:after="120"/>
    </w:pPr>
  </w:style>
  <w:style w:type="paragraph" w:styleId="6">
    <w:name w:val="Body Text Indent"/>
    <w:basedOn w:val="1"/>
    <w:qFormat/>
    <w:uiPriority w:val="0"/>
    <w:pPr>
      <w:ind w:left="420" w:leftChars="200"/>
    </w:pPr>
  </w:style>
  <w:style w:type="paragraph" w:styleId="7">
    <w:name w:val="Plain Text"/>
    <w:basedOn w:val="1"/>
    <w:qFormat/>
    <w:uiPriority w:val="0"/>
    <w:rPr>
      <w:rFonts w:ascii="宋体" w:hAnsi="Courier New"/>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unhideWhenUsed/>
    <w:qFormat/>
    <w:uiPriority w:val="39"/>
    <w:rPr>
      <w:rFonts w:ascii="Calibri" w:hAnsi="Calibri" w:eastAsia="宋体" w:cs="Times New Roman"/>
    </w:rPr>
  </w:style>
  <w:style w:type="paragraph" w:styleId="11">
    <w:name w:val="Body Text Indent 3"/>
    <w:basedOn w:val="1"/>
    <w:qFormat/>
    <w:uiPriority w:val="0"/>
    <w:pPr>
      <w:ind w:firstLine="600" w:firstLineChars="200"/>
    </w:pPr>
    <w:rPr>
      <w:color w:val="FF0000"/>
      <w:sz w:val="30"/>
      <w:szCs w:val="20"/>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Body Text First Indent"/>
    <w:basedOn w:val="5"/>
    <w:qFormat/>
    <w:uiPriority w:val="0"/>
    <w:pPr>
      <w:widowControl/>
      <w:spacing w:after="120"/>
      <w:ind w:firstLine="420" w:firstLineChars="100"/>
      <w:jc w:val="left"/>
    </w:pPr>
    <w:rPr>
      <w:rFonts w:ascii="Times New Roman"/>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qFormat/>
    <w:uiPriority w:val="22"/>
    <w:rPr>
      <w:b/>
      <w:bCs/>
    </w:rPr>
  </w:style>
  <w:style w:type="character" w:styleId="18">
    <w:name w:val="Hyperlink"/>
    <w:basedOn w:val="16"/>
    <w:unhideWhenUsed/>
    <w:qFormat/>
    <w:uiPriority w:val="99"/>
    <w:rPr>
      <w:color w:val="0000FF"/>
      <w:u w:val="single"/>
    </w:rPr>
  </w:style>
  <w:style w:type="paragraph" w:customStyle="1" w:styleId="19">
    <w:name w:val="列表段落1"/>
    <w:basedOn w:val="1"/>
    <w:qFormat/>
    <w:uiPriority w:val="0"/>
    <w:pPr>
      <w:ind w:firstLine="420" w:firstLineChars="200"/>
    </w:pPr>
  </w:style>
  <w:style w:type="paragraph" w:customStyle="1" w:styleId="20">
    <w:name w:val="Default"/>
    <w:qFormat/>
    <w:uiPriority w:val="0"/>
    <w:pPr>
      <w:widowControl w:val="0"/>
      <w:autoSpaceDE w:val="0"/>
      <w:autoSpaceDN w:val="0"/>
      <w:adjustRightInd w:val="0"/>
    </w:pPr>
    <w:rPr>
      <w:rFonts w:ascii="楷体" w:hAnsi="Times New Roman" w:eastAsia="楷体" w:cs="楷体"/>
      <w:color w:val="000000"/>
      <w:sz w:val="24"/>
      <w:szCs w:val="24"/>
      <w:lang w:val="en-US" w:eastAsia="zh-CN" w:bidi="ar-SA"/>
    </w:rPr>
  </w:style>
  <w:style w:type="character" w:customStyle="1" w:styleId="21">
    <w:name w:val="15"/>
    <w:basedOn w:val="16"/>
    <w:qFormat/>
    <w:uiPriority w:val="0"/>
    <w:rPr>
      <w:rFonts w:hint="default" w:ascii="Calibri" w:hAnsi="Calibri" w:cs="Calibri"/>
      <w:b/>
      <w:bCs/>
    </w:rPr>
  </w:style>
  <w:style w:type="paragraph" w:styleId="22">
    <w:name w:val="List Paragraph"/>
    <w:basedOn w:val="1"/>
    <w:qFormat/>
    <w:uiPriority w:val="34"/>
    <w:pPr>
      <w:ind w:left="720"/>
      <w:contextualSpacing/>
    </w:pPr>
  </w:style>
  <w:style w:type="character" w:customStyle="1" w:styleId="23">
    <w:name w:val="楷体 (中文) 楷体"/>
    <w:qFormat/>
    <w:uiPriority w:val="0"/>
    <w:rPr>
      <w:rFonts w:ascii="楷体" w:hAnsi="楷体" w:eastAsia="楷体"/>
      <w:kern w:val="1"/>
      <w:sz w:val="28"/>
    </w:rPr>
  </w:style>
  <w:style w:type="paragraph" w:customStyle="1" w:styleId="24">
    <w:name w:val="正文11"/>
    <w:basedOn w:val="1"/>
    <w:qFormat/>
    <w:uiPriority w:val="0"/>
    <w:pPr>
      <w:ind w:firstLine="560" w:firstLineChars="200"/>
    </w:pPr>
    <w:rPr>
      <w:rFonts w:ascii="宋体" w:hAnsi="宋体" w:eastAsia="宋体" w:cs="Times New Roman"/>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2f7ca856-2137-494a-befd-fe64440449b4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22E8766</paraID>
      <start>0</start>
      <end>2</end>
      <status>unmodified</status>
      <modifiedWord/>
      <trackRevisions>false</trackRevisions>
    </reviewItem>
    <reviewItem>
      <errorID>0676cdce-adb8-4705-b3f3-605f21934779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6441606B</paraID>
      <start>0</start>
      <end>2</end>
      <status>unmodified</status>
      <modifiedWord/>
      <trackRevisions>false</trackRevisions>
    </reviewItem>
    <reviewItem>
      <errorID>252cc8f5-a4a0-44ec-9a7c-d07e7ee85ba3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3A3BF07A</paraID>
      <start>0</start>
      <end>2</end>
      <status>unmodified</status>
      <modifiedWord/>
      <trackRevisions>false</trackRevisions>
    </reviewItem>
    <reviewItem>
      <errorID>ef9ac55e-b7ad-4ec8-9573-2fade8d4586d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47D79F3C</paraID>
      <start>0</start>
      <end>2</end>
      <status>unmodified</status>
      <modifiedWord/>
      <trackRevisions>false</trackRevisions>
    </reviewItem>
    <reviewItem>
      <errorID>b899da17-045f-4181-8443-e5fc8c723936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6E06AEE6</paraID>
      <start>0</start>
      <end>2</end>
      <status>unmodified</status>
      <modifiedWord/>
      <trackRevisions>false</trackRevisions>
    </reviewItem>
    <reviewItem>
      <errorID>200ddae6-e156-4df5-b6d2-b73f39b0107c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356C3AF2</paraID>
      <start>0</start>
      <end>2</end>
      <status>unmodified</status>
      <modifiedWord/>
      <trackRevisions>false</trackRevisions>
    </reviewItem>
    <reviewItem>
      <errorID>be72439d-d40a-4049-98f3-14e2fc4676b3</errorID>
      <errorWord>，</errorWord>
      <group>L1_Format</group>
      <groupName>格式问题</groupName>
      <ability>L2_HalfPunc</ability>
      <abilityName>全半角检查</abilityName>
      <candidateList>
        <item>,</item>
      </candidateList>
      <explain>文本全半角错误。</explain>
      <paraID>6E6BB651</paraID>
      <start>16</start>
      <end>17</end>
      <status>modified</status>
      <modifiedWord>,</modifiedWord>
      <trackRevisions>false</trackRevisions>
    </reviewItem>
    <reviewItem>
      <errorID>1611bd6d-2cc8-4f48-80bc-a9ec35391e07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26B00A6B</paraID>
      <start>0</start>
      <end>2</end>
      <status>unmodified</status>
      <modifiedWord/>
      <trackRevisions>false</trackRevisions>
    </reviewItem>
    <reviewItem>
      <errorID>37c7019b-dafd-4948-ba4b-00bed5630f65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4BC82F22</paraID>
      <start>0</start>
      <end>2</end>
      <status>unmodified</status>
      <modifiedWord/>
      <trackRevisions>false</trackRevisions>
    </reviewItem>
    <reviewItem>
      <errorID>1f0441ab-f030-492a-a2a4-3c2eac614898</errorID>
      <errorWord>按按</errorWord>
      <group>L1_Word</group>
      <groupName>字词问题</groupName>
      <ability>L2_Typo</ability>
      <abilityName>字词错误</abilityName>
      <candidateList>
        <item>按</item>
      </candidateList>
      <explain>（案）àn❶〈书〉考查；核对：有原文可～。❷（编者、作者等）加按语：编者～。</explain>
      <paraID>4BC82F22</paraID>
      <start>83</start>
      <end>84</end>
      <status>modified</status>
      <modifiedWord>按</modifiedWord>
      <trackRevisions>false</trackRevisions>
    </reviewItem>
    <reviewItem>
      <errorID>6d6aee76-3073-4a73-bd6f-fd0098bd70f2</errorID>
      <errorWord>原价的</errorWord>
      <group>L1_Word</group>
      <groupName>字词问题</groupName>
      <ability>L2_Typo</ability>
      <abilityName>字词错误</abilityName>
      <candidateList>
        <item>原价</item>
      </candidateList>
      <explain/>
      <paraID>4BC82F22</paraID>
      <start>84</start>
      <end>86</end>
      <status>modified</status>
      <modifiedWord>原价</modifiedWord>
      <trackRevisions>false</trackRevisions>
    </reviewItem>
    <reviewItem>
      <errorID>b225e2a1-cacd-4761-b788-6b501db4d990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34F0627</paraID>
      <start>0</start>
      <end>2</end>
      <status>unmodified</status>
      <modifiedWord/>
      <trackRevisions>false</trackRevisions>
    </reviewItem>
    <reviewItem>
      <errorID>f0073c79-2da8-4d38-a7d7-a3443f95c5c1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1272F05B</paraID>
      <start>0</start>
      <end>2</end>
      <status>unmodified</status>
      <modifiedWord/>
      <trackRevisions>false</trackRevisions>
    </reviewItem>
    <reviewItem>
      <errorID>296bf2d8-ea89-4516-b345-8cb1ef284ff0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590EB7B8</paraID>
      <start>0</start>
      <end>2</end>
      <status>unmodified</status>
      <modifiedWord/>
      <trackRevisions>false</trackRevisions>
    </reviewItem>
    <reviewItem>
      <errorID>d9fa8657-88f4-44ec-8aeb-be10b72f385b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117C4525</paraID>
      <start>0</start>
      <end>2</end>
      <status>unmodified</status>
      <modifiedWord/>
      <trackRevisions>false</trackRevisions>
    </reviewItem>
    <reviewItem>
      <errorID>a36e8997-ace7-41a2-9040-fdc7e675e9dc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123C9161</paraID>
      <start>0</start>
      <end>2</end>
      <status>unmodified</status>
      <modifiedWord/>
      <trackRevisions>false</trackRevisions>
    </reviewItem>
    <reviewItem>
      <errorID>351ad31d-6c04-4ead-855a-5480eb51875d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6163A2E2</paraID>
      <start>0</start>
      <end>2</end>
      <status>unmodified</status>
      <modifiedWord/>
      <trackRevisions>false</trackRevisions>
    </reviewItem>
    <reviewItem>
      <errorID>72a91557-d2ec-4f86-89cb-03eac077dc34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75BA9CDB</paraID>
      <start>0</start>
      <end>2</end>
      <status>unmodified</status>
      <modifiedWord/>
      <trackRevisions>false</trackRevisions>
    </reviewItem>
    <reviewItem>
      <errorID>61740d0b-bd8a-4f29-a29a-14ea8548e0b7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1BB2A8EF</paraID>
      <start>0</start>
      <end>2</end>
      <status>unmodified</status>
      <modifiedWord/>
      <trackRevisions>false</trackRevisions>
    </reviewItem>
    <reviewItem>
      <errorID>0bbfcd75-a468-48b4-8874-5094f637264e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32423874</paraID>
      <start>0</start>
      <end>2</end>
      <status>unmodified</status>
      <modifiedWord/>
      <trackRevisions>false</trackRevisions>
    </reviewItem>
    <reviewItem>
      <errorID>63ca67d2-d837-43fb-89f2-4b8f1a7000e4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47143B82</paraID>
      <start>0</start>
      <end>2</end>
      <status>unmodified</status>
      <modifiedWord/>
      <trackRevisions>false</trackRevisions>
    </reviewItem>
    <reviewItem>
      <errorID>89d31d61-a0e5-45fa-9f37-771a351957cb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3644FF0B</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273c8b9-5cac-44c4-b548-7e56506719a2}">
  <ds:schemaRefs/>
</ds:datastoreItem>
</file>

<file path=docProps/app.xml><?xml version="1.0" encoding="utf-8"?>
<Properties xmlns="http://schemas.openxmlformats.org/officeDocument/2006/extended-properties" xmlns:vt="http://schemas.openxmlformats.org/officeDocument/2006/docPropsVTypes">
  <Template>Normal.dotm</Template>
  <Pages>16</Pages>
  <Words>1052</Words>
  <Characters>1169</Characters>
  <Lines>0</Lines>
  <Paragraphs>0</Paragraphs>
  <TotalTime>1</TotalTime>
  <ScaleCrop>false</ScaleCrop>
  <LinksUpToDate>false</LinksUpToDate>
  <CharactersWithSpaces>1171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2025-04-03T05:09:00Z</dcterms:created>
  <dc:creator>HP</dc:creator>
  <cp:lastModifiedBy>仲杰</cp:lastModifiedBy>
  <dcterms:modified xsi:type="dcterms:W3CDTF">2026-10-27T00:39:25Z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eyJoZGlkIjoiMjQzMjJjYTEzYzEzMjVjOGIxYWQwMTc0ZTUwZGE2YjIiLCJ1c2VySWQiOiIyOTgyOTgyOTEifQ==</vt:lpwstr>
  </property>
  <property fmtid="{D5CDD505-2E9C-101B-9397-08002B2CF9AE}" pid="4" name="ICV">
    <vt:lpwstr>2BFD31D5F3FB4B709DBC969892577809_12</vt:lpwstr>
  </property>
</Properties>
</file>