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实训岸桥远控电气系统改造</w:t>
      </w:r>
      <w:bookmarkStart w:id="4" w:name="_GoBack"/>
      <w:bookmarkEnd w:id="4"/>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HFBX2026082</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二〇二六年九月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HFBX2026082</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实训岸桥远控电气系统改造</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18</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本项目旨在围绕智慧港口远程操控、作业感知与智能运维教学需求，对现有实训岸桥电气控制系统进行远程操作功能改造，构建现场操作与远程操控相结合的虚实融合实训环境。</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交付地址：上海海事大学指定地点。</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交付时间：合同签订后30天内完成全部改造、测试及资料交付。</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质保时间：提供不少于</w:t>
      </w:r>
      <w:r>
        <w:rPr>
          <w:rFonts w:hint="eastAsia" w:ascii="方正兰亭黑简体" w:hAnsi="方正兰亭黑简体" w:eastAsia="方正兰亭黑简体" w:cs="方正兰亭黑简体"/>
          <w:color w:val="auto"/>
          <w:sz w:val="22"/>
          <w:szCs w:val="28"/>
          <w:highlight w:val="none"/>
          <w:lang w:val="zh-CN" w:eastAsia="zh-CN"/>
        </w:rPr>
        <w:t>3年</w:t>
      </w:r>
      <w:r>
        <w:rPr>
          <w:rFonts w:hint="eastAsia" w:ascii="方正兰亭黑简体" w:hAnsi="方正兰亭黑简体" w:eastAsia="方正兰亭黑简体" w:cs="方正兰亭黑简体"/>
          <w:color w:val="auto"/>
          <w:sz w:val="22"/>
          <w:szCs w:val="28"/>
          <w:highlight w:val="none"/>
          <w:lang w:val="en-US" w:eastAsia="zh-CN"/>
        </w:rPr>
        <w:t>的</w:t>
      </w:r>
      <w:r>
        <w:rPr>
          <w:rFonts w:hint="eastAsia" w:ascii="方正兰亭黑简体" w:hAnsi="方正兰亭黑简体" w:eastAsia="方正兰亭黑简体" w:cs="方正兰亭黑简体"/>
          <w:color w:val="auto"/>
          <w:sz w:val="22"/>
          <w:szCs w:val="28"/>
          <w:highlight w:val="none"/>
          <w:lang w:val="zh-CN" w:eastAsia="zh-CN"/>
        </w:rPr>
        <w:t>免费质保与</w:t>
      </w:r>
      <w:r>
        <w:rPr>
          <w:rFonts w:hint="eastAsia" w:ascii="方正兰亭黑简体" w:hAnsi="方正兰亭黑简体" w:eastAsia="方正兰亭黑简体" w:cs="方正兰亭黑简体"/>
          <w:color w:val="auto"/>
          <w:sz w:val="22"/>
          <w:szCs w:val="28"/>
          <w:highlight w:val="none"/>
          <w:lang w:val="en-US" w:eastAsia="zh-CN"/>
        </w:rPr>
        <w:t>运维</w:t>
      </w:r>
      <w:r>
        <w:rPr>
          <w:rFonts w:hint="eastAsia" w:ascii="方正兰亭黑简体" w:hAnsi="方正兰亭黑简体" w:eastAsia="方正兰亭黑简体" w:cs="方正兰亭黑简体"/>
          <w:color w:val="auto"/>
          <w:sz w:val="22"/>
          <w:szCs w:val="28"/>
          <w:highlight w:val="none"/>
          <w:lang w:val="zh-CN" w:eastAsia="zh-CN"/>
        </w:rPr>
        <w:t>服务（含维护、培训、技术支撑、7×12小时响应）。</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项目整体</w:t>
      </w:r>
      <w:r>
        <w:rPr>
          <w:rFonts w:hint="eastAsia" w:ascii="方正兰亭黑简体" w:hAnsi="方正兰亭黑简体" w:eastAsia="方正兰亭黑简体" w:cs="方正兰亭黑简体"/>
          <w:color w:val="auto"/>
          <w:sz w:val="22"/>
          <w:szCs w:val="28"/>
          <w:highlight w:val="none"/>
        </w:rPr>
        <w:t>验收合格后</w:t>
      </w:r>
      <w:r>
        <w:rPr>
          <w:rFonts w:hint="eastAsia" w:ascii="方正兰亭黑简体" w:hAnsi="方正兰亭黑简体" w:eastAsia="方正兰亭黑简体" w:cs="方正兰亭黑简体"/>
          <w:color w:val="auto"/>
          <w:sz w:val="22"/>
          <w:szCs w:val="28"/>
          <w:highlight w:val="none"/>
          <w:lang w:val="en-US" w:eastAsia="zh-CN"/>
        </w:rPr>
        <w:t>的十个工作日内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甲方支付合同款项</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9</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28</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沈老师021-50460391</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2B6E113B">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一、项目概况</w:t>
      </w:r>
    </w:p>
    <w:p w14:paraId="0950B331">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本项目旨在围绕智慧港口远程操控、作业感知与智能运维教学需求，对现有实训岸桥电气控制系统进行远程操作功能改造，构建现场操作与远程操控相结合的虚实融合实训环境。项目通过完善实训岸桥的控制、感知、通信及安全保护功能，实现实训岸桥与远程操作模拟器之间的协同运行，真实还原港口岸桥远程操控、作业环境感知、目标状态识别、设备运行监测和安全联锁等典型作业场景。项目建成后，可为学生开展岸桥远程操作、电气控制、智能感知、状态识别、系统联调、安全保护及故障诊断等实训提供教学平台，有效提升港口机械远程操控、环境感知与智能运维岗位技能训练的真实性和综合性，同时为课堂教学演示、实训考核及智慧港口相关教研活动提供支撑。</w:t>
      </w:r>
    </w:p>
    <w:p w14:paraId="27219A1B">
      <w:pPr>
        <w:spacing w:line="360" w:lineRule="auto"/>
        <w:rPr>
          <w:rFonts w:hint="eastAsia" w:ascii="Times New Roman" w:hAnsi="Times New Roman" w:eastAsia="方正兰亭黑简体" w:cs="Times New Roman"/>
          <w:b/>
          <w:bCs/>
          <w:color w:val="auto"/>
          <w:sz w:val="22"/>
          <w:szCs w:val="22"/>
          <w:highlight w:val="none"/>
          <w:lang w:val="en-US" w:eastAsia="zh-CN"/>
        </w:rPr>
      </w:pPr>
    </w:p>
    <w:p w14:paraId="7DE6D34A">
      <w:pPr>
        <w:spacing w:line="36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二、货物清单及规格参数</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741"/>
        <w:gridCol w:w="712"/>
        <w:gridCol w:w="7710"/>
      </w:tblGrid>
      <w:tr w14:paraId="4367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BF67DED">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序号</w:t>
            </w:r>
          </w:p>
        </w:tc>
        <w:tc>
          <w:tcPr>
            <w:tcW w:w="372" w:type="pct"/>
            <w:vAlign w:val="center"/>
          </w:tcPr>
          <w:p w14:paraId="4A49D818">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名称</w:t>
            </w:r>
          </w:p>
        </w:tc>
        <w:tc>
          <w:tcPr>
            <w:tcW w:w="357" w:type="pct"/>
            <w:vAlign w:val="center"/>
          </w:tcPr>
          <w:p w14:paraId="181D5CB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数量</w:t>
            </w:r>
          </w:p>
        </w:tc>
        <w:tc>
          <w:tcPr>
            <w:tcW w:w="3868" w:type="pct"/>
            <w:vAlign w:val="center"/>
          </w:tcPr>
          <w:p w14:paraId="397AF023">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主要规格</w:t>
            </w:r>
          </w:p>
        </w:tc>
      </w:tr>
      <w:tr w14:paraId="38F5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AD4F11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372" w:type="pct"/>
            <w:vAlign w:val="center"/>
          </w:tcPr>
          <w:p w14:paraId="0630E0BC">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实训岸桥远控电气系统改造服务</w:t>
            </w:r>
          </w:p>
        </w:tc>
        <w:tc>
          <w:tcPr>
            <w:tcW w:w="357" w:type="pct"/>
            <w:vAlign w:val="center"/>
          </w:tcPr>
          <w:p w14:paraId="78D3131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3868" w:type="pct"/>
            <w:vAlign w:val="center"/>
          </w:tcPr>
          <w:p w14:paraId="0EDAE1CF">
            <w:pPr>
              <w:spacing w:line="360" w:lineRule="auto"/>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1、现场勘察、风险分析与深化设计：核实现有实训岸桥PLC、电气控制、安全回路、网络通信及设备接口等情况，完成原系统备份、安全风险分析和改造方案设计。</w:t>
            </w:r>
          </w:p>
          <w:p w14:paraId="17420BAE">
            <w:pPr>
              <w:spacing w:line="360" w:lineRule="auto"/>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2、远程/现场操作模式及安全改造：增设带钥匙锁定的远程/现场操作模式切换开关和硬件互锁电路，完善安全联锁、急停回路及安全继电器冗余保护功能。</w:t>
            </w:r>
          </w:p>
          <w:p w14:paraId="74193CEB">
            <w:pPr>
              <w:spacing w:line="360" w:lineRule="auto"/>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实训岸桥远控功能改造升级：对现有西门子S7系列PLC程序进行升级与调试，开发远控模拟器与实训岸桥通信接口，实现操作指令实时同步、设备状态反馈及虚实联动运行，通信响应时间≤50ms；配置不少于5路工业网络摄像机；具备吊具跟踪、人员闯入、集卡到位、吊具与集装箱对位等作业状态感知和辅助提示功能。</w:t>
            </w:r>
          </w:p>
          <w:p w14:paraId="0D1647A8">
            <w:pPr>
              <w:spacing w:line="360" w:lineRule="auto"/>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4、工业以太网通信系统：增设工业级以太网通信模块，配置不少于4个独立物理网口，满足实训岸桥PLC、远控模拟器、调试终端及相关系统的网络通信需求。</w:t>
            </w:r>
          </w:p>
        </w:tc>
      </w:tr>
    </w:tbl>
    <w:p w14:paraId="75A7C11C">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三、技术要求</w:t>
      </w:r>
    </w:p>
    <w:p w14:paraId="429A0064">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以下要求为项目基本要求，应根据拟投产品（设备）实际情况提供准确的技术参数和性能指标（配置）（其中带“★”号条款为核心指标项，不允许负偏离；带“▲”为扣分项）</w:t>
      </w:r>
    </w:p>
    <w:p w14:paraId="290DD0C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（一）现场勘察、风险分析与深化设计</w:t>
      </w:r>
    </w:p>
    <w:p w14:paraId="0049113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w:t>
      </w:r>
      <w:r>
        <w:rPr>
          <w:rFonts w:hint="default" w:ascii="方正兰亭黑简体" w:hAnsi="方正兰亭黑简体" w:eastAsia="方正兰亭黑简体" w:cs="方正兰亭黑简体"/>
          <w:color w:val="auto"/>
          <w:sz w:val="22"/>
          <w:szCs w:val="28"/>
          <w:highlight w:val="none"/>
          <w:lang w:val="zh-CN"/>
        </w:rPr>
        <w:t>★现场勘察。中标人应核实现有PLC型号、固件版本、程序容量、I/O点位、网络资源、电源容量、电控柜空间、安全回路、操作台、限位保护、驱动接口和接地状况，形成书面勘察记录。现场可能无电气原理图等技术资料，中标人应有充分足够的技术能力完成对原系统的理解，不能因为缺少技术资料影响将来需要功能的实现。</w:t>
      </w:r>
      <w:r>
        <w:rPr>
          <w:rFonts w:hint="default" w:ascii="方正兰亭黑简体" w:hAnsi="方正兰亭黑简体" w:eastAsia="方正兰亭黑简体" w:cs="方正兰亭黑简体"/>
          <w:color w:val="auto"/>
          <w:sz w:val="22"/>
          <w:szCs w:val="28"/>
          <w:highlight w:val="none"/>
        </w:rPr>
        <w:t>勘察应形成现状设备及接口清单、I/O点位及备用点统计、网络资源及端口占用情况、电源余量、电控柜可安装空间、安全回路与限位保护现状、驱动接口及接地情况记录；对关键控制柜、端子、接口和设备状态留存现场记录。缺少原理图或接线图时，应通过程序读取、线路核查、端子追踪、I/O信号核对和功能测试等方式完成原系统功能梳理，并明确后续改造可利用接口、限制条件和风险点。</w:t>
      </w:r>
    </w:p>
    <w:p w14:paraId="1D9D309E">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2.</w:t>
      </w:r>
      <w:r>
        <w:rPr>
          <w:rFonts w:hint="default" w:ascii="方正兰亭黑简体" w:hAnsi="方正兰亭黑简体" w:eastAsia="方正兰亭黑简体" w:cs="方正兰亭黑简体"/>
          <w:color w:val="auto"/>
          <w:sz w:val="22"/>
          <w:szCs w:val="28"/>
          <w:highlight w:val="none"/>
          <w:lang w:val="zh-CN"/>
        </w:rPr>
        <w:t>★原系统备份。施工前完整备份PLC程序、HMI或组态程序、参数、变量表、硬件组态和网络配置，计算文件校验值并建立可回退版本。未经备份和采购人确认不得修改原系统。中标人需自行完成原有系统功能分析和程序备份，采购人不提供任何协助，无论任何原因无法完成备份，中标人需自行解决。如中标人自行开发程序覆盖原程序，新程序功能需100%覆盖原有功能。</w:t>
      </w:r>
      <w:r>
        <w:rPr>
          <w:rFonts w:hint="default" w:ascii="方正兰亭黑简体" w:hAnsi="方正兰亭黑简体" w:eastAsia="方正兰亭黑简体" w:cs="方正兰亭黑简体"/>
          <w:color w:val="auto"/>
          <w:sz w:val="22"/>
          <w:szCs w:val="28"/>
          <w:highlight w:val="none"/>
        </w:rPr>
        <w:t>备份内容应覆盖PLC源程序、硬件组态、通信配置、变量/符号表、HMI或组态工程、驱动及关键设备参数、报警和配方等可获取数据，并按设备、版本和日期建立独立备份目录。备份完成后应进行文件可打开性、工程可编译性及关键参数完整性检查，形成备份清单和回退说明；若原程序无法直接获取，应在改造前完成现有功能、联锁、报警、操作方式和接口关系的逐项梳理，作为新程序功能覆盖和验收依据。</w:t>
      </w:r>
    </w:p>
    <w:p w14:paraId="047E16B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3.</w:t>
      </w:r>
      <w:r>
        <w:rPr>
          <w:rFonts w:hint="default" w:ascii="方正兰亭黑简体" w:hAnsi="方正兰亭黑简体" w:eastAsia="方正兰亭黑简体" w:cs="方正兰亭黑简体"/>
          <w:color w:val="auto"/>
          <w:sz w:val="22"/>
          <w:szCs w:val="28"/>
          <w:highlight w:val="none"/>
          <w:lang w:val="zh-CN"/>
        </w:rPr>
        <w:t>安全风险分析。针对模式切换、远程指令、急停、通信中断、设备失电、程序异常及误操作开展风险分析，明确安全功能、失效反应、测试方法和恢复流程。</w:t>
      </w:r>
      <w:r>
        <w:rPr>
          <w:rFonts w:hint="default" w:ascii="方正兰亭黑简体" w:hAnsi="方正兰亭黑简体" w:eastAsia="方正兰亭黑简体" w:cs="方正兰亭黑简体"/>
          <w:color w:val="auto"/>
          <w:sz w:val="22"/>
          <w:szCs w:val="28"/>
          <w:highlight w:val="none"/>
        </w:rPr>
        <w:t>应至少逐项识别危险场景、触发条件、可能后果、现有保护措施、需新增或调整的安全措施、故障后的安全状态、复位条件及验证方法；重点覆盖远程/现场模式冲突、远程指令异常、通信超时、急停动作、限位触发、驱动故障、设备失电/恢复、PLC异常重启及误操作等情形，并形成风险清单和测试项目。</w:t>
      </w:r>
    </w:p>
    <w:p w14:paraId="02360A54">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4.</w:t>
      </w:r>
      <w:r>
        <w:rPr>
          <w:rFonts w:hint="default" w:ascii="方正兰亭黑简体" w:hAnsi="方正兰亭黑简体" w:eastAsia="方正兰亭黑简体" w:cs="方正兰亭黑简体"/>
          <w:color w:val="auto"/>
          <w:sz w:val="22"/>
          <w:szCs w:val="28"/>
          <w:highlight w:val="none"/>
          <w:lang w:val="zh-CN"/>
        </w:rPr>
        <w:t>深化设计。提交电气原理图、互锁逻辑图、网络拓扑图、I/O及数据点表、控制状态机、施工方案、程序说明、停机计划和验收测试方案，经采购人确认后方可实施。</w:t>
      </w:r>
      <w:r>
        <w:rPr>
          <w:rFonts w:hint="default" w:ascii="方正兰亭黑简体" w:hAnsi="方正兰亭黑简体" w:eastAsia="方正兰亭黑简体" w:cs="方正兰亭黑简体"/>
          <w:color w:val="auto"/>
          <w:sz w:val="22"/>
          <w:szCs w:val="28"/>
          <w:highlight w:val="none"/>
        </w:rPr>
        <w:t>深化设计应明确新增/改造硬件型号及安装位置、端子及接线关系、远程/现场互锁逻辑、网络IP与端口规划、PLC新增I/O及通信数据点、控制状态转换条件、施工步骤和停机影响范围；同时列明各功能的测试条件、预期结果和判定标准，设计文件经确认后作为现场实施和验收依据。</w:t>
      </w:r>
    </w:p>
    <w:p w14:paraId="2F92CEC1">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5.</w:t>
      </w:r>
      <w:r>
        <w:rPr>
          <w:rFonts w:hint="default" w:ascii="方正兰亭黑简体" w:hAnsi="方正兰亭黑简体" w:eastAsia="方正兰亭黑简体" w:cs="方正兰亭黑简体"/>
          <w:color w:val="auto"/>
          <w:sz w:val="22"/>
          <w:szCs w:val="28"/>
          <w:highlight w:val="none"/>
          <w:lang w:val="zh-CN"/>
        </w:rPr>
        <w:t>适用标准。设计与实施应符合GB/T3811、GB/T5226.32、GB/T6067.1以及与本项目相关的现行电气安全、起重机械安全和低压电器标准。标准之间不一致时，按安全要求较高者执行。</w:t>
      </w:r>
      <w:r>
        <w:rPr>
          <w:rFonts w:hint="default" w:ascii="方正兰亭黑简体" w:hAnsi="方正兰亭黑简体" w:eastAsia="方正兰亭黑简体" w:cs="方正兰亭黑简体"/>
          <w:color w:val="auto"/>
          <w:sz w:val="22"/>
          <w:szCs w:val="28"/>
          <w:highlight w:val="none"/>
        </w:rPr>
        <w:t>实施前应结合本项目改造范围梳理适用的安全、电气、起重机械及低压电器标准要求，并在设计、元件选型、布线、接地、安全回路、标识和测试环节予以落实；涉及原设备既有结构和安全功能的，不得因改造降低原有安全等级。</w:t>
      </w:r>
    </w:p>
    <w:p w14:paraId="4C6AFDC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（二）远程/现场操作模式切换与安全改造</w:t>
      </w:r>
    </w:p>
    <w:p w14:paraId="66A27E38">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w:t>
      </w:r>
      <w:r>
        <w:rPr>
          <w:rFonts w:hint="default" w:ascii="方正兰亭黑简体" w:hAnsi="方正兰亭黑简体" w:eastAsia="方正兰亭黑简体" w:cs="方正兰亭黑简体"/>
          <w:color w:val="auto"/>
          <w:sz w:val="22"/>
          <w:szCs w:val="28"/>
          <w:highlight w:val="none"/>
          <w:lang w:val="zh-CN"/>
        </w:rPr>
        <w:t>★钥匙模式开关。对现有实训岸桥操作台进行改造，增设工业级远程/现场两位钥匙选择开关，具有明确位置标识和状态指示；钥匙仅可由授权人员管理，并应能够在选定位置锁定。</w:t>
      </w:r>
      <w:r>
        <w:rPr>
          <w:rFonts w:hint="default" w:ascii="方正兰亭黑简体" w:hAnsi="方正兰亭黑简体" w:eastAsia="方正兰亭黑简体" w:cs="方正兰亭黑简体"/>
          <w:color w:val="auto"/>
          <w:sz w:val="22"/>
          <w:szCs w:val="28"/>
          <w:highlight w:val="none"/>
        </w:rPr>
        <w:t>钥匙开关应设置“现场/远程”清晰标识，并将实际开关状态以独立硬接点送入控制系统；钥匙在选定模式下应可拔出并保持该模式，防止未经授权切换。安装位置应便于操作但避免误碰，模式状态应在现场操作台和远控终端同步显示。</w:t>
      </w:r>
    </w:p>
    <w:p w14:paraId="0B018232">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2.</w:t>
      </w:r>
      <w:r>
        <w:rPr>
          <w:rFonts w:hint="default" w:ascii="方正兰亭黑简体" w:hAnsi="方正兰亭黑简体" w:eastAsia="方正兰亭黑简体" w:cs="方正兰亭黑简体"/>
          <w:color w:val="auto"/>
          <w:sz w:val="22"/>
          <w:szCs w:val="28"/>
          <w:highlight w:val="none"/>
          <w:lang w:val="zh-CN"/>
        </w:rPr>
        <w:t>★硬件互锁。远程与现场操作许可应通过独立硬接点、继电器或等效安全电路实现电气互锁，不得仅依赖普通PLC软件变量实现互斥。</w:t>
      </w:r>
      <w:r>
        <w:rPr>
          <w:rFonts w:hint="default" w:ascii="方正兰亭黑简体" w:hAnsi="方正兰亭黑简体" w:eastAsia="方正兰亭黑简体" w:cs="方正兰亭黑简体"/>
          <w:color w:val="auto"/>
          <w:sz w:val="22"/>
          <w:szCs w:val="28"/>
          <w:highlight w:val="none"/>
        </w:rPr>
        <w:t>远程许可与现场许可应采用相互制约的独立硬件信号实现，任一模式获得许可时另一模式的运动许可应被硬件切断；互锁回路应具备故障失效后的安全状态设计，并对接点粘连、断线及信号矛盾进行检测或保护。现场验收时应模拟两种模式同时请求、接点异常等情况验证互锁有效性。</w:t>
      </w:r>
    </w:p>
    <w:p w14:paraId="0137304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3.</w:t>
      </w:r>
      <w:r>
        <w:rPr>
          <w:rFonts w:hint="default" w:ascii="方正兰亭黑简体" w:hAnsi="方正兰亭黑简体" w:eastAsia="方正兰亭黑简体" w:cs="方正兰亭黑简体"/>
          <w:color w:val="auto"/>
          <w:sz w:val="22"/>
          <w:szCs w:val="28"/>
          <w:highlight w:val="none"/>
          <w:lang w:val="zh-CN"/>
        </w:rPr>
        <w:t>模式唯一性。任一时刻只能有一种操作模式获得动作许可。现场模式下所有远程运动指令必须被硬件和软件双重阻断；远程模式下现场非安全操作指令应被禁止，但现场急停和安全保护始终有效。</w:t>
      </w:r>
      <w:r>
        <w:rPr>
          <w:rFonts w:hint="default" w:ascii="方正兰亭黑简体" w:hAnsi="方正兰亭黑简体" w:eastAsia="方正兰亭黑简体" w:cs="方正兰亭黑简体"/>
          <w:color w:val="auto"/>
          <w:sz w:val="22"/>
          <w:szCs w:val="28"/>
          <w:highlight w:val="none"/>
        </w:rPr>
        <w:t>应建立模式许可状态逻辑，明确现场模式、远程模式、切换中和异常状态的动作权限；任何状态不确定或许可条件不完整时均不得输出运动指令。现场急停、安全门、限位及其他安全保护信号在两种模式下均应保持最高优先级，不得被远程功能屏蔽。</w:t>
      </w:r>
    </w:p>
    <w:p w14:paraId="22D81CC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4.</w:t>
      </w:r>
      <w:r>
        <w:rPr>
          <w:rFonts w:hint="default" w:ascii="方正兰亭黑简体" w:hAnsi="方正兰亭黑简体" w:eastAsia="方正兰亭黑简体" w:cs="方正兰亭黑简体"/>
          <w:color w:val="auto"/>
          <w:sz w:val="22"/>
          <w:szCs w:val="28"/>
          <w:highlight w:val="none"/>
          <w:lang w:val="zh-CN"/>
        </w:rPr>
        <w:t>★现场模式优先。出现任何手动操作请求、模式信号冲突、接点故障、通信异常或状态不确定时，系统应自动撤销远程许可并进入安全现场模式状态，不得自动恢复远程运动。</w:t>
      </w:r>
      <w:r>
        <w:rPr>
          <w:rFonts w:hint="default" w:ascii="方正兰亭黑简体" w:hAnsi="方正兰亭黑简体" w:eastAsia="方正兰亭黑简体" w:cs="方正兰亭黑简体"/>
          <w:color w:val="auto"/>
          <w:sz w:val="22"/>
          <w:szCs w:val="28"/>
          <w:highlight w:val="none"/>
        </w:rPr>
        <w:t>应明确导致远程许可撤销的具体条件，包括现场操作请求、钥匙状态变化、模式信号矛盾、互锁接点异常、通信中断、PLC/远控终端状态异常等；故障消除后须由授权人员重新确认并重新建立远程许可，系统不得在无人确认情况下自动恢复远程控制。</w:t>
      </w:r>
    </w:p>
    <w:p w14:paraId="01333C2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5.</w:t>
      </w:r>
      <w:r>
        <w:rPr>
          <w:rFonts w:hint="default" w:ascii="方正兰亭黑简体" w:hAnsi="方正兰亭黑简体" w:eastAsia="方正兰亭黑简体" w:cs="方正兰亭黑简体"/>
          <w:color w:val="auto"/>
          <w:sz w:val="22"/>
          <w:szCs w:val="28"/>
          <w:highlight w:val="none"/>
          <w:lang w:val="zh-CN"/>
        </w:rPr>
        <w:t>切换防误动。模式切换前应确认各操纵量处于回零状态且机构处于安全停止状态。切换过程中不得产生脉冲指令、保持上一次指令或引发机构误动作；切换后应重新进行操作确认。</w:t>
      </w:r>
      <w:r>
        <w:rPr>
          <w:rFonts w:hint="default" w:ascii="方正兰亭黑简体" w:hAnsi="方正兰亭黑简体" w:eastAsia="方正兰亭黑简体" w:cs="方正兰亭黑简体"/>
          <w:color w:val="auto"/>
          <w:sz w:val="22"/>
          <w:szCs w:val="28"/>
          <w:highlight w:val="none"/>
        </w:rPr>
        <w:t>模式切换应设置前置条件检查，包括机构速度为零、操纵手柄/给定回零、无未完成运动指令及安全链正常；切换时应清除或冻结上一模式的运动命令和保持量。切换完成后须重新获取新模式操作许可，未完成确认前不得输出驱动命令。</w:t>
      </w:r>
    </w:p>
    <w:p w14:paraId="2472C15E">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6.</w:t>
      </w:r>
      <w:r>
        <w:rPr>
          <w:rFonts w:hint="default" w:ascii="方正兰亭黑简体" w:hAnsi="方正兰亭黑简体" w:eastAsia="方正兰亭黑简体" w:cs="方正兰亭黑简体"/>
          <w:color w:val="auto"/>
          <w:sz w:val="22"/>
          <w:szCs w:val="28"/>
          <w:highlight w:val="none"/>
          <w:lang w:val="zh-CN"/>
        </w:rPr>
        <w:t>状态反馈。模式位置、远程许可、互锁状态和切换异常应同时送入PLC并输出至远控终端，具备清晰的文字或指示灯提示。</w:t>
      </w:r>
      <w:r>
        <w:rPr>
          <w:rFonts w:hint="default" w:ascii="方正兰亭黑简体" w:hAnsi="方正兰亭黑简体" w:eastAsia="方正兰亭黑简体" w:cs="方正兰亭黑简体"/>
          <w:color w:val="auto"/>
          <w:sz w:val="22"/>
          <w:szCs w:val="28"/>
          <w:highlight w:val="none"/>
        </w:rPr>
        <w:t>状态反馈应包括钥匙开关实际位置、当前有效模式、远程许可状态、硬件互锁状态、模式切换进行中/完成/异常状态及异常原因；现场和远控端显示应保持一致，发生信号矛盾或异常时应给出明确报警提示。</w:t>
      </w:r>
    </w:p>
    <w:p w14:paraId="6E71423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7.</w:t>
      </w:r>
      <w:r>
        <w:rPr>
          <w:rFonts w:hint="default" w:ascii="方正兰亭黑简体" w:hAnsi="方正兰亭黑简体" w:eastAsia="方正兰亭黑简体" w:cs="方正兰亭黑简体"/>
          <w:color w:val="auto"/>
          <w:sz w:val="22"/>
          <w:szCs w:val="28"/>
          <w:highlight w:val="none"/>
          <w:lang w:val="zh-CN"/>
        </w:rPr>
        <w:t>★安全联锁与急停回路改造。对现有急停、安全门、限位、超速、机构保护等安全链路进行核查和必要改造。改造后，安全联锁或急停回路动作后立即切断制动器电源和驱动系统电源，且是硬件回路和PLC程序同时动作，不允许只在PLC程序中实现安全和急停功能。远程操作模式不得旁路、屏蔽或降低原有任何安全保护功能。</w:t>
      </w:r>
      <w:r>
        <w:rPr>
          <w:rFonts w:hint="default" w:ascii="方正兰亭黑简体" w:hAnsi="方正兰亭黑简体" w:eastAsia="方正兰亭黑简体" w:cs="方正兰亭黑简体"/>
          <w:color w:val="auto"/>
          <w:sz w:val="22"/>
          <w:szCs w:val="28"/>
          <w:highlight w:val="none"/>
        </w:rPr>
        <w:t>应逐项核查急停按钮、安全门、各机构限位、超速及驱动保护等安全信号的接线、触点状态和动作链路；对远控新增功能涉及的安全链进行硬件回路与PLC逻辑双通道处理。安全链动作时应禁止或撤销运动许可，并按设备原有制动和驱动安全逻辑执行停机；复位后不得自动恢复运动，须满足安全条件并重新确认。各安全功能应分别进行触发测试和恢复测试。</w:t>
      </w:r>
    </w:p>
    <w:p w14:paraId="0416741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（三）实训岸桥远控功能改造升级</w:t>
      </w:r>
    </w:p>
    <w:p w14:paraId="23D4BE70">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w:t>
      </w:r>
      <w:r>
        <w:rPr>
          <w:rFonts w:hint="default" w:ascii="方正兰亭黑简体" w:hAnsi="方正兰亭黑简体" w:eastAsia="方正兰亭黑简体" w:cs="方正兰亭黑简体"/>
          <w:color w:val="auto"/>
          <w:sz w:val="22"/>
          <w:szCs w:val="28"/>
          <w:highlight w:val="none"/>
          <w:lang w:val="zh-CN"/>
        </w:rPr>
        <w:t>★兼容性。升级程序应与采购人现有西门子S7系列PLC硬件、固件及工程软件兼容，保持原有现场操作、保护、报警和维护功能。</w:t>
      </w:r>
      <w:r>
        <w:rPr>
          <w:rFonts w:hint="default" w:ascii="方正兰亭黑简体" w:hAnsi="方正兰亭黑简体" w:eastAsia="方正兰亭黑简体" w:cs="方正兰亭黑简体"/>
          <w:color w:val="auto"/>
          <w:sz w:val="22"/>
          <w:szCs w:val="28"/>
          <w:highlight w:val="none"/>
        </w:rPr>
        <w:t>改造前应确认现有PLCCPU、扩展模块、通信模块、固件版本及工程软件版本，新增程序、通信和硬件配置不得超出原系统可用资源；原有现场控制、手动操作、安全保护、报警、故障复位和维护功能应在改造后逐项验证，不得因远控功能新增造成原有功能丢失或异常。</w:t>
      </w:r>
    </w:p>
    <w:p w14:paraId="1D32092B">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2.</w:t>
      </w:r>
      <w:r>
        <w:rPr>
          <w:rFonts w:hint="default" w:ascii="方正兰亭黑简体" w:hAnsi="方正兰亭黑简体" w:eastAsia="方正兰亭黑简体" w:cs="方正兰亭黑简体"/>
          <w:color w:val="auto"/>
          <w:sz w:val="22"/>
          <w:szCs w:val="28"/>
          <w:highlight w:val="none"/>
          <w:lang w:val="zh-CN"/>
        </w:rPr>
        <w:t>★PLC程序结构。远控功能应采用模块化设计，至少包括模式管理、命令接收、权限校验、互锁校验、指令执行、状态反馈、心跳监测、超时保护、报警诊断和日志接口。</w:t>
      </w:r>
      <w:r>
        <w:rPr>
          <w:rFonts w:hint="default" w:ascii="方正兰亭黑简体" w:hAnsi="方正兰亭黑简体" w:eastAsia="方正兰亭黑简体" w:cs="方正兰亭黑简体"/>
          <w:color w:val="auto"/>
          <w:sz w:val="22"/>
          <w:szCs w:val="28"/>
          <w:highlight w:val="none"/>
        </w:rPr>
        <w:t>各功能应采用独立功能块或清晰功能区组织，明确输入、输出、状态和故障接口；运动命令应按“接收—合法性判断—安全条件校验—执行—状态反馈”流程处理。关键参数、超时值和功能开关应集中管理，便于后续维护和调整。</w:t>
      </w:r>
    </w:p>
    <w:p w14:paraId="14922B40">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3.</w:t>
      </w:r>
      <w:r>
        <w:rPr>
          <w:rFonts w:hint="default" w:ascii="方正兰亭黑简体" w:hAnsi="方正兰亭黑简体" w:eastAsia="方正兰亭黑简体" w:cs="方正兰亭黑简体"/>
          <w:color w:val="auto"/>
          <w:sz w:val="22"/>
          <w:szCs w:val="28"/>
          <w:highlight w:val="none"/>
          <w:lang w:val="zh-CN"/>
        </w:rPr>
        <w:t>控制对象。支持大车、小车、起升及吊具相关教学操作指令和状态反馈。实际开放的动作及参数以风险分析、现有设备能力和采购人确认的数据点表为准。</w:t>
      </w:r>
      <w:r>
        <w:rPr>
          <w:rFonts w:hint="default" w:ascii="方正兰亭黑简体" w:hAnsi="方正兰亭黑简体" w:eastAsia="方正兰亭黑简体" w:cs="方正兰亭黑简体"/>
          <w:color w:val="auto"/>
          <w:sz w:val="22"/>
          <w:szCs w:val="28"/>
          <w:highlight w:val="none"/>
        </w:rPr>
        <w:t>分别梳理大车、小车、起升及吊具的可远控动作、允许条件、互锁条件、限位条件、速度/方向给定、停止方式及状态反馈点；对不具备安全开放条件的动作应在数据点表中明确标识并保持禁止状态。</w:t>
      </w:r>
    </w:p>
    <w:p w14:paraId="5D01EDD3">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4.</w:t>
      </w:r>
      <w:r>
        <w:rPr>
          <w:rFonts w:hint="default" w:ascii="方正兰亭黑简体" w:hAnsi="方正兰亭黑简体" w:eastAsia="方正兰亭黑简体" w:cs="方正兰亭黑简体"/>
          <w:color w:val="auto"/>
          <w:sz w:val="22"/>
          <w:szCs w:val="28"/>
          <w:highlight w:val="none"/>
          <w:lang w:val="zh-CN"/>
        </w:rPr>
        <w:t>指令校验。远程命令应具有命令序号、时间戳或等效防重复机制，并校验模式、安全许可、限位、零位及机构互锁条件；重复、乱序、超时或非法命令不得执行。</w:t>
      </w:r>
      <w:r>
        <w:rPr>
          <w:rFonts w:hint="default" w:ascii="方正兰亭黑简体" w:hAnsi="方正兰亭黑简体" w:eastAsia="方正兰亭黑简体" w:cs="方正兰亭黑简体"/>
          <w:color w:val="auto"/>
          <w:sz w:val="22"/>
          <w:szCs w:val="28"/>
          <w:highlight w:val="none"/>
        </w:rPr>
        <w:t>远程指令进入PLC后完成来源、模式、权限、命令有效期、命令顺序、安全许可、限位和机构互锁等校验；校验失败时不得向驱动或机构输出动作，并应返回拒绝原因或状态码，便于远控端显示和故障追踪。</w:t>
      </w:r>
    </w:p>
    <w:p w14:paraId="7330A76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5.</w:t>
      </w:r>
      <w:r>
        <w:rPr>
          <w:rFonts w:hint="default" w:ascii="方正兰亭黑简体" w:hAnsi="方正兰亭黑简体" w:eastAsia="方正兰亭黑简体" w:cs="方正兰亭黑简体"/>
          <w:color w:val="auto"/>
          <w:sz w:val="22"/>
          <w:szCs w:val="28"/>
          <w:highlight w:val="none"/>
          <w:lang w:val="zh-CN"/>
        </w:rPr>
        <w:t>▲通信看门狗。PLC应监测远控通信心跳。通信超时阈值应可配置，默认不高于500ms；超时后立即撤销远程指令和运行许可，并按风险分析结果实施受控停止或禁止再次启动。</w:t>
      </w:r>
      <w:r>
        <w:rPr>
          <w:rFonts w:hint="default" w:ascii="方正兰亭黑简体" w:hAnsi="方正兰亭黑简体" w:eastAsia="方正兰亭黑简体" w:cs="方正兰亭黑简体"/>
          <w:color w:val="auto"/>
          <w:sz w:val="22"/>
          <w:szCs w:val="28"/>
          <w:highlight w:val="none"/>
        </w:rPr>
        <w:t>远控终端与PLC之间设置周期性心跳或等效通信状态监测，超时阈值可在授权范围内配置；发生断网、交换机断电、远控程序退出或数据冻结时，PLC均应识别为通信异常，清除持续运动命令并进入预定安全状态。通信恢复后须重新建立远程许可，不得沿用中断前的运动指令。</w:t>
      </w:r>
    </w:p>
    <w:p w14:paraId="63CDD98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6.</w:t>
      </w:r>
      <w:r>
        <w:rPr>
          <w:rFonts w:hint="default" w:ascii="方正兰亭黑简体" w:hAnsi="方正兰亭黑简体" w:eastAsia="方正兰亭黑简体" w:cs="方正兰亭黑简体"/>
          <w:color w:val="auto"/>
          <w:sz w:val="22"/>
          <w:szCs w:val="28"/>
          <w:highlight w:val="none"/>
          <w:lang w:val="zh-CN"/>
        </w:rPr>
        <w:t>★状态反馈。反馈内容至少包括模式、远程许可、急停和安全链状态、机构运行方向、位置或限位、速度或给定状态、吊具开闭锁、着箱、故障、报警及通信状态。</w:t>
      </w:r>
      <w:r>
        <w:rPr>
          <w:rFonts w:hint="default" w:ascii="方正兰亭黑简体" w:hAnsi="方正兰亭黑简体" w:eastAsia="方正兰亭黑简体" w:cs="方正兰亭黑简体"/>
          <w:color w:val="auto"/>
          <w:sz w:val="22"/>
          <w:szCs w:val="28"/>
          <w:highlight w:val="none"/>
        </w:rPr>
        <w:t>反馈数据按功能分类建立数据点表，明确变量名称、数据类型、含义、更新周期及异常状态；关键安全和运动状态应实时刷新，远控终端显示与PLC实际状态保持一致，并能区分正常、报警、故障和通信异常状态。</w:t>
      </w:r>
    </w:p>
    <w:p w14:paraId="618F53AE">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7.</w:t>
      </w:r>
      <w:r>
        <w:rPr>
          <w:rFonts w:hint="default" w:ascii="方正兰亭黑简体" w:hAnsi="方正兰亭黑简体" w:eastAsia="方正兰亭黑简体" w:cs="方正兰亭黑简体"/>
          <w:color w:val="auto"/>
          <w:sz w:val="22"/>
          <w:szCs w:val="28"/>
          <w:highlight w:val="none"/>
          <w:lang w:val="zh-CN"/>
        </w:rPr>
        <w:t>日志与诊断。关键模式变化、远程命令、安全联锁拒绝、通信中断、程序异常和故障复位应具备时间标记和可追溯记录，日志保留时间不少于30日或支持导出归档。</w:t>
      </w:r>
      <w:r>
        <w:rPr>
          <w:rFonts w:hint="default" w:ascii="方正兰亭黑简体" w:hAnsi="方正兰亭黑简体" w:eastAsia="方正兰亭黑简体" w:cs="方正兰亭黑简体"/>
          <w:color w:val="auto"/>
          <w:sz w:val="22"/>
          <w:szCs w:val="28"/>
          <w:highlight w:val="none"/>
        </w:rPr>
        <w:t>日志需记录事件时间、事件类型、相关机构/信号、命令或状态变化、拒绝/故障原因及复位结果；支持按时间和事件类型查询，并能够导出用于教学、故障分析和维护追溯。</w:t>
      </w:r>
    </w:p>
    <w:p w14:paraId="4C023B42">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8.</w:t>
      </w:r>
      <w:r>
        <w:rPr>
          <w:rFonts w:hint="default" w:ascii="方正兰亭黑简体" w:hAnsi="方正兰亭黑简体" w:eastAsia="方正兰亭黑简体" w:cs="方正兰亭黑简体"/>
          <w:color w:val="auto"/>
          <w:sz w:val="22"/>
          <w:szCs w:val="28"/>
          <w:highlight w:val="none"/>
          <w:lang w:val="zh-CN"/>
        </w:rPr>
        <w:t>PLC程序质量。PLC程序变量和功能块应采用有意义的名称并提供中文注释；不得设置采购人未知的口令、后门、时间锁或限制正常维护的技术措施。</w:t>
      </w:r>
      <w:r>
        <w:rPr>
          <w:rFonts w:hint="default" w:ascii="方正兰亭黑简体" w:hAnsi="方正兰亭黑简体" w:eastAsia="方正兰亭黑简体" w:cs="方正兰亭黑简体"/>
          <w:color w:val="auto"/>
          <w:sz w:val="22"/>
          <w:szCs w:val="28"/>
          <w:highlight w:val="none"/>
        </w:rPr>
        <w:t>程序应采用统一命名规则和模块化结构，关键功能块、变量、联锁条件、报警条件和重要参数应提供中文说明；程序交付版本应与现场运行版本一致，并保证采购人能够正常打开、在线监控、修改和下载。</w:t>
      </w:r>
    </w:p>
    <w:p w14:paraId="10D7BF24">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9.</w:t>
      </w:r>
      <w:r>
        <w:rPr>
          <w:rFonts w:hint="default" w:ascii="方正兰亭黑简体" w:hAnsi="方正兰亭黑简体" w:eastAsia="方正兰亭黑简体" w:cs="方正兰亭黑简体"/>
          <w:color w:val="auto"/>
          <w:sz w:val="22"/>
          <w:szCs w:val="28"/>
          <w:highlight w:val="none"/>
          <w:lang w:val="zh-CN"/>
        </w:rPr>
        <w:t>★虚实联动运行。远控模拟器应能够与实训岸桥PLC进行实时数据交互。在远程模式和安全条件满足时，模拟器操作手柄、按钮及控制指令能够驱动实训岸桥相应教学动作；实训岸桥的模式、机构状态、限位、安全链、吊具状态、故障及报警信息应同步反馈至远控模拟器。现场模式与远程模式切换后，指令来源、状态显示和联锁逻辑应保持一致，不得出现指令残留、状态跳变或机构误动作。</w:t>
      </w:r>
      <w:r>
        <w:rPr>
          <w:rFonts w:hint="default" w:ascii="方正兰亭黑简体" w:hAnsi="方正兰亭黑简体" w:eastAsia="方正兰亭黑简体" w:cs="方正兰亭黑简体"/>
          <w:color w:val="auto"/>
          <w:sz w:val="22"/>
          <w:szCs w:val="28"/>
          <w:highlight w:val="none"/>
        </w:rPr>
        <w:t>应完成远控模拟器操作量与PLC控制变量的一一映射，明确各手柄、按钮、指示、报警与岸桥实际机构/信号的对应关系；远控操作应受模式许可及全部安全联锁约束。切换模式、通信中断和异常恢复过程中，应验证指令清零、状态同步和安全链有效性，确保模拟器显示与岸桥实际状态一致。</w:t>
      </w:r>
    </w:p>
    <w:p w14:paraId="683562A3">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10.</w:t>
      </w:r>
      <w:r>
        <w:rPr>
          <w:rFonts w:hint="default" w:ascii="方正兰亭黑简体" w:hAnsi="方正兰亭黑简体" w:eastAsia="方正兰亭黑简体" w:cs="方正兰亭黑简体"/>
          <w:color w:val="auto"/>
          <w:sz w:val="22"/>
          <w:szCs w:val="28"/>
          <w:highlight w:val="none"/>
          <w:lang w:val="zh-CN"/>
        </w:rPr>
        <w:t>▲响应延时。在采购人指定的本地有线网络及正常系统负载条件下，从远控终端发出有效控制指令至PLC完成接收、校验并返回状态确认的端到端应用层响应延迟≤50ms。</w:t>
      </w:r>
      <w:r>
        <w:rPr>
          <w:rFonts w:hint="default" w:ascii="方正兰亭黑简体" w:hAnsi="方正兰亭黑简体" w:eastAsia="方正兰亭黑简体" w:cs="方正兰亭黑简体"/>
          <w:color w:val="auto"/>
          <w:sz w:val="22"/>
          <w:szCs w:val="28"/>
          <w:highlight w:val="none"/>
        </w:rPr>
        <w:t>响应延时应在采购人指定的本地有线网络、系统正常运行负载条件下进行测试，测试内容至少覆盖典型按钮指令、手柄给定及状态反馈；应记录多次测试结果和最大响应值，形成测试记录作为验收依据。</w:t>
      </w:r>
    </w:p>
    <w:p w14:paraId="192EFF8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11.</w:t>
      </w:r>
      <w:r>
        <w:rPr>
          <w:rFonts w:hint="default" w:ascii="方正兰亭黑简体" w:hAnsi="方正兰亭黑简体" w:eastAsia="方正兰亭黑简体" w:cs="方正兰亭黑简体"/>
          <w:color w:val="auto"/>
          <w:sz w:val="22"/>
          <w:szCs w:val="28"/>
          <w:highlight w:val="none"/>
          <w:lang w:val="zh-CN"/>
        </w:rPr>
        <w:t>通信协议。通信协议应明确报文结构、变量地址、数据类型、字节序、缩放系数、读写权限、更新周期、命令序号、时间戳、心跳、校验、超时及异常码。涉及运动控制的写入数据不得采用无校验、无应答的直接变量覆盖方式。</w:t>
      </w:r>
      <w:r>
        <w:rPr>
          <w:rFonts w:hint="default" w:ascii="方正兰亭黑简体" w:hAnsi="方正兰亭黑简体" w:eastAsia="方正兰亭黑简体" w:cs="方正兰亭黑简体"/>
          <w:color w:val="auto"/>
          <w:sz w:val="22"/>
          <w:szCs w:val="28"/>
          <w:highlight w:val="none"/>
        </w:rPr>
        <w:t>形成正式通信接口文档，区分控制命令、状态反馈、报警和诊断数据，明确每个数据点的方向、读写权限和有效范围；控制命令应具有应答或状态确认机制，对越界值、非法值、超时值和重复命令进行拒绝处理。</w:t>
      </w:r>
    </w:p>
    <w:p w14:paraId="7420E7D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12.</w:t>
      </w:r>
      <w:r>
        <w:rPr>
          <w:rFonts w:hint="default" w:ascii="方正兰亭黑简体" w:hAnsi="方正兰亭黑简体" w:eastAsia="方正兰亭黑简体" w:cs="方正兰亭黑简体"/>
          <w:color w:val="auto"/>
          <w:sz w:val="22"/>
          <w:szCs w:val="28"/>
          <w:highlight w:val="none"/>
          <w:lang w:val="zh-CN"/>
        </w:rPr>
        <w:t>增加小车和起升机构位置检测装置，并且断电后位置保持。</w:t>
      </w:r>
      <w:r>
        <w:rPr>
          <w:rFonts w:hint="default" w:ascii="方正兰亭黑简体" w:hAnsi="方正兰亭黑简体" w:eastAsia="方正兰亭黑简体" w:cs="方正兰亭黑简体"/>
          <w:color w:val="auto"/>
          <w:sz w:val="22"/>
          <w:szCs w:val="28"/>
          <w:highlight w:val="none"/>
        </w:rPr>
        <w:t>大车、小车和起升机构分别配置可输出连续位置数据的位置检测装置，并与PLC建立稳定通信或信号接口；位置数据应具备零点/基准校准和断电保持能力，系统重新上电后不得因断电造成位置值丢失或无依据跳变。安装方案应结合各机构行程、运动方式和现场安装条件确定，并完成全行程位置变化、断电重启及位置一致性测试。</w:t>
      </w:r>
    </w:p>
    <w:p w14:paraId="3BECF958">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13.</w:t>
      </w:r>
      <w:r>
        <w:rPr>
          <w:rFonts w:hint="default" w:ascii="方正兰亭黑简体" w:hAnsi="方正兰亭黑简体" w:eastAsia="方正兰亭黑简体" w:cs="方正兰亭黑简体"/>
          <w:color w:val="auto"/>
          <w:sz w:val="22"/>
          <w:szCs w:val="28"/>
          <w:highlight w:val="none"/>
          <w:lang w:val="zh-CN"/>
        </w:rPr>
        <w:t>增加小车和起升自动定位功能，定位功能带智能减速功能，实现高效精准的机构定位。</w:t>
      </w:r>
      <w:r>
        <w:rPr>
          <w:rFonts w:hint="default" w:ascii="方正兰亭黑简体" w:hAnsi="方正兰亭黑简体" w:eastAsia="方正兰亭黑简体" w:cs="方正兰亭黑简体"/>
          <w:color w:val="auto"/>
          <w:sz w:val="22"/>
          <w:szCs w:val="28"/>
          <w:highlight w:val="none"/>
        </w:rPr>
        <w:t>自动定位应支持目标位置设定、目标合法性校验、运行许可校验、自动启动、分段减速、低速接近、到位判定和异常退出。大车、小车、起升应分别根据机构速度、制动特性和定位反馈设置减速区间及停车逻辑，防止冲过目标点或频繁往返修正；定位精度及允许误差应结合现场设备能力在深化设计阶段确定，并通过不同起始位置和不同运行方向的定位测试验证。</w:t>
      </w:r>
    </w:p>
    <w:p w14:paraId="28DD01E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rPr>
      </w:pPr>
      <w:r>
        <w:rPr>
          <w:rFonts w:hint="default" w:ascii="方正兰亭黑简体" w:hAnsi="方正兰亭黑简体" w:eastAsia="方正兰亭黑简体" w:cs="方正兰亭黑简体"/>
          <w:color w:val="auto"/>
          <w:sz w:val="22"/>
          <w:szCs w:val="28"/>
          <w:highlight w:val="none"/>
          <w:lang w:val="en-US" w:eastAsia="zh-CN"/>
        </w:rPr>
        <w:t>14.</w:t>
      </w:r>
      <w:r>
        <w:rPr>
          <w:rFonts w:hint="default" w:ascii="方正兰亭黑简体" w:hAnsi="方正兰亭黑简体" w:eastAsia="方正兰亭黑简体" w:cs="方正兰亭黑简体"/>
          <w:color w:val="auto"/>
          <w:sz w:val="22"/>
          <w:szCs w:val="28"/>
          <w:highlight w:val="none"/>
          <w:lang w:val="zh-CN"/>
        </w:rPr>
        <w:t>增加防摇功能，小车自动运行时，自动防摇，小车和大车停车后，吊具平稳不摇摆。</w:t>
      </w:r>
      <w:r>
        <w:rPr>
          <w:rFonts w:hint="default" w:ascii="方正兰亭黑简体" w:hAnsi="方正兰亭黑简体" w:eastAsia="方正兰亭黑简体" w:cs="方正兰亭黑简体"/>
          <w:color w:val="auto"/>
          <w:sz w:val="22"/>
          <w:szCs w:val="28"/>
          <w:highlight w:val="none"/>
        </w:rPr>
        <w:t>防摇功能应针对小车自动运行过程中的启动、加速、匀速、减速和停车阶段进行控制，通过速度曲线优化、运动控制算法或等效方式降低吊具摆动；停车后应避免因控制策略产生持续摆动或二次摆动。防摇参数应可根据起升高度、运行速度等工况进行调整，并通过典型运行工况开展效果验证。</w:t>
      </w:r>
    </w:p>
    <w:p w14:paraId="61ADA831">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15.</w:t>
      </w:r>
      <w:r>
        <w:rPr>
          <w:rFonts w:hint="default" w:ascii="方正兰亭黑简体" w:hAnsi="方正兰亭黑简体" w:eastAsia="方正兰亭黑简体" w:cs="方正兰亭黑简体"/>
          <w:color w:val="auto"/>
          <w:sz w:val="22"/>
          <w:szCs w:val="28"/>
          <w:highlight w:val="none"/>
          <w:lang w:val="zh-CN"/>
        </w:rPr>
        <w:t>★相机数量与视角。在实训岸桥上配置并安装不少于5路工业网络摄像机，原则上覆盖吊具俯视及对箱、集卡车道、船侧作业、陆侧作业、岸桥及作业区域全局视角。</w:t>
      </w:r>
    </w:p>
    <w:p w14:paraId="27B92B3C">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16.</w:t>
      </w:r>
      <w:r>
        <w:rPr>
          <w:rFonts w:hint="default" w:ascii="方正兰亭黑简体" w:hAnsi="方正兰亭黑简体" w:eastAsia="方正兰亭黑简体" w:cs="方正兰亭黑简体"/>
          <w:color w:val="auto"/>
          <w:sz w:val="22"/>
          <w:szCs w:val="28"/>
          <w:highlight w:val="none"/>
          <w:shd w:val="clear"/>
          <w:lang w:val="zh-CN"/>
        </w:rPr>
        <w:t>▲</w:t>
      </w:r>
      <w:r>
        <w:rPr>
          <w:rFonts w:hint="default" w:ascii="方正兰亭黑简体" w:hAnsi="方正兰亭黑简体" w:eastAsia="方正兰亭黑简体" w:cs="方正兰亭黑简体"/>
          <w:color w:val="auto"/>
          <w:sz w:val="22"/>
          <w:szCs w:val="28"/>
          <w:highlight w:val="none"/>
          <w:lang w:val="zh-CN"/>
        </w:rPr>
        <w:t>基本性能。摄像机有效分辨率不低于1920×1080，正常工作帧率不低于25fps，支持H.264、H.265编码和RTSP或ONVIF标准协议；应具备宽动态、背光补偿、低照度、自动曝光及自动白平衡功能。</w:t>
      </w:r>
    </w:p>
    <w:p w14:paraId="05BC615C">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17.</w:t>
      </w:r>
      <w:r>
        <w:rPr>
          <w:rFonts w:hint="default" w:ascii="方正兰亭黑简体" w:hAnsi="方正兰亭黑简体" w:eastAsia="方正兰亭黑简体" w:cs="方正兰亭黑简体"/>
          <w:color w:val="auto"/>
          <w:sz w:val="22"/>
          <w:szCs w:val="28"/>
          <w:highlight w:val="none"/>
          <w:lang w:val="zh-CN"/>
        </w:rPr>
        <w:t>环境适应性。摄像机安装支架和防护附件应满足现场振动、粉尘等环境要求。外露线缆应采用阻燃、耐候材料并进行防水、防松和机械防护。</w:t>
      </w:r>
    </w:p>
    <w:p w14:paraId="56E390E8">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18.</w:t>
      </w:r>
      <w:r>
        <w:rPr>
          <w:rFonts w:hint="default" w:ascii="方正兰亭黑简体" w:hAnsi="方正兰亭黑简体" w:eastAsia="方正兰亭黑简体" w:cs="方正兰亭黑简体"/>
          <w:color w:val="auto"/>
          <w:sz w:val="22"/>
          <w:szCs w:val="28"/>
          <w:highlight w:val="none"/>
          <w:lang w:val="zh-CN"/>
        </w:rPr>
        <w:t>视频切换联动。系统应能够根据大车、小车、起升、吊具开闭锁、着箱及集卡到位等状态，自动调用或突出显示相应视频画面，同时保留人工选屏、放大、切换和恢复功能。</w:t>
      </w:r>
    </w:p>
    <w:p w14:paraId="733AEB32">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19.</w:t>
      </w:r>
      <w:r>
        <w:rPr>
          <w:rFonts w:hint="default" w:ascii="方正兰亭黑简体" w:hAnsi="方正兰亭黑简体" w:eastAsia="方正兰亭黑简体" w:cs="方正兰亭黑简体"/>
          <w:color w:val="auto"/>
          <w:sz w:val="22"/>
          <w:szCs w:val="28"/>
          <w:highlight w:val="none"/>
          <w:lang w:val="zh-CN"/>
        </w:rPr>
        <w:t>视频延迟。在采购人指定的本地有线网络及正常负载条件下，实时视频端到端显示延迟宜不大于100ms。</w:t>
      </w:r>
    </w:p>
    <w:p w14:paraId="365DD1F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20.</w:t>
      </w:r>
      <w:r>
        <w:rPr>
          <w:rFonts w:hint="default" w:ascii="方正兰亭黑简体" w:hAnsi="方正兰亭黑简体" w:eastAsia="方正兰亭黑简体" w:cs="方正兰亭黑简体"/>
          <w:color w:val="auto"/>
          <w:sz w:val="22"/>
          <w:szCs w:val="28"/>
          <w:highlight w:val="none"/>
          <w:lang w:val="zh-CN"/>
        </w:rPr>
        <w:t>断线处理。摄像机断线、码流异常或画面冻结时，应在远控终端显示明确报警；网络恢复后应自动重新连接，不得因单路视频故障导致其他视频或PLC控制通信中断。</w:t>
      </w:r>
    </w:p>
    <w:p w14:paraId="32D9F56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21.</w:t>
      </w:r>
      <w:r>
        <w:rPr>
          <w:rFonts w:hint="default" w:ascii="方正兰亭黑简体" w:hAnsi="方正兰亭黑简体" w:eastAsia="方正兰亭黑简体" w:cs="方正兰亭黑简体"/>
          <w:color w:val="auto"/>
          <w:sz w:val="22"/>
          <w:szCs w:val="28"/>
          <w:highlight w:val="none"/>
          <w:lang w:val="zh-CN"/>
        </w:rPr>
        <w:t>★施工要求。安装不得破坏岸桥主体受力结构，不得擅自在主要承载构件上焊接或开孔。相机供电、网络、防雷、接地、线缆敷设及拖链或移动段处理方案须纳入深化设计。</w:t>
      </w:r>
    </w:p>
    <w:p w14:paraId="62EB0AEC">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22.</w:t>
      </w:r>
      <w:r>
        <w:rPr>
          <w:rFonts w:hint="default" w:ascii="方正兰亭黑简体" w:hAnsi="方正兰亭黑简体" w:eastAsia="方正兰亭黑简体" w:cs="方正兰亭黑简体"/>
          <w:color w:val="auto"/>
          <w:sz w:val="22"/>
          <w:szCs w:val="28"/>
          <w:highlight w:val="none"/>
          <w:lang w:val="zh-CN"/>
        </w:rPr>
        <w:t>系统定位。视觉识别系统用于远程操作教学辅助、风险提示和作业状态识别。除经安全风险分析、验证并由采购人书面确认的功能外，视觉识别结果不得替代急停、限位、安全继电器等硬件安全功能，不得直接作为机构自动运动的唯一控制依据。</w:t>
      </w:r>
    </w:p>
    <w:p w14:paraId="6E0EF572">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23.</w:t>
      </w:r>
      <w:r>
        <w:rPr>
          <w:rFonts w:hint="default" w:ascii="方正兰亭黑简体" w:hAnsi="方正兰亭黑简体" w:eastAsia="方正兰亭黑简体" w:cs="方正兰亭黑简体"/>
          <w:color w:val="auto"/>
          <w:sz w:val="22"/>
          <w:szCs w:val="28"/>
          <w:highlight w:val="none"/>
          <w:lang w:val="zh-CN"/>
        </w:rPr>
        <w:t>★吊具智能对焦与跟踪。系统应识别或接收吊具位置，根据吊具运动状态自动完成目标跟踪、焦距调整、清晰度保持和视图切换；吊具暂时被遮挡后，应能够自动恢复跟踪或提示人工接管。</w:t>
      </w:r>
    </w:p>
    <w:p w14:paraId="4EEAFDF7">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24.</w:t>
      </w:r>
      <w:r>
        <w:rPr>
          <w:rFonts w:hint="default" w:ascii="方正兰亭黑简体" w:hAnsi="方正兰亭黑简体" w:eastAsia="方正兰亭黑简体" w:cs="方正兰亭黑简体"/>
          <w:color w:val="auto"/>
          <w:sz w:val="22"/>
          <w:szCs w:val="28"/>
          <w:highlight w:val="none"/>
          <w:lang w:val="zh-CN"/>
        </w:rPr>
        <w:t>★人员闯入识别。应在采购人划定的危险区域内识别人员进入、停留和跨越行为，并通过画面框选、文字、声光或弹窗方式报警。危险区域应支持在画面中配置和保存。</w:t>
      </w:r>
    </w:p>
    <w:p w14:paraId="281DC7C5">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25.</w:t>
      </w:r>
      <w:r>
        <w:rPr>
          <w:rFonts w:hint="default" w:ascii="方正兰亭黑简体" w:hAnsi="方正兰亭黑简体" w:eastAsia="方正兰亭黑简体" w:cs="方正兰亭黑简体"/>
          <w:color w:val="auto"/>
          <w:sz w:val="22"/>
          <w:szCs w:val="28"/>
          <w:highlight w:val="none"/>
          <w:lang w:val="zh-CN"/>
        </w:rPr>
        <w:t>异物识别。应支持对作业区域内影响吊具、集装箱或集卡正常运行的典型异物进行识别。识别对象类别、最小目标尺寸、有效识别距离及适用光照条件应在深化设计阶段确定，不得以“其他异物”作为无限范围的识别责任。</w:t>
      </w:r>
    </w:p>
    <w:p w14:paraId="19859EA5">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26.</w:t>
      </w:r>
      <w:r>
        <w:rPr>
          <w:rFonts w:hint="default" w:ascii="方正兰亭黑简体" w:hAnsi="方正兰亭黑简体" w:eastAsia="方正兰亭黑简体" w:cs="方正兰亭黑简体"/>
          <w:color w:val="auto"/>
          <w:sz w:val="22"/>
          <w:szCs w:val="28"/>
          <w:highlight w:val="none"/>
          <w:lang w:val="zh-CN"/>
        </w:rPr>
        <w:t>★吊具与集装箱对位。系统应在吊具接近集装箱时识别吊具及集装箱轮廓、角点或中心位置，通过画面叠加方式显示横向、纵向及偏转方向的相对偏差，提供对位方向提示。</w:t>
      </w:r>
    </w:p>
    <w:p w14:paraId="3623DDC2">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27.</w:t>
      </w:r>
      <w:r>
        <w:rPr>
          <w:rFonts w:hint="default" w:ascii="方正兰亭黑简体" w:hAnsi="方正兰亭黑简体" w:eastAsia="方正兰亭黑简体" w:cs="方正兰亭黑简体"/>
          <w:color w:val="auto"/>
          <w:sz w:val="22"/>
          <w:szCs w:val="28"/>
          <w:highlight w:val="none"/>
          <w:lang w:val="zh-CN"/>
        </w:rPr>
        <w:t>集卡到位识别。系统应识别集卡进入指定车道、停车到位、驶离及异常停留状态，并将识别结果发送至远控终端；需要与PLC联动时，应通过规定的通信接口传输，经PLC联锁校验后使用。</w:t>
      </w:r>
    </w:p>
    <w:p w14:paraId="10D59FCD">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28.</w:t>
      </w:r>
      <w:r>
        <w:rPr>
          <w:rFonts w:hint="default" w:ascii="方正兰亭黑简体" w:hAnsi="方正兰亭黑简体" w:eastAsia="方正兰亭黑简体" w:cs="方正兰亭黑简体"/>
          <w:color w:val="auto"/>
          <w:sz w:val="22"/>
          <w:szCs w:val="28"/>
          <w:highlight w:val="none"/>
          <w:lang w:val="zh-CN"/>
        </w:rPr>
        <w:t>识别告警。识别事件应包含事件类型、相机编号、发生时间、置信度、报警区域、截图或短视频等信息；支持确认、误报标记、查询和导出。</w:t>
      </w:r>
    </w:p>
    <w:p w14:paraId="7B380EF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29.</w:t>
      </w:r>
      <w:r>
        <w:rPr>
          <w:rFonts w:hint="default" w:ascii="方正兰亭黑简体" w:hAnsi="方正兰亭黑简体" w:eastAsia="方正兰亭黑简体" w:cs="方正兰亭黑简体"/>
          <w:color w:val="auto"/>
          <w:sz w:val="22"/>
          <w:szCs w:val="28"/>
          <w:highlight w:val="none"/>
          <w:lang w:val="zh-CN"/>
        </w:rPr>
        <w:t>★性能指标。在采购人确认的有效识别区域、目标尺寸、相机视场、正常照明条件下：</w:t>
      </w:r>
    </w:p>
    <w:p w14:paraId="04E312F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（1）人员闯入事件检出率不低于99%；</w:t>
      </w:r>
    </w:p>
    <w:p w14:paraId="3DCE9CE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（2）集卡到位状态识别准确率不低于99%；</w:t>
      </w:r>
    </w:p>
    <w:p w14:paraId="0840A7D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（3）吊具与集装箱目标检出率不低于99%；</w:t>
      </w:r>
    </w:p>
    <w:p w14:paraId="038A5558">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（4）视觉事件从画面采集至远控终端显示结果的延迟不大于100ms。</w:t>
      </w:r>
    </w:p>
    <w:p w14:paraId="67205988">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30.</w:t>
      </w:r>
      <w:r>
        <w:rPr>
          <w:rFonts w:hint="default" w:ascii="方正兰亭黑简体" w:hAnsi="方正兰亭黑简体" w:eastAsia="方正兰亭黑简体" w:cs="方正兰亭黑简体"/>
          <w:color w:val="auto"/>
          <w:sz w:val="22"/>
          <w:szCs w:val="28"/>
          <w:highlight w:val="none"/>
          <w:lang w:val="zh-CN"/>
        </w:rPr>
        <w:t>★系统联调。中标人应完成远控模拟器、实训岸桥PLC、模式切换及互锁回路、安全联锁、工业以太网通信装置之间的系统联调。联调内容至少包括现场/远程模式切换、远程指令下发、状态反馈、限位及安全链联锁、急停、通信中断、重新连接、故障复位和异常恢复。</w:t>
      </w:r>
    </w:p>
    <w:p w14:paraId="20D35994">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31.</w:t>
      </w:r>
      <w:r>
        <w:rPr>
          <w:rFonts w:hint="default" w:ascii="方正兰亭黑简体" w:hAnsi="方正兰亭黑简体" w:eastAsia="方正兰亭黑简体" w:cs="方正兰亭黑简体"/>
          <w:color w:val="auto"/>
          <w:sz w:val="22"/>
          <w:szCs w:val="28"/>
          <w:highlight w:val="none"/>
          <w:lang w:val="zh-CN"/>
        </w:rPr>
        <w:t>★稳定性测试。系统联调完成后，应在远程模式和现场模式下开展累计不少于8小时的连续稳定性测试。测试期间不得出现无故通信中断、程序异常停止、指令残留、状态错乱、机构误动作或安全保护失效。测试过程中发生故障的，中标人应完成整改，并在整改后重新开展相关测试。</w:t>
      </w:r>
    </w:p>
    <w:p w14:paraId="604A9426">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32.</w:t>
      </w:r>
      <w:r>
        <w:rPr>
          <w:rFonts w:hint="default" w:ascii="方正兰亭黑简体" w:hAnsi="方正兰亭黑简体" w:eastAsia="方正兰亭黑简体" w:cs="方正兰亭黑简体"/>
          <w:color w:val="auto"/>
          <w:sz w:val="22"/>
          <w:szCs w:val="28"/>
          <w:highlight w:val="none"/>
          <w:lang w:val="zh-CN"/>
        </w:rPr>
        <w:t>★工业以太网通信模块。根据现有西门子S7系列PLC及远控系统的网络资源，增设工业级以太网通信模块或工业通信装置，提供不少于4个独立物理以太网接口，接口应分别满足PLC、远控模拟器、调试维护终端及预留系统接入需要。</w:t>
      </w:r>
    </w:p>
    <w:p w14:paraId="436DDB2E">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（四）技术资料交付要求</w:t>
      </w:r>
    </w:p>
    <w:p w14:paraId="4034944F">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1.</w:t>
      </w:r>
      <w:r>
        <w:rPr>
          <w:rFonts w:hint="default" w:ascii="方正兰亭黑简体" w:hAnsi="方正兰亭黑简体" w:eastAsia="方正兰亭黑简体" w:cs="方正兰亭黑简体"/>
          <w:color w:val="auto"/>
          <w:sz w:val="22"/>
          <w:szCs w:val="28"/>
          <w:highlight w:val="none"/>
          <w:lang w:val="zh-CN"/>
        </w:rPr>
        <w:t>★中标人须在交货验收时，向采购人交付以下完整技术资料：</w:t>
      </w:r>
    </w:p>
    <w:p w14:paraId="3C2A5FDC">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a)</w:t>
      </w:r>
      <w:r>
        <w:rPr>
          <w:rFonts w:hint="default" w:ascii="方正兰亭黑简体" w:hAnsi="方正兰亭黑简体" w:eastAsia="方正兰亭黑简体" w:cs="方正兰亭黑简体"/>
          <w:color w:val="auto"/>
          <w:sz w:val="22"/>
          <w:szCs w:val="28"/>
          <w:highlight w:val="none"/>
          <w:lang w:val="zh-CN"/>
        </w:rPr>
        <w:t>远控PLC完整可编辑程序源码、硬件组态、变量表、功能块说明及编译环境版本；</w:t>
      </w:r>
    </w:p>
    <w:p w14:paraId="7D0F0FAE">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b)</w:t>
      </w:r>
      <w:r>
        <w:rPr>
          <w:rFonts w:hint="default" w:ascii="方正兰亭黑简体" w:hAnsi="方正兰亭黑简体" w:eastAsia="方正兰亭黑简体" w:cs="方正兰亭黑简体"/>
          <w:color w:val="auto"/>
          <w:sz w:val="22"/>
          <w:szCs w:val="28"/>
          <w:highlight w:val="none"/>
          <w:lang w:val="zh-CN"/>
        </w:rPr>
        <w:t>远控感知识别程序源码、模型文件、配置文件、标注类别说明、接口文档及恢复安装包，确保采购人可独立编译构建；</w:t>
      </w:r>
    </w:p>
    <w:p w14:paraId="77BC53E8">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c)</w:t>
      </w:r>
      <w:r>
        <w:rPr>
          <w:rFonts w:hint="default" w:ascii="方正兰亭黑简体" w:hAnsi="方正兰亭黑简体" w:eastAsia="方正兰亭黑简体" w:cs="方正兰亭黑简体"/>
          <w:color w:val="auto"/>
          <w:sz w:val="22"/>
          <w:szCs w:val="28"/>
          <w:highlight w:val="none"/>
          <w:lang w:val="zh-CN"/>
        </w:rPr>
        <w:t>电气原理图、接线图、端子图、互锁逻辑图和网络拓扑图可编辑源文件及PDF文件；</w:t>
      </w:r>
    </w:p>
    <w:p w14:paraId="114B6B03">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d)</w:t>
      </w:r>
      <w:r>
        <w:rPr>
          <w:rFonts w:hint="default" w:ascii="方正兰亭黑简体" w:hAnsi="方正兰亭黑简体" w:eastAsia="方正兰亭黑简体" w:cs="方正兰亭黑简体"/>
          <w:color w:val="auto"/>
          <w:sz w:val="22"/>
          <w:szCs w:val="28"/>
          <w:highlight w:val="none"/>
          <w:lang w:val="zh-CN"/>
        </w:rPr>
        <w:t>通信协议、I/O点表、数据字典、报警表和接口测试工具；</w:t>
      </w:r>
    </w:p>
    <w:p w14:paraId="01AEA719">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e)</w:t>
      </w:r>
      <w:r>
        <w:rPr>
          <w:rFonts w:hint="default" w:ascii="方正兰亭黑简体" w:hAnsi="方正兰亭黑简体" w:eastAsia="方正兰亭黑简体" w:cs="方正兰亭黑简体"/>
          <w:color w:val="auto"/>
          <w:sz w:val="22"/>
          <w:szCs w:val="28"/>
          <w:highlight w:val="none"/>
          <w:lang w:val="zh-CN"/>
        </w:rPr>
        <w:t>视觉识别系统部署程序、模型文件、配置文件、标注类别说明、接口文档及恢复安装包；</w:t>
      </w:r>
    </w:p>
    <w:p w14:paraId="6FCB0E95">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f)</w:t>
      </w:r>
      <w:r>
        <w:rPr>
          <w:rFonts w:hint="default" w:ascii="方正兰亭黑简体" w:hAnsi="方正兰亭黑简体" w:eastAsia="方正兰亭黑简体" w:cs="方正兰亭黑简体"/>
          <w:color w:val="auto"/>
          <w:sz w:val="22"/>
          <w:szCs w:val="28"/>
          <w:highlight w:val="none"/>
          <w:lang w:val="zh-CN"/>
        </w:rPr>
        <w:t>摄像机点位图、IP地址表、账号权限表、标定参数和视频配置文件；</w:t>
      </w:r>
    </w:p>
    <w:p w14:paraId="742A7A07">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g)</w:t>
      </w:r>
      <w:r>
        <w:rPr>
          <w:rFonts w:hint="default" w:ascii="方正兰亭黑简体" w:hAnsi="方正兰亭黑简体" w:eastAsia="方正兰亭黑简体" w:cs="方正兰亭黑简体"/>
          <w:color w:val="auto"/>
          <w:sz w:val="22"/>
          <w:szCs w:val="28"/>
          <w:highlight w:val="none"/>
          <w:lang w:val="zh-CN"/>
        </w:rPr>
        <w:t>培训资料、操作手册和维护手册。</w:t>
      </w:r>
    </w:p>
    <w:p w14:paraId="5ACE88C1">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eastAsia="zh-CN"/>
        </w:rPr>
        <w:t>2.</w:t>
      </w:r>
      <w:r>
        <w:rPr>
          <w:rFonts w:hint="default" w:ascii="方正兰亭黑简体" w:hAnsi="方正兰亭黑简体" w:eastAsia="方正兰亭黑简体" w:cs="方正兰亭黑简体"/>
          <w:color w:val="auto"/>
          <w:sz w:val="22"/>
          <w:szCs w:val="28"/>
          <w:highlight w:val="none"/>
          <w:lang w:val="zh-CN"/>
        </w:rPr>
        <w:t>★使用、维护及二次开发权：</w:t>
      </w:r>
    </w:p>
    <w:p w14:paraId="7C671C6A">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zh-CN"/>
        </w:rPr>
      </w:pPr>
      <w:r>
        <w:rPr>
          <w:rFonts w:hint="default" w:ascii="方正兰亭黑简体" w:hAnsi="方正兰亭黑简体" w:eastAsia="方正兰亭黑简体" w:cs="方正兰亭黑简体"/>
          <w:color w:val="auto"/>
          <w:sz w:val="22"/>
          <w:szCs w:val="28"/>
          <w:highlight w:val="none"/>
          <w:lang w:val="zh-CN"/>
        </w:rPr>
        <w:t>本项目全部源文件、源码工程及技术资料的交付费用和授权费用均已包含在合同价款中。采购人对中标人交付的相关源码及相关技术资料，享有永久的、非排他的、无地域限制的使用、复制、备份、修改、调试、编译、构建、部署、维护、升级及内部二次开发权，并有权根据教学、科研、系统维护及功能升级需要，委托第三方开展维护和二次开发。</w:t>
      </w:r>
    </w:p>
    <w:p w14:paraId="52F9F96B">
      <w:pPr>
        <w:widowControl/>
        <w:shd w:val="clear" w:color="auto" w:fill="FFFFFF"/>
        <w:spacing w:line="360" w:lineRule="auto"/>
        <w:jc w:val="left"/>
        <w:rPr>
          <w:rFonts w:hint="eastAsia" w:ascii="方正兰亭黑简体" w:hAnsi="方正兰亭黑简体" w:eastAsia="方正兰亭黑简体" w:cs="方正兰亭黑简体"/>
          <w:b/>
          <w:bCs/>
          <w:color w:val="auto"/>
          <w:kern w:val="0"/>
          <w:sz w:val="22"/>
          <w:szCs w:val="22"/>
          <w:highlight w:val="none"/>
          <w:lang w:val="en-US" w:eastAsia="zh-CN"/>
        </w:rPr>
      </w:pPr>
    </w:p>
    <w:p w14:paraId="34E97200">
      <w:pPr>
        <w:widowControl/>
        <w:shd w:val="clear" w:color="auto" w:fill="FFFFFF"/>
        <w:spacing w:line="36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四</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1CDA4F36">
      <w:pPr>
        <w:ind w:left="0" w:leftChars="0" w:firstLine="0" w:firstLineChars="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1、</w:t>
      </w:r>
      <w:r>
        <w:rPr>
          <w:rFonts w:hint="eastAsia" w:ascii="方正兰亭黑简体" w:hAnsi="方正兰亭黑简体" w:eastAsia="方正兰亭黑简体" w:cs="方正兰亭黑简体"/>
          <w:color w:val="auto"/>
          <w:sz w:val="22"/>
          <w:szCs w:val="28"/>
          <w:highlight w:val="none"/>
          <w:lang w:val="zh-CN" w:eastAsia="zh-CN"/>
        </w:rPr>
        <w:t>包装和运输：产品包装应符合国家或专业（部）标准规定。供货时须提供配套的附件、使用说明书、合格证、维修维护指南或服务手册等技术资料文件。设备直接免费送至采购方指定地点。</w:t>
      </w:r>
    </w:p>
    <w:p w14:paraId="4790740A">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2、质保服务：</w:t>
      </w:r>
    </w:p>
    <w:p w14:paraId="05144E87">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zh-CN" w:eastAsia="zh-CN"/>
        </w:rPr>
        <w:t>①质保期内，提供软件免费升级服务。</w:t>
      </w:r>
    </w:p>
    <w:p w14:paraId="3AD689A9">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zh-CN" w:eastAsia="zh-CN"/>
        </w:rPr>
        <w:t>②质保期内出现的质量问题，须2小时内响应，12小时内派人到现场解决问题，48小时内解决问题；如在48小时之内仍不能排除故障的，应提供与原设备相同或不低于原设备档次的备用设备。故障排除后出具书面故障诊断报告备案。</w:t>
      </w:r>
    </w:p>
    <w:p w14:paraId="27935752">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3、履约验收：</w:t>
      </w:r>
    </w:p>
    <w:p w14:paraId="2ADB4A82">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zh-CN" w:eastAsia="zh-CN"/>
        </w:rPr>
        <w:t>①验收主体：上海海事大学；</w:t>
      </w:r>
    </w:p>
    <w:p w14:paraId="39C62143">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②</w:t>
      </w:r>
      <w:r>
        <w:rPr>
          <w:rFonts w:hint="eastAsia" w:ascii="方正兰亭黑简体" w:hAnsi="方正兰亭黑简体" w:eastAsia="方正兰亭黑简体" w:cs="方正兰亭黑简体"/>
          <w:color w:val="auto"/>
          <w:sz w:val="22"/>
          <w:szCs w:val="28"/>
          <w:highlight w:val="none"/>
          <w:lang w:val="zh-CN" w:eastAsia="zh-CN"/>
        </w:rPr>
        <w:t>验收时间：设备送达指定地点并安装调试完毕后；</w:t>
      </w:r>
    </w:p>
    <w:p w14:paraId="00F6DE7C">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③</w:t>
      </w:r>
      <w:r>
        <w:rPr>
          <w:rFonts w:hint="eastAsia" w:ascii="方正兰亭黑简体" w:hAnsi="方正兰亭黑简体" w:eastAsia="方正兰亭黑简体" w:cs="方正兰亭黑简体"/>
          <w:color w:val="auto"/>
          <w:sz w:val="22"/>
          <w:szCs w:val="28"/>
          <w:highlight w:val="none"/>
          <w:lang w:val="zh-CN" w:eastAsia="zh-CN"/>
        </w:rPr>
        <w:t>验收方式：现场功能测试验证；</w:t>
      </w:r>
    </w:p>
    <w:p w14:paraId="19C1F80B">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④</w:t>
      </w:r>
      <w:r>
        <w:rPr>
          <w:rFonts w:hint="eastAsia" w:ascii="方正兰亭黑简体" w:hAnsi="方正兰亭黑简体" w:eastAsia="方正兰亭黑简体" w:cs="方正兰亭黑简体"/>
          <w:color w:val="auto"/>
          <w:sz w:val="22"/>
          <w:szCs w:val="28"/>
          <w:highlight w:val="none"/>
          <w:lang w:val="zh-CN" w:eastAsia="zh-CN"/>
        </w:rPr>
        <w:t>验收内容：设备功能及相关文档资料；</w:t>
      </w:r>
    </w:p>
    <w:p w14:paraId="104324FB">
      <w:pPr>
        <w:ind w:left="0" w:leftChars="0" w:firstLine="0" w:firstLineChars="0"/>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⑤</w:t>
      </w:r>
      <w:r>
        <w:rPr>
          <w:rFonts w:hint="eastAsia" w:ascii="方正兰亭黑简体" w:hAnsi="方正兰亭黑简体" w:eastAsia="方正兰亭黑简体" w:cs="方正兰亭黑简体"/>
          <w:color w:val="auto"/>
          <w:sz w:val="22"/>
          <w:szCs w:val="28"/>
          <w:highlight w:val="none"/>
          <w:lang w:val="zh-CN" w:eastAsia="zh-CN"/>
        </w:rPr>
        <w:t>验收标准：按照采购需求中的技术参数进行验收。</w:t>
      </w:r>
    </w:p>
    <w:p w14:paraId="36227AD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7</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w:t>
            </w:r>
            <w:r>
              <w:rPr>
                <w:rFonts w:hint="eastAsia" w:ascii="方正兰亭黑简体" w:hAnsi="方正兰亭黑简体" w:eastAsia="方正兰亭黑简体" w:cs="方正兰亭黑简体"/>
                <w:color w:val="auto"/>
                <w:sz w:val="20"/>
                <w:szCs w:val="20"/>
                <w:highlight w:val="none"/>
                <w:lang w:val="en-US" w:eastAsia="zh-CN"/>
              </w:rPr>
              <w:t>一般条款</w:t>
            </w:r>
            <w:r>
              <w:rPr>
                <w:rFonts w:hint="eastAsia" w:ascii="方正兰亭黑简体" w:hAnsi="方正兰亭黑简体" w:eastAsia="方正兰亭黑简体" w:cs="方正兰亭黑简体"/>
                <w:color w:val="auto"/>
                <w:sz w:val="20"/>
                <w:szCs w:val="20"/>
                <w:highlight w:val="none"/>
              </w:rPr>
              <w:t>不满足的</w:t>
            </w:r>
            <w:r>
              <w:rPr>
                <w:rFonts w:hint="eastAsia" w:ascii="方正兰亭黑简体" w:hAnsi="方正兰亭黑简体" w:eastAsia="方正兰亭黑简体" w:cs="方正兰亭黑简体"/>
                <w:color w:val="auto"/>
                <w:sz w:val="20"/>
                <w:szCs w:val="20"/>
                <w:highlight w:val="none"/>
                <w:lang w:val="en-US" w:eastAsia="zh-CN"/>
              </w:rPr>
              <w:t>，每项扣1分；“</w:t>
            </w:r>
            <w:r>
              <w:rPr>
                <w:rFonts w:hint="default" w:ascii="方正兰亭黑简体" w:hAnsi="方正兰亭黑简体" w:eastAsia="方正兰亭黑简体" w:cs="方正兰亭黑简体"/>
                <w:color w:val="auto"/>
                <w:sz w:val="20"/>
                <w:szCs w:val="20"/>
                <w:highlight w:val="none"/>
                <w:lang w:val="zh-CN" w:eastAsia="zh-CN"/>
              </w:rPr>
              <w:t>▲</w:t>
            </w:r>
            <w:r>
              <w:rPr>
                <w:rFonts w:hint="eastAsia" w:ascii="方正兰亭黑简体" w:hAnsi="方正兰亭黑简体" w:eastAsia="方正兰亭黑简体" w:cs="方正兰亭黑简体"/>
                <w:color w:val="auto"/>
                <w:sz w:val="20"/>
                <w:szCs w:val="20"/>
                <w:highlight w:val="none"/>
                <w:lang w:val="en-US" w:eastAsia="zh-CN"/>
              </w:rPr>
              <w:t>”条款不满足的，没想扣3分，扣完为止。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项目编号：HFBX2026082</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1295B9-6AF8-4BB2-BCB5-0146952708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FF385AED-061B-4E13-BD7D-90648C6F85A3}"/>
  </w:font>
  <w:font w:name="华文楷体">
    <w:panose1 w:val="02010600040101010101"/>
    <w:charset w:val="86"/>
    <w:family w:val="auto"/>
    <w:pitch w:val="default"/>
    <w:sig w:usb0="A00002BF" w:usb1="78CF7CFB" w:usb2="00000016" w:usb3="00000000" w:csb0="6006009F" w:csb1="DFD70000"/>
    <w:embedRegular r:id="rId3" w:fontKey="{288C4012-8D1D-4A2A-91C7-52A8E6640E2F}"/>
  </w:font>
  <w:font w:name="方正仿宋_GB2312">
    <w:panose1 w:val="02000000000000000000"/>
    <w:charset w:val="86"/>
    <w:family w:val="auto"/>
    <w:pitch w:val="default"/>
    <w:sig w:usb0="A00002BF" w:usb1="184F6CFA" w:usb2="00000012" w:usb3="00000000" w:csb0="00040001" w:csb1="00000000"/>
    <w:embedRegular r:id="rId4" w:fontKey="{56ABD9D3-4CD9-44A0-B14C-6A7D3CA6C9D5}"/>
  </w:font>
  <w:font w:name="仿宋">
    <w:panose1 w:val="02010609060101010101"/>
    <w:charset w:val="86"/>
    <w:family w:val="modern"/>
    <w:pitch w:val="default"/>
    <w:sig w:usb0="800002BF" w:usb1="38CF7CFA" w:usb2="00000016" w:usb3="00000000" w:csb0="00040001" w:csb1="00000000"/>
    <w:embedRegular r:id="rId5" w:fontKey="{25B73BE1-5AD4-4B65-A0F8-E5DB7107B8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AAB1FDD"/>
    <w:rsid w:val="0B7B6E53"/>
    <w:rsid w:val="100D024F"/>
    <w:rsid w:val="146C6B60"/>
    <w:rsid w:val="15285D7F"/>
    <w:rsid w:val="157E6317"/>
    <w:rsid w:val="15D04D45"/>
    <w:rsid w:val="1B307278"/>
    <w:rsid w:val="1D2B42FB"/>
    <w:rsid w:val="1DF9272E"/>
    <w:rsid w:val="22AA0589"/>
    <w:rsid w:val="24050543"/>
    <w:rsid w:val="244605D8"/>
    <w:rsid w:val="26C52776"/>
    <w:rsid w:val="2DAA3F84"/>
    <w:rsid w:val="2E691D1D"/>
    <w:rsid w:val="2FB07FD7"/>
    <w:rsid w:val="319A22CD"/>
    <w:rsid w:val="3A774F92"/>
    <w:rsid w:val="3CFB52B6"/>
    <w:rsid w:val="3D6469F5"/>
    <w:rsid w:val="3DBA1AA2"/>
    <w:rsid w:val="3E5C4869"/>
    <w:rsid w:val="3FCC680A"/>
    <w:rsid w:val="41007DAA"/>
    <w:rsid w:val="42343FF0"/>
    <w:rsid w:val="45DB0FAA"/>
    <w:rsid w:val="480A63EB"/>
    <w:rsid w:val="4A2362AE"/>
    <w:rsid w:val="4AFC4A60"/>
    <w:rsid w:val="4CC21E26"/>
    <w:rsid w:val="4EFD134C"/>
    <w:rsid w:val="55CF5109"/>
    <w:rsid w:val="55ED3C3E"/>
    <w:rsid w:val="57117CB6"/>
    <w:rsid w:val="573107A3"/>
    <w:rsid w:val="5AEA704B"/>
    <w:rsid w:val="5CB31D19"/>
    <w:rsid w:val="5D66061F"/>
    <w:rsid w:val="5E8720EC"/>
    <w:rsid w:val="5EE9209B"/>
    <w:rsid w:val="62DD78C6"/>
    <w:rsid w:val="63DF4A20"/>
    <w:rsid w:val="684F045C"/>
    <w:rsid w:val="699E1F48"/>
    <w:rsid w:val="6C3138A4"/>
    <w:rsid w:val="6E3767B2"/>
    <w:rsid w:val="6FC06751"/>
    <w:rsid w:val="73793F12"/>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paragraph" w:customStyle="1" w:styleId="20">
    <w:name w:val="列表段落1"/>
    <w:basedOn w:val="1"/>
    <w:qFormat/>
    <w:uiPriority w:val="0"/>
    <w:pPr>
      <w:ind w:firstLine="420" w:firstLineChars="200"/>
    </w:p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 w:type="paragraph" w:customStyle="1" w:styleId="25">
    <w:name w:val="0正文"/>
    <w:qFormat/>
    <w:uiPriority w:val="0"/>
    <w:pPr>
      <w:spacing w:line="360" w:lineRule="exact"/>
      <w:ind w:firstLine="200" w:firstLineChars="200"/>
      <w:jc w:val="both"/>
    </w:pPr>
    <w:rPr>
      <w:rFonts w:ascii="Calibri" w:hAnsi="Calibri"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0337915d-83b2-4123-9977-4be07fae0d4b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fb0c09e9-4c52-41ef-ac54-9082a0f5c706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39759c10-2452-449b-aa21-e81830ebe67b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ec98493a-21a1-4e33-8bd5-2309bba44349</errorID>
      <errorWord>:</errorWord>
      <group>L1_Format</group>
      <groupName>格式问题</groupName>
      <ability>L2_HalfPunc_CN</ability>
      <abilityName>全半角问题</abilityName>
      <candidateList>
        <item>：</item>
      </candidateList>
      <explain>文本全半角错误。</explain>
      <paraID>5A9E81A4</paraID>
      <start>4</start>
      <end>5</end>
      <status>unmodified</status>
      <modifiedWord/>
      <trackRevisions>false</trackRevisions>
    </reviewItem>
    <reviewItem>
      <errorID>ba7492ae-7ed1-46f3-89d1-087fa6240b54</errorID>
      <errorWord>、等</errorWord>
      <group>L1_Punc</group>
      <groupName>标点问题</groupName>
      <ability>L2_Punc_CN</ability>
      <abilityName>标点符号问题</abilityName>
      <candidateList>
        <item>等</item>
      </candidateList>
      <explain>“及”“和”“等”连词前不宜使用顿号，建议删除（或使用逗号）。</explain>
      <paraID>6E82C362</paraID>
      <start>30</start>
      <end>32</end>
      <status>unmodified</status>
      <modifiedWord/>
      <trackRevisions>false</trackRevisions>
    </reviewItem>
    <reviewItem>
      <errorID>63171926-968f-4685-aa04-a117b8401663</errorID>
      <errorWord>、等</errorWord>
      <group>L1_Punc</group>
      <groupName>标点问题</groupName>
      <ability>L2_Punc_CN</ability>
      <abilityName>标点符号问题</abilityName>
      <candidateList>
        <item>等</item>
      </candidateList>
      <explain>“及”“和”“等”连词前不宜使用顿号，建议删除（或使用逗号）。</explain>
      <paraID>6E82C362</paraID>
      <start>40</start>
      <end>42</end>
      <status>unmodified</status>
      <modifiedWord/>
      <trackRevisions>false</trackRevisions>
    </reviewItem>
    <reviewItem>
      <errorID>cf0cbac8-c559-4e99-bde5-3e76b349b30a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38300D2D</paraID>
      <start>0</start>
      <end>2</end>
      <status>unmodified</status>
      <modifiedWord/>
      <trackRevisions>false</trackRevisions>
    </reviewItem>
    <reviewItem>
      <errorID>ddf564e0-902d-4673-bbee-b859232c7886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79ab9c73-4edb-4361-a0af-bffda118f982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eb9bf6a9-317a-4a6a-b61c-0dea81f3255d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f4210605-a880-4a21-af5c-61ae538e157f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b2a0195a-538b-4583-82ff-051d1abb0bf6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6f753d4a-24b0-415a-b782-c6763b545ba6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b5d9829f-ef62-437d-8ed3-cab57a56c8f1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b8bdb2d4-dcc2-4f5c-99b4-74f4a047cf98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93aec029-02d8-486d-8812-439f91b15c7d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d0b713-3c79-4a80-bc3f-949e6e8be625}">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9451</Words>
  <Characters>9819</Characters>
  <Lines>0</Lines>
  <Paragraphs>0</Paragraphs>
  <TotalTime>0</TotalTime>
  <ScaleCrop>false</ScaleCrop>
  <LinksUpToDate>false</LinksUpToDate>
  <CharactersWithSpaces>9822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2026-09-22T00:45:16Z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