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上海海事大学港湾校区</w:t>
      </w:r>
    </w:p>
    <w:p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上网行为管理设备租赁服务</w:t>
      </w:r>
    </w:p>
    <w:p>
      <w:pPr>
        <w:pStyle w:val="3"/>
        <w:numPr>
          <w:ilvl w:val="0"/>
          <w:numId w:val="1"/>
        </w:numPr>
        <w:spacing w:before="260" w:beforeAutospacing="0" w:after="260" w:afterAutospacing="0" w:line="416" w:lineRule="auto"/>
      </w:pPr>
      <w:bookmarkStart w:id="0" w:name="_Toc153907545"/>
      <w:bookmarkStart w:id="1" w:name="_Toc477780937"/>
      <w:bookmarkStart w:id="2" w:name="_Toc477281189"/>
      <w:r>
        <w:rPr>
          <w:rFonts w:hint="eastAsia"/>
        </w:rPr>
        <w:t>服务背景</w:t>
      </w:r>
      <w:bookmarkEnd w:id="0"/>
      <w:bookmarkEnd w:id="1"/>
      <w:bookmarkEnd w:id="2"/>
    </w:p>
    <w:p>
      <w:pPr>
        <w:spacing w:after="156" w:afterLines="50"/>
        <w:ind w:firstLine="567"/>
        <w:rPr>
          <w:rFonts w:hint="eastAsia"/>
        </w:rPr>
      </w:pPr>
      <w:r>
        <w:rPr>
          <w:rFonts w:hint="eastAsia"/>
        </w:rPr>
        <w:t>上海海事大学港湾校区，上网行为管理设备于2</w:t>
      </w:r>
      <w:r>
        <w:t>014</w:t>
      </w:r>
      <w:r>
        <w:rPr>
          <w:rFonts w:hint="eastAsia"/>
        </w:rPr>
        <w:t>年采购，使用到现在已经1</w:t>
      </w:r>
      <w:r>
        <w:t>0</w:t>
      </w:r>
      <w:r>
        <w:rPr>
          <w:rFonts w:hint="eastAsia"/>
        </w:rPr>
        <w:t>年。2</w:t>
      </w:r>
      <w:r>
        <w:t>014</w:t>
      </w:r>
      <w:r>
        <w:rPr>
          <w:rFonts w:hint="eastAsia"/>
        </w:rPr>
        <w:t>年采购时设备时，学校的出口带宽是1</w:t>
      </w:r>
      <w:r>
        <w:t>00</w:t>
      </w:r>
      <w:r>
        <w:rPr>
          <w:rFonts w:hint="eastAsia"/>
        </w:rPr>
        <w:t>M左右，设备的性能是5</w:t>
      </w:r>
      <w:r>
        <w:t>00</w:t>
      </w:r>
      <w:r>
        <w:rPr>
          <w:rFonts w:hint="eastAsia"/>
        </w:rPr>
        <w:t>M，随着信息化的发展，学校目前的带宽已经超过1GB，原有的设备已经性能已经成为网络的瓶颈，急需升级。</w:t>
      </w:r>
    </w:p>
    <w:p>
      <w:pPr>
        <w:pStyle w:val="3"/>
        <w:numPr>
          <w:ilvl w:val="0"/>
          <w:numId w:val="1"/>
        </w:numPr>
        <w:spacing w:before="260" w:beforeAutospacing="0" w:after="260" w:afterAutospacing="0" w:line="416" w:lineRule="auto"/>
        <w:rPr>
          <w:rFonts w:hint="eastAsia"/>
        </w:rPr>
      </w:pPr>
      <w:r>
        <w:rPr>
          <w:rFonts w:hint="eastAsia"/>
        </w:rPr>
        <w:t>服务技术要求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7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shd w:val="clear" w:color="auto" w:fill="BEBEBE" w:themeFill="background1" w:themeFillShade="BF"/>
          </w:tcPr>
          <w:p>
            <w:pPr>
              <w:jc w:val="center"/>
            </w:pPr>
            <w:r>
              <w:rPr>
                <w:rFonts w:hint="eastAsia"/>
              </w:rPr>
              <w:t>功能项</w:t>
            </w:r>
          </w:p>
        </w:tc>
        <w:tc>
          <w:tcPr>
            <w:tcW w:w="7386" w:type="dxa"/>
            <w:shd w:val="clear" w:color="auto" w:fill="BEBEBE" w:themeFill="background1" w:themeFillShade="BF"/>
          </w:tcPr>
          <w:p>
            <w:pPr>
              <w:jc w:val="center"/>
            </w:pPr>
            <w:r>
              <w:rPr>
                <w:rFonts w:hint="eastAsia"/>
              </w:rPr>
              <w:t>功能要求说明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</w:tcPr>
          <w:p>
            <w:r>
              <w:rPr>
                <w:rFonts w:hint="eastAsia"/>
              </w:rPr>
              <w:t>硬件要求</w:t>
            </w:r>
          </w:p>
        </w:tc>
        <w:tc>
          <w:tcPr>
            <w:tcW w:w="7386" w:type="dxa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规格≥2U；内存大小≥8G；硬盘容量≥128G SSD+960G SSD；电源:双电源;接口：千兆电口≥6、万兆光口SFP+≥4;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</w:tcPr>
          <w:p>
            <w:r>
              <w:rPr>
                <w:rFonts w:hint="eastAsia"/>
              </w:rPr>
              <w:t>性能要求</w:t>
            </w:r>
          </w:p>
        </w:tc>
        <w:tc>
          <w:tcPr>
            <w:tcW w:w="7386" w:type="dxa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网络层吞吐量（大包）≥12Gb；应用层吞吐量≥2.7Gb；带宽性能≥3Gbps；支持用户数≥10000；包转发率≥224Kpps；每秒新建连接数≥20000；最大并发连接数≥800000；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实时监控</w:t>
            </w:r>
          </w:p>
        </w:tc>
        <w:tc>
          <w:tcPr>
            <w:tcW w:w="738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支持首页分析显示接入用户人数、终端类型；带宽质量分析、实时流量排名；资产类型分布、新设备发现趋势、终端违规检查项排行、终端违规用户排行；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排障工具</w:t>
            </w:r>
          </w:p>
        </w:tc>
        <w:tc>
          <w:tcPr>
            <w:tcW w:w="738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▲支持PPS异常、丢包异常、ARP异常、内网DOS攻击等异常情况实时监测，显示每日异常事件个数及情况；（提供产品界面截图）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</w:pPr>
          </w:p>
        </w:tc>
        <w:tc>
          <w:tcPr>
            <w:tcW w:w="738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支持针对上网权限策略进行检测分析，查看各个应用是否匹配相关策略；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</w:pPr>
          </w:p>
        </w:tc>
        <w:tc>
          <w:tcPr>
            <w:tcW w:w="738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支持针对用户认证的故障进行分析，给出错误详情以及排查建议；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</w:pPr>
          </w:p>
        </w:tc>
        <w:tc>
          <w:tcPr>
            <w:tcW w:w="7386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支持客户端解密排障，自动检测解密审计不成功原因；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针对内网用户的web访问质量进行检测，对整体网络提供清晰的整体网络质量评级；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认证方式</w:t>
            </w:r>
          </w:p>
        </w:tc>
        <w:tc>
          <w:tcPr>
            <w:tcW w:w="73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支持终端用户账号绑定手机号码和微信号，绑定后可以通过手机验证码和微信扫码实现上网快捷登录认证。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3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支持通过OAuth认证协议对接，支持阿里钉钉，口袋助理，企业微信第三方账号授权认证；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3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支持提供二维码和会议号，用户扫码或输入会议号认证上网；支持通过验证手机号码实名认证；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终端管理</w:t>
            </w:r>
          </w:p>
        </w:tc>
        <w:tc>
          <w:tcPr>
            <w:tcW w:w="73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▲对网络接入的终端进行可视化管理，展示终端详细信息、合规状态等，支持查看终端类型，以及终端详细信息（厂商，系统，端口等）；（提供产品界面截图）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3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▲支持windows终端安全检查，包括：操作系统规则、进程规则、文件规则、注册表规则、补丁检测规则，对不满足检查要求的终端可弹窗提示、禁止上网；（提供产品界面截图）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3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支持windows终端调用管理员指定脚本/程序以满足个性化检查要求，对不满足检查要求的终端可弹窗提示、禁止上网；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3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支持图形化查看当前内网IP使用情况，帮助管理员减少人工维护IP表的工作量；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应用管理</w:t>
            </w:r>
          </w:p>
        </w:tc>
        <w:tc>
          <w:tcPr>
            <w:tcW w:w="73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支持QQ白名单功能，仅允许使用列表中的QQ号，支持PC和移动QQ应用；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邮件管理</w:t>
            </w:r>
          </w:p>
        </w:tc>
        <w:tc>
          <w:tcPr>
            <w:tcW w:w="73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支持允许用户登录Webmail收邮件，而禁止发送Webmail邮件的功能；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3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支持对加密HTTPS、SMTP-SSL、SMTP的邮件进行识别；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流量管理</w:t>
            </w:r>
          </w:p>
        </w:tc>
        <w:tc>
          <w:tcPr>
            <w:tcW w:w="7386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支持在设置流量策略后，根据整体线路或者某流量通道内的空闲情况，自动启用和停止使用流量控制策略，以提升带宽的高使用率；空闲值可自定义；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386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支持通过抑制P2P的下行丢包，来减缓P2P的下行流量，从而解决网络出口在做流控后仍然压力较大的问题；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审计功能</w:t>
            </w:r>
          </w:p>
        </w:tc>
        <w:tc>
          <w:tcPr>
            <w:tcW w:w="73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▲审计SSL网页时，支持加密证书重定向分发功能；（提供产品界面截图）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3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支持网盘/笔记类应用访问内容和外发文件审计；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1136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联动需求</w:t>
            </w:r>
          </w:p>
        </w:tc>
        <w:tc>
          <w:tcPr>
            <w:tcW w:w="7386" w:type="dxa"/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▲能够与学校现有的深信服安全态势感知系统联动，实现同步用户认证信息，弹窗提醒和冻结账号的功能（提供产品界面截图）。</w:t>
            </w:r>
          </w:p>
          <w:p>
            <w:pPr>
              <w:widowControl/>
              <w:spacing w:line="240" w:lineRule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▲能够与学校现有的深信服杀毒系统联动，会进行相关病毒查杀、会有相关微隔离的操作，针对存在安全风险的终端用户，联动EDR进行查杀（提供产品界面截图）。</w:t>
            </w:r>
          </w:p>
        </w:tc>
      </w:tr>
    </w:tbl>
    <w:p>
      <w:pPr>
        <w:widowControl/>
        <w:spacing w:line="240" w:lineRule="auto"/>
        <w:jc w:val="left"/>
        <w:rPr>
          <w:rFonts w:hint="eastAsia"/>
        </w:rPr>
      </w:pPr>
    </w:p>
    <w:p>
      <w:pPr>
        <w:pStyle w:val="3"/>
        <w:numPr>
          <w:ilvl w:val="0"/>
          <w:numId w:val="1"/>
        </w:numPr>
        <w:spacing w:before="260" w:beforeAutospacing="0" w:after="260" w:afterAutospacing="0" w:line="416" w:lineRule="auto"/>
      </w:pPr>
      <w:bookmarkStart w:id="3" w:name="_Toc477780939"/>
      <w:r>
        <w:rPr>
          <w:rFonts w:hint="eastAsia"/>
        </w:rPr>
        <w:t>现场测试</w:t>
      </w:r>
    </w:p>
    <w:p>
      <w:pPr>
        <w:ind w:firstLine="567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报价截止后，校方将组织报价单位</w:t>
      </w:r>
      <w:r>
        <w:rPr>
          <w:rFonts w:hint="eastAsia"/>
        </w:rPr>
        <w:t>进行现场测试，</w:t>
      </w:r>
      <w:r>
        <w:rPr>
          <w:rFonts w:hint="eastAsia"/>
          <w:lang w:val="en-US" w:eastAsia="zh-CN"/>
        </w:rPr>
        <w:t>时间另行通知。</w:t>
      </w:r>
    </w:p>
    <w:p>
      <w:pPr>
        <w:ind w:firstLine="567"/>
      </w:pPr>
      <w:r>
        <w:rPr>
          <w:rFonts w:hint="eastAsia"/>
        </w:rPr>
        <w:t>测试联系人：张老师，</w:t>
      </w:r>
      <w:r>
        <w:t>158 2103 9200‬</w:t>
      </w:r>
      <w:r>
        <w:rPr>
          <w:rFonts w:hint="eastAsia"/>
        </w:rPr>
        <w:t>；测试通过，提供“现场测试报告”，如下：</w:t>
      </w:r>
      <w:bookmarkStart w:id="4" w:name="_Toc85618463"/>
      <w:bookmarkStart w:id="5" w:name="_Toc82182348"/>
    </w:p>
    <w:p>
      <w:pPr>
        <w:widowControl/>
        <w:spacing w:line="240" w:lineRule="auto"/>
        <w:jc w:val="left"/>
        <w:rPr>
          <w:rFonts w:hint="eastAsia"/>
        </w:rPr>
      </w:pPr>
      <w:r>
        <w:br w:type="page"/>
      </w:r>
    </w:p>
    <w:tbl>
      <w:tblPr>
        <w:tblStyle w:val="7"/>
        <w:tblpPr w:leftFromText="180" w:rightFromText="180" w:vertAnchor="text" w:tblpX="-459" w:tblpY="1"/>
        <w:tblOverlap w:val="never"/>
        <w:tblW w:w="563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6134"/>
        <w:gridCol w:w="314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>
            <w:pPr>
              <w:jc w:val="center"/>
              <w:rPr>
                <w:b/>
                <w:sz w:val="36"/>
              </w:rPr>
            </w:pPr>
            <w:r>
              <w:rPr>
                <w:rFonts w:hint="eastAsia"/>
                <w:b/>
                <w:sz w:val="36"/>
              </w:rPr>
              <w:t>上网行为管理设备租赁服务现场测试报告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156" w:type="pct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测试单位</w:t>
            </w:r>
          </w:p>
        </w:tc>
        <w:tc>
          <w:tcPr>
            <w:tcW w:w="1844" w:type="pct"/>
            <w:gridSpan w:val="2"/>
            <w:shd w:val="clear" w:color="auto" w:fill="FFFFFF" w:themeFill="background1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3156" w:type="pct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测试地点</w:t>
            </w:r>
          </w:p>
        </w:tc>
        <w:tc>
          <w:tcPr>
            <w:tcW w:w="1844" w:type="pct"/>
            <w:gridSpan w:val="2"/>
            <w:shd w:val="clear" w:color="auto" w:fill="FFFFFF" w:themeFill="background1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3156" w:type="pct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测试时间</w:t>
            </w:r>
          </w:p>
        </w:tc>
        <w:tc>
          <w:tcPr>
            <w:tcW w:w="1844" w:type="pct"/>
            <w:gridSpan w:val="2"/>
            <w:shd w:val="clear" w:color="auto" w:fill="FFFFFF" w:themeFill="background1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25" w:type="pct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731" w:type="pct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测试详细功能</w:t>
            </w:r>
          </w:p>
        </w:tc>
        <w:tc>
          <w:tcPr>
            <w:tcW w:w="1402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测试结果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25" w:type="pct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731" w:type="pct"/>
            <w:shd w:val="clear" w:color="auto" w:fill="FFFFFF" w:themeFill="background1"/>
            <w:vAlign w:val="center"/>
          </w:tcPr>
          <w:p>
            <w:pPr>
              <w:widowControl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▲支持PPS异常、丢包异常、ARP异常、内网DOS攻击等异常情况实时监测，显示每日异常事件个数及情况</w:t>
            </w:r>
          </w:p>
        </w:tc>
        <w:tc>
          <w:tcPr>
            <w:tcW w:w="1402" w:type="pct"/>
            <w:shd w:val="clear" w:color="auto" w:fill="FFFFFF" w:themeFill="background1"/>
            <w:vAlign w:val="center"/>
          </w:tcPr>
          <w:p>
            <w:pPr>
              <w:ind w:left="178" w:leftChars="85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drawing>
                <wp:inline distT="0" distB="0" distL="0" distR="0">
                  <wp:extent cx="139700" cy="114300"/>
                  <wp:effectExtent l="0" t="0" r="0" b="0"/>
                  <wp:docPr id="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 xml:space="preserve"> 通过 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 xml:space="preserve">  </w:t>
            </w:r>
            <w:r>
              <w:drawing>
                <wp:inline distT="0" distB="0" distL="0" distR="0">
                  <wp:extent cx="139700" cy="114300"/>
                  <wp:effectExtent l="0" t="0" r="0" b="0"/>
                  <wp:docPr id="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不通过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731" w:type="pct"/>
            <w:shd w:val="clear" w:color="auto" w:fill="auto"/>
            <w:vAlign w:val="center"/>
          </w:tcPr>
          <w:p>
            <w:pPr>
              <w:widowControl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▲对网络接入的终端进行可视化管理，展示终端详细信息、合规状态等，支持查看终端类型，以及终端详细信息（厂商，系统，端口等）</w:t>
            </w:r>
          </w:p>
        </w:tc>
        <w:tc>
          <w:tcPr>
            <w:tcW w:w="1402" w:type="pct"/>
            <w:shd w:val="clear" w:color="auto" w:fill="auto"/>
            <w:vAlign w:val="center"/>
          </w:tcPr>
          <w:p>
            <w:pPr>
              <w:widowControl/>
              <w:ind w:left="178" w:leftChars="85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drawing>
                <wp:inline distT="0" distB="0" distL="0" distR="0">
                  <wp:extent cx="139700" cy="1143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 xml:space="preserve"> 通过 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 xml:space="preserve">  </w:t>
            </w:r>
            <w:r>
              <w:drawing>
                <wp:inline distT="0" distB="0" distL="0" distR="0">
                  <wp:extent cx="139700" cy="114300"/>
                  <wp:effectExtent l="0" t="0" r="0" b="0"/>
                  <wp:docPr id="1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不通过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731" w:type="pct"/>
            <w:shd w:val="clear" w:color="auto" w:fill="auto"/>
            <w:vAlign w:val="center"/>
          </w:tcPr>
          <w:p>
            <w:pPr>
              <w:widowControl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▲支持windows终端安全检查，包括：操作系统规则、进程规则、文件规则、注册表规则、补丁检测规则，对不满足检查要求的终端可弹窗提示、禁止上网</w:t>
            </w:r>
          </w:p>
        </w:tc>
        <w:tc>
          <w:tcPr>
            <w:tcW w:w="1402" w:type="pct"/>
            <w:shd w:val="clear" w:color="auto" w:fill="auto"/>
            <w:vAlign w:val="center"/>
          </w:tcPr>
          <w:p>
            <w:pPr>
              <w:ind w:left="178" w:leftChars="85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drawing>
                <wp:inline distT="0" distB="0" distL="0" distR="0">
                  <wp:extent cx="139700" cy="114300"/>
                  <wp:effectExtent l="0" t="0" r="0" b="0"/>
                  <wp:docPr id="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 xml:space="preserve"> 通过 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 xml:space="preserve">  </w:t>
            </w:r>
            <w:r>
              <w:drawing>
                <wp:inline distT="0" distB="0" distL="0" distR="0">
                  <wp:extent cx="139700" cy="114300"/>
                  <wp:effectExtent l="0" t="0" r="0" b="0"/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不通过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731" w:type="pct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▲审计SSL网页时，支持加密证书重定向分发功能</w:t>
            </w:r>
          </w:p>
        </w:tc>
        <w:tc>
          <w:tcPr>
            <w:tcW w:w="1402" w:type="pct"/>
            <w:shd w:val="clear" w:color="auto" w:fill="auto"/>
            <w:vAlign w:val="center"/>
          </w:tcPr>
          <w:p>
            <w:pPr>
              <w:ind w:left="178" w:leftChars="85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drawing>
                <wp:inline distT="0" distB="0" distL="0" distR="0">
                  <wp:extent cx="139700" cy="114300"/>
                  <wp:effectExtent l="0" t="0" r="0" b="0"/>
                  <wp:docPr id="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 xml:space="preserve"> 通过 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 xml:space="preserve">  </w:t>
            </w:r>
            <w:r>
              <w:drawing>
                <wp:inline distT="0" distB="0" distL="0" distR="0">
                  <wp:extent cx="139700" cy="114300"/>
                  <wp:effectExtent l="0" t="0" r="0" b="0"/>
                  <wp:docPr id="1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不通过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731" w:type="pct"/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▲能够与学校现有的深信服安全态势感知系统联动，实现同步用户认证信息，弹窗提醒和冻结账号的功能</w:t>
            </w:r>
          </w:p>
        </w:tc>
        <w:tc>
          <w:tcPr>
            <w:tcW w:w="1402" w:type="pct"/>
            <w:shd w:val="clear" w:color="auto" w:fill="auto"/>
            <w:vAlign w:val="center"/>
          </w:tcPr>
          <w:p>
            <w:pPr>
              <w:widowControl/>
              <w:ind w:left="178" w:leftChars="85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drawing>
                <wp:inline distT="0" distB="0" distL="0" distR="0">
                  <wp:extent cx="139700" cy="114300"/>
                  <wp:effectExtent l="0" t="0" r="0" b="0"/>
                  <wp:docPr id="3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 xml:space="preserve"> 通过 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 xml:space="preserve">  </w:t>
            </w:r>
            <w:r>
              <w:drawing>
                <wp:inline distT="0" distB="0" distL="0" distR="0">
                  <wp:extent cx="139700" cy="114300"/>
                  <wp:effectExtent l="0" t="0" r="0" b="0"/>
                  <wp:docPr id="3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不通过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731" w:type="pct"/>
            <w:shd w:val="clear" w:color="auto" w:fill="auto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▲能够与学校现有的深信服杀毒系统联动，会进行相关病毒查杀、会有相关微隔离的操作，针对存在安全风险的终端用户，联动EDR进行查杀</w:t>
            </w:r>
          </w:p>
        </w:tc>
        <w:tc>
          <w:tcPr>
            <w:tcW w:w="1402" w:type="pct"/>
            <w:shd w:val="clear" w:color="auto" w:fill="auto"/>
            <w:vAlign w:val="center"/>
          </w:tcPr>
          <w:p>
            <w:pPr>
              <w:widowControl/>
              <w:ind w:left="178" w:leftChars="85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drawing>
                <wp:inline distT="0" distB="0" distL="0" distR="0">
                  <wp:extent cx="139700" cy="114300"/>
                  <wp:effectExtent l="0" t="0" r="0" b="0"/>
                  <wp:docPr id="3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 xml:space="preserve"> 通过 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 xml:space="preserve"> </w:t>
            </w:r>
            <w:r>
              <w:drawing>
                <wp:inline distT="0" distB="0" distL="0" distR="0">
                  <wp:extent cx="139700" cy="114300"/>
                  <wp:effectExtent l="0" t="0" r="0" b="0"/>
                  <wp:docPr id="3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不通过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000" w:type="pct"/>
            <w:gridSpan w:val="4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测试结论：</w:t>
            </w:r>
          </w:p>
          <w:p>
            <w:pPr>
              <w:widowControl/>
              <w:spacing w:before="156" w:beforeLines="50" w:after="156" w:afterLines="50"/>
              <w:ind w:firstLine="525" w:firstLineChars="250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drawing>
                <wp:inline distT="0" distB="0" distL="0" distR="0">
                  <wp:extent cx="139700" cy="114300"/>
                  <wp:effectExtent l="0" t="0" r="0" b="0"/>
                  <wp:docPr id="104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 xml:space="preserve"> 现场测试通过 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 xml:space="preserve">   </w:t>
            </w:r>
            <w:r>
              <w:drawing>
                <wp:inline distT="0" distB="0" distL="0" distR="0">
                  <wp:extent cx="139700" cy="114300"/>
                  <wp:effectExtent l="0" t="0" r="0" b="0"/>
                  <wp:docPr id="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现场测试不通过</w:t>
            </w:r>
          </w:p>
          <w:p>
            <w:pPr>
              <w:widowControl/>
              <w:spacing w:before="156" w:beforeLines="50" w:after="156" w:afterLines="50"/>
              <w:ind w:left="3284" w:leftChars="1564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校方负责代表签字：</w:t>
            </w:r>
          </w:p>
          <w:p>
            <w:pPr>
              <w:widowControl/>
              <w:spacing w:before="156" w:beforeLines="50" w:after="156" w:afterLines="50"/>
              <w:ind w:left="3284" w:leftChars="1564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 xml:space="preserve">日 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 xml:space="preserve">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期：</w:t>
            </w:r>
          </w:p>
        </w:tc>
      </w:tr>
      <w:bookmarkEnd w:id="4"/>
      <w:bookmarkEnd w:id="5"/>
    </w:tbl>
    <w:p>
      <w:pPr>
        <w:ind w:left="-141" w:leftChars="-67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★投标文件必须包含《上网行为管理设备租赁服务现场测试报告》，校方代表签字生效，未提供废标处理；</w:t>
      </w:r>
    </w:p>
    <w:p>
      <w:pPr>
        <w:pStyle w:val="3"/>
        <w:numPr>
          <w:ilvl w:val="0"/>
          <w:numId w:val="1"/>
        </w:numPr>
        <w:spacing w:before="260" w:beforeAutospacing="0" w:after="260" w:afterAutospacing="0" w:line="416" w:lineRule="auto"/>
      </w:pPr>
      <w:r>
        <w:rPr>
          <w:rFonts w:hint="eastAsia"/>
        </w:rPr>
        <w:t>服务内容</w:t>
      </w:r>
      <w:bookmarkEnd w:id="3"/>
    </w:p>
    <w:p>
      <w:pPr>
        <w:ind w:firstLine="567"/>
      </w:pPr>
      <w:r>
        <w:rPr>
          <w:rFonts w:hint="eastAsia"/>
          <w:bCs/>
          <w:sz w:val="24"/>
        </w:rPr>
        <w:t>服务时间：</w:t>
      </w:r>
      <w:bookmarkStart w:id="9" w:name="_GoBack"/>
      <w:r>
        <w:rPr>
          <w:rFonts w:hint="eastAsia"/>
          <w:bCs/>
          <w:sz w:val="24"/>
        </w:rPr>
        <w:t>自20</w:t>
      </w:r>
      <w:r>
        <w:rPr>
          <w:bCs/>
          <w:sz w:val="24"/>
        </w:rPr>
        <w:t>23</w:t>
      </w:r>
      <w:r>
        <w:rPr>
          <w:rFonts w:hint="eastAsia"/>
          <w:bCs/>
          <w:sz w:val="24"/>
        </w:rPr>
        <w:t>年</w:t>
      </w:r>
      <w:r>
        <w:rPr>
          <w:bCs/>
          <w:sz w:val="24"/>
        </w:rPr>
        <w:t>6</w:t>
      </w:r>
      <w:r>
        <w:rPr>
          <w:rFonts w:hint="eastAsia"/>
          <w:bCs/>
          <w:sz w:val="24"/>
        </w:rPr>
        <w:t>月</w:t>
      </w:r>
      <w:r>
        <w:rPr>
          <w:bCs/>
          <w:sz w:val="24"/>
        </w:rPr>
        <w:t>1</w:t>
      </w:r>
      <w:r>
        <w:rPr>
          <w:rFonts w:hint="eastAsia"/>
          <w:bCs/>
          <w:sz w:val="24"/>
        </w:rPr>
        <w:t>日起至20</w:t>
      </w:r>
      <w:r>
        <w:rPr>
          <w:bCs/>
          <w:sz w:val="24"/>
        </w:rPr>
        <w:t>24</w:t>
      </w:r>
      <w:r>
        <w:rPr>
          <w:rFonts w:hint="eastAsia"/>
          <w:bCs/>
          <w:sz w:val="24"/>
        </w:rPr>
        <w:t>年</w:t>
      </w:r>
      <w:r>
        <w:rPr>
          <w:bCs/>
          <w:sz w:val="24"/>
        </w:rPr>
        <w:t>5</w:t>
      </w:r>
      <w:r>
        <w:rPr>
          <w:rFonts w:hint="eastAsia"/>
          <w:bCs/>
          <w:sz w:val="24"/>
        </w:rPr>
        <w:t>月</w:t>
      </w:r>
      <w:r>
        <w:rPr>
          <w:bCs/>
          <w:sz w:val="24"/>
        </w:rPr>
        <w:t>31</w:t>
      </w:r>
      <w:r>
        <w:rPr>
          <w:rFonts w:hint="eastAsia"/>
          <w:bCs/>
          <w:sz w:val="24"/>
        </w:rPr>
        <w:t>日</w:t>
      </w:r>
      <w:r>
        <w:rPr>
          <w:rFonts w:hint="eastAsia"/>
          <w:bCs/>
          <w:sz w:val="24"/>
          <w:lang w:val="en-US" w:eastAsia="zh-CN"/>
        </w:rPr>
        <w:t>止</w:t>
      </w:r>
      <w:r>
        <w:rPr>
          <w:rFonts w:hint="eastAsia"/>
          <w:bCs/>
          <w:sz w:val="24"/>
        </w:rPr>
        <w:t>。</w:t>
      </w:r>
      <w:bookmarkEnd w:id="9"/>
    </w:p>
    <w:p>
      <w:pPr>
        <w:ind w:firstLine="567"/>
      </w:pPr>
      <w:r>
        <w:rPr>
          <w:rFonts w:hint="eastAsia"/>
        </w:rPr>
        <w:t>本项目采用一次招标三年有效，分年度签订合同，每次签约有效期一年，每年度合同有效期终止前2个月，由采购人对中标人进行年度考核和验收，如通过则可续签第二年合同，第二年合同价为第一年的原合同价，如遇特殊情况，则以当年度法定程序批准的预算执行或者甲方有权重新招标。</w:t>
      </w:r>
    </w:p>
    <w:p>
      <w:pPr>
        <w:ind w:firstLine="567"/>
      </w:pPr>
      <w:r>
        <w:rPr>
          <w:rFonts w:hint="eastAsia"/>
        </w:rPr>
        <w:t>本</w:t>
      </w:r>
      <w:r>
        <w:t>次服务</w:t>
      </w:r>
      <w:r>
        <w:rPr>
          <w:rFonts w:hint="eastAsia"/>
        </w:rPr>
        <w:t>需</w:t>
      </w:r>
      <w:r>
        <w:t>提供：</w:t>
      </w:r>
    </w:p>
    <w:p>
      <w:pPr>
        <w:pStyle w:val="11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提供一年设备租赁服务。</w:t>
      </w:r>
    </w:p>
    <w:p>
      <w:pPr>
        <w:pStyle w:val="11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提供一年技术支持服务</w:t>
      </w:r>
    </w:p>
    <w:p>
      <w:pPr>
        <w:pStyle w:val="3"/>
        <w:numPr>
          <w:ilvl w:val="0"/>
          <w:numId w:val="1"/>
        </w:numPr>
        <w:spacing w:before="260" w:beforeAutospacing="0" w:after="260" w:afterAutospacing="0" w:line="416" w:lineRule="auto"/>
      </w:pPr>
      <w:bookmarkStart w:id="6" w:name="_Toc477780942"/>
      <w:bookmarkStart w:id="7" w:name="_Toc477281203"/>
      <w:r>
        <w:rPr>
          <w:rFonts w:hint="eastAsia"/>
        </w:rPr>
        <w:t>公司资质要求</w:t>
      </w:r>
      <w:bookmarkEnd w:id="6"/>
    </w:p>
    <w:p>
      <w:pPr>
        <w:numPr>
          <w:ilvl w:val="0"/>
          <w:numId w:val="3"/>
        </w:numPr>
        <w:ind w:left="1134" w:hanging="850"/>
      </w:pPr>
      <w:r>
        <w:t>在中国境内注册的合格法人机构，并具有相应的经营范围</w:t>
      </w:r>
    </w:p>
    <w:p>
      <w:pPr>
        <w:numPr>
          <w:ilvl w:val="0"/>
          <w:numId w:val="3"/>
        </w:numPr>
        <w:ind w:left="1134" w:hanging="850"/>
      </w:pPr>
      <w:r>
        <w:rPr>
          <w:rFonts w:hint="eastAsia"/>
        </w:rPr>
        <w:t>符合《中华人民共和国政府采购法》第二十二条规定的供应商；</w:t>
      </w:r>
    </w:p>
    <w:p>
      <w:pPr>
        <w:numPr>
          <w:ilvl w:val="0"/>
          <w:numId w:val="3"/>
        </w:numPr>
        <w:ind w:left="1134" w:hanging="850"/>
      </w:pPr>
      <w:r>
        <w:rPr>
          <w:rFonts w:hint="eastAsia"/>
        </w:rPr>
        <w:t>在上海市有固定的服务点。</w:t>
      </w:r>
    </w:p>
    <w:p>
      <w:pPr>
        <w:pStyle w:val="3"/>
        <w:numPr>
          <w:ilvl w:val="0"/>
          <w:numId w:val="1"/>
        </w:numPr>
        <w:spacing w:before="260" w:beforeAutospacing="0" w:after="260" w:afterAutospacing="0" w:line="416" w:lineRule="auto"/>
      </w:pPr>
      <w:bookmarkStart w:id="8" w:name="_Toc477780943"/>
      <w:r>
        <w:rPr>
          <w:rFonts w:hint="eastAsia"/>
        </w:rPr>
        <w:t>报价文件组成</w:t>
      </w:r>
      <w:bookmarkEnd w:id="8"/>
    </w:p>
    <w:p>
      <w:pPr>
        <w:numPr>
          <w:ilvl w:val="0"/>
          <w:numId w:val="3"/>
        </w:numPr>
        <w:ind w:left="284" w:firstLine="0"/>
      </w:pPr>
      <w:r>
        <w:rPr>
          <w:rFonts w:hint="eastAsia"/>
        </w:rPr>
        <w:t>报价单（附件二）</w:t>
      </w:r>
    </w:p>
    <w:p>
      <w:pPr>
        <w:numPr>
          <w:ilvl w:val="0"/>
          <w:numId w:val="3"/>
        </w:numPr>
        <w:ind w:left="284" w:firstLine="0"/>
      </w:pPr>
      <w:r>
        <w:t>营业执照、税务登记证、组织机构代码证或“三证合一”的营业执照</w:t>
      </w:r>
    </w:p>
    <w:bookmarkEnd w:id="7"/>
    <w:p>
      <w:pPr>
        <w:numPr>
          <w:ilvl w:val="0"/>
          <w:numId w:val="3"/>
        </w:numPr>
        <w:ind w:left="284" w:firstLine="0"/>
      </w:pPr>
      <w:r>
        <w:rPr>
          <w:rFonts w:hint="eastAsia" w:ascii="宋体" w:hAnsi="宋体" w:cs="宋体"/>
          <w:kern w:val="0"/>
          <w:szCs w:val="21"/>
        </w:rPr>
        <w:t>★提供厂商针对本项目的授权书</w:t>
      </w:r>
      <w:r>
        <w:rPr>
          <w:rFonts w:hint="eastAsia"/>
        </w:rPr>
        <w:t>（必须提供，未提供废标处理）；</w:t>
      </w:r>
    </w:p>
    <w:p>
      <w:pPr>
        <w:numPr>
          <w:ilvl w:val="0"/>
          <w:numId w:val="3"/>
        </w:numPr>
        <w:ind w:left="284" w:firstLine="0"/>
      </w:pPr>
      <w:r>
        <w:rPr>
          <w:rFonts w:hint="eastAsia" w:ascii="宋体" w:hAnsi="宋体" w:cs="宋体"/>
          <w:kern w:val="0"/>
          <w:szCs w:val="21"/>
        </w:rPr>
        <w:t>★提供厂商针对本项目的</w:t>
      </w:r>
      <w:r>
        <w:rPr>
          <w:rFonts w:hint="eastAsia"/>
        </w:rPr>
        <w:t>售后服务承诺书（必须提供，未提供废标处理）；</w:t>
      </w:r>
    </w:p>
    <w:p/>
    <w:p>
      <w:pPr>
        <w:rPr>
          <w:rFonts w:hint="eastAsia"/>
        </w:rPr>
      </w:pPr>
    </w:p>
    <w:sectPr>
      <w:footerReference r:id="rId5" w:type="default"/>
      <w:footerReference r:id="rId6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0"/>
      </w:rPr>
      <w:id w:val="-745804660"/>
      <w:docPartObj>
        <w:docPartGallery w:val="autotext"/>
      </w:docPartObj>
    </w:sdtPr>
    <w:sdtEndPr>
      <w:rPr>
        <w:rStyle w:val="10"/>
      </w:rPr>
    </w:sdtEndPr>
    <w:sdtContent>
      <w:p>
        <w:pPr>
          <w:pStyle w:val="6"/>
          <w:framePr w:wrap="auto" w:vAnchor="text" w:hAnchor="margin" w:xAlign="right" w:y="1"/>
          <w:rPr>
            <w:rStyle w:val="10"/>
          </w:rPr>
        </w:pPr>
        <w:r>
          <w:rPr>
            <w:rStyle w:val="10"/>
          </w:rPr>
          <w:fldChar w:fldCharType="begin"/>
        </w:r>
        <w:r>
          <w:rPr>
            <w:rStyle w:val="10"/>
          </w:rPr>
          <w:instrText xml:space="preserve"> PAGE </w:instrText>
        </w:r>
        <w:r>
          <w:rPr>
            <w:rStyle w:val="10"/>
          </w:rPr>
          <w:fldChar w:fldCharType="separate"/>
        </w:r>
        <w:r>
          <w:rPr>
            <w:rStyle w:val="10"/>
          </w:rPr>
          <w:t>1</w:t>
        </w:r>
        <w:r>
          <w:rPr>
            <w:rStyle w:val="10"/>
          </w:rPr>
          <w:fldChar w:fldCharType="end"/>
        </w:r>
      </w:p>
    </w:sdtContent>
  </w:sdt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0"/>
      </w:rPr>
      <w:id w:val="1208618479"/>
      <w:docPartObj>
        <w:docPartGallery w:val="autotext"/>
      </w:docPartObj>
    </w:sdtPr>
    <w:sdtEndPr>
      <w:rPr>
        <w:rStyle w:val="10"/>
      </w:rPr>
    </w:sdtEndPr>
    <w:sdtContent>
      <w:p>
        <w:pPr>
          <w:pStyle w:val="6"/>
          <w:framePr w:wrap="auto" w:vAnchor="text" w:hAnchor="margin" w:xAlign="right" w:y="1"/>
          <w:rPr>
            <w:rStyle w:val="10"/>
          </w:rPr>
        </w:pPr>
        <w:r>
          <w:rPr>
            <w:rStyle w:val="10"/>
          </w:rPr>
          <w:fldChar w:fldCharType="begin"/>
        </w:r>
        <w:r>
          <w:rPr>
            <w:rStyle w:val="10"/>
          </w:rPr>
          <w:instrText xml:space="preserve"> PAGE </w:instrText>
        </w:r>
        <w:r>
          <w:rPr>
            <w:rStyle w:val="10"/>
          </w:rPr>
          <w:fldChar w:fldCharType="end"/>
        </w:r>
      </w:p>
    </w:sdtContent>
  </w:sdt>
  <w:p>
    <w:pPr>
      <w:pStyle w:val="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6A6070"/>
    <w:multiLevelType w:val="multilevel"/>
    <w:tmpl w:val="236A6070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5AAC50CE"/>
    <w:multiLevelType w:val="multilevel"/>
    <w:tmpl w:val="5AAC50CE"/>
    <w:lvl w:ilvl="0" w:tentative="0">
      <w:start w:val="1"/>
      <w:numFmt w:val="decimal"/>
      <w:lvlText w:val="%1)"/>
      <w:lvlJc w:val="left"/>
      <w:pPr>
        <w:ind w:left="987" w:hanging="420"/>
      </w:pPr>
    </w:lvl>
    <w:lvl w:ilvl="1" w:tentative="0">
      <w:start w:val="1"/>
      <w:numFmt w:val="lowerLetter"/>
      <w:lvlText w:val="%2)"/>
      <w:lvlJc w:val="left"/>
      <w:pPr>
        <w:ind w:left="1407" w:hanging="420"/>
      </w:pPr>
    </w:lvl>
    <w:lvl w:ilvl="2" w:tentative="0">
      <w:start w:val="1"/>
      <w:numFmt w:val="lowerRoman"/>
      <w:lvlText w:val="%3."/>
      <w:lvlJc w:val="right"/>
      <w:pPr>
        <w:ind w:left="1827" w:hanging="420"/>
      </w:pPr>
    </w:lvl>
    <w:lvl w:ilvl="3" w:tentative="0">
      <w:start w:val="1"/>
      <w:numFmt w:val="decimal"/>
      <w:lvlText w:val="%4."/>
      <w:lvlJc w:val="left"/>
      <w:pPr>
        <w:ind w:left="2247" w:hanging="420"/>
      </w:pPr>
    </w:lvl>
    <w:lvl w:ilvl="4" w:tentative="0">
      <w:start w:val="1"/>
      <w:numFmt w:val="lowerLetter"/>
      <w:lvlText w:val="%5)"/>
      <w:lvlJc w:val="left"/>
      <w:pPr>
        <w:ind w:left="2667" w:hanging="420"/>
      </w:pPr>
    </w:lvl>
    <w:lvl w:ilvl="5" w:tentative="0">
      <w:start w:val="1"/>
      <w:numFmt w:val="lowerRoman"/>
      <w:lvlText w:val="%6."/>
      <w:lvlJc w:val="right"/>
      <w:pPr>
        <w:ind w:left="3087" w:hanging="420"/>
      </w:pPr>
    </w:lvl>
    <w:lvl w:ilvl="6" w:tentative="0">
      <w:start w:val="1"/>
      <w:numFmt w:val="decimal"/>
      <w:lvlText w:val="%7."/>
      <w:lvlJc w:val="left"/>
      <w:pPr>
        <w:ind w:left="3507" w:hanging="420"/>
      </w:pPr>
    </w:lvl>
    <w:lvl w:ilvl="7" w:tentative="0">
      <w:start w:val="1"/>
      <w:numFmt w:val="lowerLetter"/>
      <w:lvlText w:val="%8)"/>
      <w:lvlJc w:val="left"/>
      <w:pPr>
        <w:ind w:left="3927" w:hanging="420"/>
      </w:pPr>
    </w:lvl>
    <w:lvl w:ilvl="8" w:tentative="0">
      <w:start w:val="1"/>
      <w:numFmt w:val="lowerRoman"/>
      <w:lvlText w:val="%9."/>
      <w:lvlJc w:val="right"/>
      <w:pPr>
        <w:ind w:left="4347" w:hanging="420"/>
      </w:pPr>
    </w:lvl>
  </w:abstractNum>
  <w:abstractNum w:abstractNumId="2">
    <w:nsid w:val="70506B76"/>
    <w:multiLevelType w:val="multilevel"/>
    <w:tmpl w:val="70506B76"/>
    <w:lvl w:ilvl="0" w:tentative="0">
      <w:start w:val="1"/>
      <w:numFmt w:val="bullet"/>
      <w:lvlText w:val=""/>
      <w:lvlJc w:val="left"/>
      <w:pPr>
        <w:ind w:left="96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2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0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8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84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32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800" w:hanging="48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0OGU5NWZiMGQzODkwNDY0MmE1NzhiODMxMWM4N2EifQ=="/>
  </w:docVars>
  <w:rsids>
    <w:rsidRoot w:val="00AC7CD8"/>
    <w:rsid w:val="00130158"/>
    <w:rsid w:val="0019135C"/>
    <w:rsid w:val="001C44B0"/>
    <w:rsid w:val="00234F9B"/>
    <w:rsid w:val="00291636"/>
    <w:rsid w:val="005528D3"/>
    <w:rsid w:val="005D1ED0"/>
    <w:rsid w:val="007D0D76"/>
    <w:rsid w:val="00896E50"/>
    <w:rsid w:val="00AC7CD8"/>
    <w:rsid w:val="00BB6CBC"/>
    <w:rsid w:val="00D8290E"/>
    <w:rsid w:val="00E97953"/>
    <w:rsid w:val="01985443"/>
    <w:rsid w:val="0BF51153"/>
    <w:rsid w:val="0FC1695C"/>
    <w:rsid w:val="2EA24110"/>
    <w:rsid w:val="477F13E1"/>
    <w:rsid w:val="4B08139C"/>
    <w:rsid w:val="56D034A5"/>
    <w:rsid w:val="5C423F4D"/>
    <w:rsid w:val="5F98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Autospacing="1" w:after="100" w:afterAutospacing="1"/>
      <w:outlineLvl w:val="0"/>
    </w:pPr>
    <w:rPr>
      <w:b/>
      <w:kern w:val="44"/>
      <w:sz w:val="2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00" w:beforeAutospacing="1" w:after="100" w:afterAutospacing="1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100" w:beforeAutospacing="1" w:after="100" w:afterAutospacing="1"/>
      <w:outlineLvl w:val="2"/>
    </w:pPr>
    <w:rPr>
      <w:b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="100" w:beforeAutospacing="1" w:after="100" w:afterAutospacing="1"/>
      <w:outlineLvl w:val="4"/>
    </w:pPr>
    <w:rPr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styleId="11">
    <w:name w:val="List Paragraph"/>
    <w:basedOn w:val="1"/>
    <w:qFormat/>
    <w:uiPriority w:val="34"/>
    <w:pPr>
      <w:spacing w:line="240" w:lineRule="auto"/>
      <w:ind w:firstLine="420" w:firstLineChars="200"/>
    </w:pPr>
    <w:rPr>
      <w:rFonts w:ascii="Times New Roman" w:hAnsi="Times New Roman" w:cs="Times New Roman"/>
    </w:rPr>
  </w:style>
  <w:style w:type="character" w:customStyle="1" w:styleId="12">
    <w:name w:val="zc-highlight"/>
    <w:basedOn w:val="9"/>
    <w:qFormat/>
    <w:uiPriority w:val="0"/>
  </w:style>
  <w:style w:type="character" w:customStyle="1" w:styleId="13">
    <w:name w:val="页脚 字符"/>
    <w:basedOn w:val="9"/>
    <w:link w:val="6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2160</Words>
  <Characters>2318</Characters>
  <Lines>17</Lines>
  <Paragraphs>5</Paragraphs>
  <TotalTime>2</TotalTime>
  <ScaleCrop>false</ScaleCrop>
  <LinksUpToDate>false</LinksUpToDate>
  <CharactersWithSpaces>2368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2023-02-17T05:42:00Z</dcterms:created>
  <dc:creator>10679</dc:creator>
  <cp:lastModifiedBy>仲杰</cp:lastModifiedBy>
  <dcterms:modified xsi:type="dcterms:W3CDTF">2023-04-25T01:33:39Z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0C65E28D80CC4F3EBF4165B9A5DC6840</vt:lpwstr>
  </property>
</Properties>
</file>